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NS-DOPEY-010-FINANCE-TAX</w:t>
      </w:r>
    </w:p>
    <w:p/>
    <w:p>
      <w:pPr>
        <w:pStyle w:val="Heading2"/>
      </w:pPr>
      <w:r>
        <w:t>Finance foundations</w:t>
      </w:r>
    </w:p>
    <w:p>
      <w:pPr>
        <w:pStyle w:val="ListBullet"/>
      </w:pPr>
      <w:r>
        <w:t>Market-by-market books (OpCo-level P&amp;L, balance sheet, cash flow).</w:t>
      </w:r>
    </w:p>
    <w:p>
      <w:pPr>
        <w:pStyle w:val="ListBullet"/>
      </w:pPr>
      <w:r>
        <w:t>Cost accounting for inventory and COGS aligned to regulatory requirements.</w:t>
      </w:r>
    </w:p>
    <w:p>
      <w:pPr>
        <w:pStyle w:val="ListBullet"/>
      </w:pPr>
      <w:r>
        <w:t>Vendor + cash reconciliation processes designed for audits.</w:t>
      </w:r>
    </w:p>
    <w:p>
      <w:pPr>
        <w:pStyle w:val="Heading2"/>
      </w:pPr>
      <w:r>
        <w:t>Banking + payments posture</w:t>
      </w:r>
    </w:p>
    <w:p>
      <w:pPr>
        <w:pStyle w:val="ListBullet"/>
      </w:pPr>
      <w:r>
        <w:t>Assume limited access; plan for compliant cash-heavy operations where necessary.</w:t>
      </w:r>
    </w:p>
    <w:p>
      <w:pPr>
        <w:pStyle w:val="ListBullet"/>
      </w:pPr>
      <w:r>
        <w:t>Maintain bank-ready diligence pack (ownership, licenses, SOPs, audit trails).</w:t>
      </w:r>
    </w:p>
    <w:p>
      <w:pPr>
        <w:pStyle w:val="ListBullet"/>
      </w:pPr>
      <w:r>
        <w:t>Prefer transparent, compliant payment solutions where allowed.</w:t>
      </w:r>
    </w:p>
    <w:p>
      <w:pPr>
        <w:pStyle w:val="Heading2"/>
      </w:pPr>
      <w:r>
        <w:t>Tax posture (high level)</w:t>
      </w:r>
    </w:p>
    <w:p>
      <w:pPr>
        <w:pStyle w:val="ListBullet"/>
      </w:pPr>
      <w:r>
        <w:t>Coordinate early with cannabis-specialized tax counsel.</w:t>
      </w:r>
    </w:p>
    <w:p>
      <w:pPr>
        <w:pStyle w:val="ListBullet"/>
      </w:pPr>
      <w:r>
        <w:t>Be prepared for tax regime changes and plan to adapt quickly.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NS-DOPEY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