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NS-DOPEY-011-RISK-SECURITY</w:t>
      </w:r>
    </w:p>
    <w:p/>
    <w:p>
      <w:pPr>
        <w:pStyle w:val="Heading2"/>
      </w:pPr>
      <w:r>
        <w:t>Risk register (starter)</w:t>
      </w:r>
    </w:p>
    <w:p>
      <w:pPr>
        <w:pStyle w:val="ListBullet"/>
      </w:pPr>
      <w:r>
        <w:t>Regulatory change risk (rule updates, enforcement posture)</w:t>
      </w:r>
    </w:p>
    <w:p>
      <w:pPr>
        <w:pStyle w:val="ListBullet"/>
      </w:pPr>
      <w:r>
        <w:t>Inventory diversion/shrink</w:t>
      </w:r>
    </w:p>
    <w:p>
      <w:pPr>
        <w:pStyle w:val="ListBullet"/>
      </w:pPr>
      <w:r>
        <w:t>Cash handling risk (theft, error, internal fraud)</w:t>
      </w:r>
    </w:p>
    <w:p>
      <w:pPr>
        <w:pStyle w:val="ListBullet"/>
      </w:pPr>
      <w:r>
        <w:t>Vendor outages (POS/seed-to-sale downtime)</w:t>
      </w:r>
    </w:p>
    <w:p>
      <w:pPr>
        <w:pStyle w:val="ListBullet"/>
      </w:pPr>
      <w:r>
        <w:t>Reputation risk (compliance incident, poor customer experience)</w:t>
      </w:r>
    </w:p>
    <w:p>
      <w:pPr>
        <w:pStyle w:val="Heading2"/>
      </w:pPr>
      <w:r>
        <w:t>Security controls (starter)</w:t>
      </w:r>
    </w:p>
    <w:p>
      <w:pPr>
        <w:pStyle w:val="ListBullet"/>
      </w:pPr>
      <w:r>
        <w:t>Cameras: coverage + retention + access logs</w:t>
      </w:r>
    </w:p>
    <w:p>
      <w:pPr>
        <w:pStyle w:val="ListBullet"/>
      </w:pPr>
      <w:r>
        <w:t>Physical access: controlled areas + key/badge policies</w:t>
      </w:r>
    </w:p>
    <w:p>
      <w:pPr>
        <w:pStyle w:val="ListBullet"/>
      </w:pPr>
      <w:r>
        <w:t>Cyber: MFA, least privilege, centralized logging for critical systems</w:t>
      </w:r>
    </w:p>
    <w:p>
      <w:pPr>
        <w:pStyle w:val="ListBullet"/>
      </w:pPr>
      <w:r>
        <w:t>Incident response: documented procedures + escalation tree</w:t>
      </w:r>
    </w:p>
    <w:p>
      <w:pPr>
        <w:pStyle w:val="Heading2"/>
      </w:pPr>
      <w:r>
        <w:t>Audit &amp; inspections readiness</w:t>
      </w:r>
    </w:p>
    <w:p>
      <w:pPr>
        <w:pStyle w:val="ListBullet"/>
      </w:pPr>
      <w:r>
        <w:t>Always-ready documentation: SOPs, training logs, daily reconciliations</w:t>
      </w:r>
    </w:p>
    <w:p>
      <w:pPr>
        <w:pStyle w:val="ListBullet"/>
      </w:pPr>
      <w:r>
        <w:t>Mock audits quarterly</w:t>
      </w:r>
    </w:p>
    <w:p>
      <w:pPr>
        <w:pStyle w:val="ListBullet"/>
      </w:pPr>
      <w:r>
        <w:t>Corrective action tracking for any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