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NS-DOPEY-014-REFERENCES-NOTES</w:t>
      </w:r>
    </w:p>
    <w:p/>
    <w:p>
      <w:r>
        <w:t>This pack is intentionally jurisdiction-agnostic. For any real implementation, attach the relevant state/local rulebooks, licensing guides, and vendor documentation for your target market(s).</w:t>
      </w:r>
    </w:p>
    <w:p>
      <w:pPr>
        <w:pStyle w:val="Heading2"/>
      </w:pPr>
      <w:r>
        <w:t>Operating stance</w:t>
      </w:r>
    </w:p>
    <w:p>
      <w:pPr>
        <w:pStyle w:val="ListBullet"/>
      </w:pPr>
      <w:r>
        <w:t>Compliance-first, audit-ready, operationally repeatable.</w:t>
      </w:r>
    </w:p>
    <w:p>
      <w:pPr>
        <w:pStyle w:val="ListBullet"/>
      </w:pPr>
      <w:r>
        <w:t>Use professional legal/tax/licensing guidance for each market.</w:t>
      </w:r>
    </w:p>
    <w:p>
      <w:pPr>
        <w:pStyle w:val="ListBullet"/>
      </w:pPr>
      <w:r>
        <w:t>Maintain a living ruleset profile per market and update SOPs accordingly.</w:t>
      </w:r>
    </w:p>
    <w:p>
      <w:pPr>
        <w:pStyle w:val="Heading2"/>
      </w:pPr>
      <w:r>
        <w:t>Integration points with NS ecosystem</w:t>
      </w:r>
    </w:p>
    <w:p>
      <w:pPr>
        <w:pStyle w:val="ListBullet"/>
      </w:pPr>
      <w:r>
        <w:t>SANCTUM: timeline of licensing, buildout, openings, audits, incidents, expansions.</w:t>
      </w:r>
    </w:p>
    <w:p>
      <w:pPr>
        <w:pStyle w:val="ListBullet"/>
      </w:pPr>
      <w:r>
        <w:t>CONCORD: public pages (if ever) should remain synced with claims/availability.</w:t>
      </w:r>
    </w:p>
    <w:p>
      <w:pPr>
        <w:pStyle w:val="ListBullet"/>
      </w:pPr>
      <w:r>
        <w:t>CADENCE: schedules for store rollout work items + vendor onboarding.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