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NS-MINDMIX-005-DECISION-RECORDS</w:t>
      </w:r>
    </w:p>
    <w:p/>
    <w:p>
      <w:pPr>
        <w:pStyle w:val="Heading2"/>
      </w:pPr>
      <w:r>
        <w:t>ADR-001: LSL as default stream backbone</w:t>
      </w:r>
    </w:p>
    <w:p>
      <w:r>
        <w:t>LSL provides a standardized way to stream, synchronize, and record neural/physio/behavioral data across producers/consumers.</w:t>
      </w:r>
    </w:p>
    <w:p>
      <w:pPr>
        <w:pStyle w:val="Heading2"/>
      </w:pPr>
      <w:r>
        <w:t>ADR-002: Hybrid input is allowed (and encouraged)</w:t>
      </w:r>
    </w:p>
    <w:p>
      <w:r>
        <w:t>EEG for state + EMG/blinks for reliable triggers. The goal is a strong telekinetic performance feel, not purity.</w:t>
      </w:r>
    </w:p>
    <w:p>
      <w:pPr>
        <w:pStyle w:val="Heading2"/>
      </w:pPr>
      <w:r>
        <w:t>ADR-003: Explainability-first</w:t>
      </w:r>
    </w:p>
    <w:p>
      <w:r>
        <w:t>When an action fires, show “why”: thresholds, confidence, smoothing state, and any gating conditions.</w:t>
      </w:r>
    </w:p>
    <w:p>
      <w:pPr>
        <w:pStyle w:val="Heading2"/>
      </w:pPr>
      <w:r>
        <w:t>ADR-004: Stage safety over cleverness</w:t>
      </w:r>
    </w:p>
    <w:p>
      <w:r>
        <w:t>Rate-limit automation, require confidence thresholds, and provide a hard panic reset that returns the set to neutral.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