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NS-MINDMIX-006-COMPLIANCE-LICENSING</w:t>
      </w:r>
    </w:p>
    <w:p/>
    <w:p>
      <w:pPr>
        <w:pStyle w:val="Heading2"/>
      </w:pPr>
      <w:r>
        <w:t>Hardware + SDK licensing</w:t>
      </w:r>
    </w:p>
    <w:p>
      <w:pPr>
        <w:pStyle w:val="ListBullet"/>
      </w:pPr>
      <w:r>
        <w:t>Muse SDK is licensed for testing/prototyping/personal exploration; commercial applications require applying for a commercial license.</w:t>
      </w:r>
    </w:p>
    <w:p>
      <w:pPr>
        <w:pStyle w:val="ListBullet"/>
      </w:pPr>
      <w:r>
        <w:t>Plan early whether MindMix is prototype-only or commercial-ready (hardware + license path).</w:t>
      </w:r>
    </w:p>
    <w:p>
      <w:pPr>
        <w:pStyle w:val="Heading2"/>
      </w:pPr>
      <w:r>
        <w:t>No medical claims</w:t>
      </w:r>
    </w:p>
    <w:p>
      <w:r>
        <w:t>MindMix is a creative performance tool. Avoid language implying diagnosis, treatment, or medical-grade measurement.</w:t>
      </w:r>
    </w:p>
    <w:p>
      <w:pPr>
        <w:pStyle w:val="Heading2"/>
      </w:pPr>
      <w:r>
        <w:t>Data handling</w:t>
      </w:r>
    </w:p>
    <w:p>
      <w:pPr>
        <w:pStyle w:val="ListBullet"/>
      </w:pPr>
      <w:r>
        <w:t>Treat biosignal data as sensitive by default.</w:t>
      </w:r>
    </w:p>
    <w:p>
      <w:pPr>
        <w:pStyle w:val="ListBullet"/>
      </w:pPr>
      <w:r>
        <w:t>Store only what is needed (profiles, derived features) and prefer local-first storage.</w:t>
      </w:r>
    </w:p>
    <w:p>
      <w:pPr>
        <w:pStyle w:val="ListBullet"/>
      </w:pPr>
      <w:r>
        <w:t>Provide explicit session recording toggles with clear labeling.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NS-MINDMIX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