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41" w:rsidRDefault="009F0592">
      <w:r>
        <w:t>Parte 4</w:t>
      </w:r>
    </w:p>
    <w:p w:rsidR="009F0592" w:rsidRDefault="004564AA">
      <w:r>
        <w:t xml:space="preserve">Após uma </w:t>
      </w:r>
      <w:proofErr w:type="gramStart"/>
      <w:r>
        <w:t>analise</w:t>
      </w:r>
      <w:proofErr w:type="gramEnd"/>
      <w:r>
        <w:t xml:space="preserve"> dos vários resultados obtidos alterando a variável y da parte 3, obtemos o seguinte gráfico:</w:t>
      </w:r>
    </w:p>
    <w:p w:rsidR="004564AA" w:rsidRDefault="004564AA">
      <w:r>
        <w:t>(GRÁFICO)</w:t>
      </w:r>
    </w:p>
    <w:p w:rsidR="004564AA" w:rsidRDefault="004564AA">
      <w:r>
        <w:t>Como podemos observar, à medida que é exigido menos U.T. para a conclusão do projeto, mais U.M. é necessário gastar, crescendo de uma forma exponencial. Para valores inferiores a 16 U.T., inclusive, o modelo é inviável, não sendo possível reduzir o tempo das atividades para que possa cumprir o tempo total do projeto. Então, com estas condições, o projeto no mínimo pode ser terminado a 17 U.T. com um custo suplementar de 1480 U.M. e um custo total do pr</w:t>
      </w:r>
      <w:bookmarkStart w:id="0" w:name="_GoBack"/>
      <w:bookmarkEnd w:id="0"/>
      <w:r>
        <w:t>ojeto de 10580 U.M.</w:t>
      </w:r>
    </w:p>
    <w:sectPr w:rsidR="0045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83"/>
    <w:rsid w:val="004564AA"/>
    <w:rsid w:val="009F0592"/>
    <w:rsid w:val="00B16783"/>
    <w:rsid w:val="00D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C452-D65A-4D8D-A8B5-E0B91A9F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2</cp:revision>
  <dcterms:created xsi:type="dcterms:W3CDTF">2015-10-13T15:16:00Z</dcterms:created>
  <dcterms:modified xsi:type="dcterms:W3CDTF">2015-10-13T15:53:00Z</dcterms:modified>
</cp:coreProperties>
</file>