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problem_set_9</w:t>
      </w:r>
    </w:p>
    <w:p>
      <w:pPr>
        <w:pStyle w:val="Author"/>
      </w:pPr>
      <w:r>
        <w:t xml:space="preserve">Jonathan</w:t>
      </w:r>
      <w:r>
        <w:t xml:space="preserve"> </w:t>
      </w:r>
      <w:r>
        <w:t xml:space="preserve">A.</w:t>
      </w:r>
      <w:r>
        <w:t xml:space="preserve"> </w:t>
      </w:r>
      <w:r>
        <w:t xml:space="preserve">Pedroza,</w:t>
      </w:r>
      <w:r>
        <w:t xml:space="preserve"> </w:t>
      </w:r>
      <w:r>
        <w:t xml:space="preserve">PhD</w:t>
      </w:r>
    </w:p>
    <w:p>
      <w:pPr>
        <w:pStyle w:val="Date"/>
      </w:pPr>
      <w:r>
        <w:t xml:space="preserve">2022-03-24</w:t>
      </w:r>
    </w:p>
    <w:p>
      <w:pPr>
        <w:pStyle w:val="FirstParagraph"/>
      </w:pPr>
      <w:r>
        <w:t xml:space="preserve">For this study, you are interested in seeing if there are differences in the exam grades of four different groups of students. The first group received no assistance with the materials, the second group received all the materials but no guidance, the third group received lectures over audio recordings, and the last group received lectures with video recordings. You want to see if there are any differences among these groups and if there are differences, you want to know which groups are specifically different from one another. Lastly, you are curious to know how much of variation in exam grades are determined from differences in teaching the materials for the exam. Please gather the following information.</w:t>
      </w:r>
    </w:p>
    <w:p>
      <w:pPr>
        <w:pStyle w:val="SourceCode"/>
      </w:pPr>
      <w:r>
        <w:rPr>
          <w:rStyle w:val="NormalTok"/>
        </w:rPr>
        <w:t xml:space="preserve">grades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nothing =</w:t>
      </w:r>
      <w:r>
        <w:rPr>
          <w:rStyle w:val="NormalTok"/>
        </w:rPr>
        <w:t xml:space="preserve"> </w:t>
      </w:r>
      <w:r>
        <w:rPr>
          <w:rStyle w:val="FunctionTok"/>
        </w:rPr>
        <w:t xml:space="preserve">c</w:t>
      </w:r>
      <w:r>
        <w:rPr>
          <w:rStyle w:val="NormalTok"/>
        </w:rPr>
        <w:t xml:space="preserve">(</w:t>
      </w:r>
      <w:r>
        <w:rPr>
          <w:rStyle w:val="DecValTok"/>
        </w:rPr>
        <w:t xml:space="preserve">65</w:t>
      </w:r>
      <w:r>
        <w:rPr>
          <w:rStyle w:val="NormalTok"/>
        </w:rPr>
        <w:t xml:space="preserve">, </w:t>
      </w:r>
      <w:r>
        <w:rPr>
          <w:rStyle w:val="DecValTok"/>
        </w:rPr>
        <w:t xml:space="preserve">63</w:t>
      </w:r>
      <w:r>
        <w:rPr>
          <w:rStyle w:val="NormalTok"/>
        </w:rPr>
        <w:t xml:space="preserve">, </w:t>
      </w:r>
      <w:r>
        <w:rPr>
          <w:rStyle w:val="DecValTok"/>
        </w:rPr>
        <w:t xml:space="preserve">60</w:t>
      </w:r>
      <w:r>
        <w:rPr>
          <w:rStyle w:val="NormalTok"/>
        </w:rPr>
        <w:t xml:space="preserve">, </w:t>
      </w:r>
      <w:r>
        <w:rPr>
          <w:rStyle w:val="DecValTok"/>
        </w:rPr>
        <w:t xml:space="preserve">59</w:t>
      </w:r>
      <w:r>
        <w:rPr>
          <w:rStyle w:val="NormalTok"/>
        </w:rPr>
        <w:t xml:space="preserve">, </w:t>
      </w:r>
      <w:r>
        <w:rPr>
          <w:rStyle w:val="DecValTok"/>
        </w:rPr>
        <w:t xml:space="preserve">62</w:t>
      </w:r>
      <w:r>
        <w:rPr>
          <w:rStyle w:val="NormalTok"/>
        </w:rPr>
        <w:t xml:space="preserve">),</w:t>
      </w:r>
      <w:r>
        <w:br/>
      </w:r>
      <w:r>
        <w:rPr>
          <w:rStyle w:val="NormalTok"/>
        </w:rPr>
        <w:t xml:space="preserve">                     </w:t>
      </w:r>
      <w:r>
        <w:rPr>
          <w:rStyle w:val="AttributeTok"/>
        </w:rPr>
        <w:t xml:space="preserve">material =</w:t>
      </w:r>
      <w:r>
        <w:rPr>
          <w:rStyle w:val="NormalTok"/>
        </w:rPr>
        <w:t xml:space="preserve"> </w:t>
      </w:r>
      <w:r>
        <w:rPr>
          <w:rStyle w:val="FunctionTok"/>
        </w:rPr>
        <w:t xml:space="preserve">c</w:t>
      </w:r>
      <w:r>
        <w:rPr>
          <w:rStyle w:val="NormalTok"/>
        </w:rPr>
        <w:t xml:space="preserve">(</w:t>
      </w:r>
      <w:r>
        <w:rPr>
          <w:rStyle w:val="DecValTok"/>
        </w:rPr>
        <w:t xml:space="preserve">68</w:t>
      </w:r>
      <w:r>
        <w:rPr>
          <w:rStyle w:val="NormalTok"/>
        </w:rPr>
        <w:t xml:space="preserve">, </w:t>
      </w:r>
      <w:r>
        <w:rPr>
          <w:rStyle w:val="DecValTok"/>
        </w:rPr>
        <w:t xml:space="preserve">67</w:t>
      </w:r>
      <w:r>
        <w:rPr>
          <w:rStyle w:val="NormalTok"/>
        </w:rPr>
        <w:t xml:space="preserve">, </w:t>
      </w:r>
      <w:r>
        <w:rPr>
          <w:rStyle w:val="DecValTok"/>
        </w:rPr>
        <w:t xml:space="preserve">67</w:t>
      </w:r>
      <w:r>
        <w:rPr>
          <w:rStyle w:val="NormalTok"/>
        </w:rPr>
        <w:t xml:space="preserve">, </w:t>
      </w:r>
      <w:r>
        <w:rPr>
          <w:rStyle w:val="DecValTok"/>
        </w:rPr>
        <w:t xml:space="preserve">76</w:t>
      </w:r>
      <w:r>
        <w:rPr>
          <w:rStyle w:val="NormalTok"/>
        </w:rPr>
        <w:t xml:space="preserve">, </w:t>
      </w:r>
      <w:r>
        <w:rPr>
          <w:rStyle w:val="DecValTok"/>
        </w:rPr>
        <w:t xml:space="preserve">74</w:t>
      </w:r>
      <w:r>
        <w:rPr>
          <w:rStyle w:val="NormalTok"/>
        </w:rPr>
        <w:t xml:space="preserve">),</w:t>
      </w:r>
      <w:r>
        <w:br/>
      </w:r>
      <w:r>
        <w:rPr>
          <w:rStyle w:val="NormalTok"/>
        </w:rPr>
        <w:t xml:space="preserve">                             </w:t>
      </w:r>
      <w:r>
        <w:rPr>
          <w:rStyle w:val="AttributeTok"/>
        </w:rPr>
        <w:t xml:space="preserve">audio =</w:t>
      </w:r>
      <w:r>
        <w:rPr>
          <w:rStyle w:val="NormalTok"/>
        </w:rPr>
        <w:t xml:space="preserve"> </w:t>
      </w:r>
      <w:r>
        <w:rPr>
          <w:rStyle w:val="FunctionTok"/>
        </w:rPr>
        <w:t xml:space="preserve">c</w:t>
      </w:r>
      <w:r>
        <w:rPr>
          <w:rStyle w:val="NormalTok"/>
        </w:rPr>
        <w:t xml:space="preserve">(</w:t>
      </w:r>
      <w:r>
        <w:rPr>
          <w:rStyle w:val="DecValTok"/>
        </w:rPr>
        <w:t xml:space="preserve">86</w:t>
      </w:r>
      <w:r>
        <w:rPr>
          <w:rStyle w:val="NormalTok"/>
        </w:rPr>
        <w:t xml:space="preserve">, </w:t>
      </w:r>
      <w:r>
        <w:rPr>
          <w:rStyle w:val="DecValTok"/>
        </w:rPr>
        <w:t xml:space="preserve">64</w:t>
      </w:r>
      <w:r>
        <w:rPr>
          <w:rStyle w:val="NormalTok"/>
        </w:rPr>
        <w:t xml:space="preserve">, </w:t>
      </w:r>
      <w:r>
        <w:rPr>
          <w:rStyle w:val="DecValTok"/>
        </w:rPr>
        <w:t xml:space="preserve">70</w:t>
      </w:r>
      <w:r>
        <w:rPr>
          <w:rStyle w:val="NormalTok"/>
        </w:rPr>
        <w:t xml:space="preserve">, </w:t>
      </w:r>
      <w:r>
        <w:rPr>
          <w:rStyle w:val="DecValTok"/>
        </w:rPr>
        <w:t xml:space="preserve">72</w:t>
      </w:r>
      <w:r>
        <w:rPr>
          <w:rStyle w:val="NormalTok"/>
        </w:rPr>
        <w:t xml:space="preserve">, </w:t>
      </w:r>
      <w:r>
        <w:rPr>
          <w:rStyle w:val="DecValTok"/>
        </w:rPr>
        <w:t xml:space="preserve">89</w:t>
      </w:r>
      <w:r>
        <w:rPr>
          <w:rStyle w:val="NormalTok"/>
        </w:rPr>
        <w:t xml:space="preserve">),</w:t>
      </w:r>
      <w:r>
        <w:br/>
      </w:r>
      <w:r>
        <w:rPr>
          <w:rStyle w:val="NormalTok"/>
        </w:rPr>
        <w:t xml:space="preserve">                             </w:t>
      </w:r>
      <w:r>
        <w:rPr>
          <w:rStyle w:val="AttributeTok"/>
        </w:rPr>
        <w:t xml:space="preserve">video =</w:t>
      </w:r>
      <w:r>
        <w:rPr>
          <w:rStyle w:val="NormalTok"/>
        </w:rPr>
        <w:t xml:space="preserve"> </w:t>
      </w:r>
      <w:r>
        <w:rPr>
          <w:rStyle w:val="FunctionTok"/>
        </w:rPr>
        <w:t xml:space="preserve">c</w:t>
      </w:r>
      <w:r>
        <w:rPr>
          <w:rStyle w:val="NormalTok"/>
        </w:rPr>
        <w:t xml:space="preserve">(</w:t>
      </w:r>
      <w:r>
        <w:rPr>
          <w:rStyle w:val="DecValTok"/>
        </w:rPr>
        <w:t xml:space="preserve">99</w:t>
      </w:r>
      <w:r>
        <w:rPr>
          <w:rStyle w:val="NormalTok"/>
        </w:rPr>
        <w:t xml:space="preserve">, </w:t>
      </w:r>
      <w:r>
        <w:rPr>
          <w:rStyle w:val="DecValTok"/>
        </w:rPr>
        <w:t xml:space="preserve">89</w:t>
      </w:r>
      <w:r>
        <w:rPr>
          <w:rStyle w:val="NormalTok"/>
        </w:rPr>
        <w:t xml:space="preserve">, </w:t>
      </w:r>
      <w:r>
        <w:rPr>
          <w:rStyle w:val="DecValTok"/>
        </w:rPr>
        <w:t xml:space="preserve">95</w:t>
      </w:r>
      <w:r>
        <w:rPr>
          <w:rStyle w:val="NormalTok"/>
        </w:rPr>
        <w:t xml:space="preserve">, </w:t>
      </w:r>
      <w:r>
        <w:rPr>
          <w:rStyle w:val="DecValTok"/>
        </w:rPr>
        <w:t xml:space="preserve">96</w:t>
      </w:r>
      <w:r>
        <w:rPr>
          <w:rStyle w:val="NormalTok"/>
        </w:rPr>
        <w:t xml:space="preserve">, </w:t>
      </w:r>
      <w:r>
        <w:rPr>
          <w:rStyle w:val="DecValTok"/>
        </w:rPr>
        <w:t xml:space="preserve">88</w:t>
      </w:r>
      <w:r>
        <w:rPr>
          <w:rStyle w:val="NormalTok"/>
        </w:rPr>
        <w:t xml:space="preserve">))</w:t>
      </w:r>
      <w:r>
        <w:br/>
      </w:r>
      <w:r>
        <w:rPr>
          <w:rStyle w:val="NormalTok"/>
        </w:rPr>
        <w:t xml:space="preserve">grades</w:t>
      </w:r>
    </w:p>
    <w:p>
      <w:pPr>
        <w:pStyle w:val="SourceCode"/>
      </w:pPr>
      <w:r>
        <w:rPr>
          <w:rStyle w:val="VerbatimChar"/>
        </w:rPr>
        <w:t xml:space="preserve">##   nothing material audio video</w:t>
      </w:r>
      <w:r>
        <w:br/>
      </w:r>
      <w:r>
        <w:rPr>
          <w:rStyle w:val="VerbatimChar"/>
        </w:rPr>
        <w:t xml:space="preserve">## 1      65       68    86    99</w:t>
      </w:r>
      <w:r>
        <w:br/>
      </w:r>
      <w:r>
        <w:rPr>
          <w:rStyle w:val="VerbatimChar"/>
        </w:rPr>
        <w:t xml:space="preserve">## 2      63       67    64    89</w:t>
      </w:r>
      <w:r>
        <w:br/>
      </w:r>
      <w:r>
        <w:rPr>
          <w:rStyle w:val="VerbatimChar"/>
        </w:rPr>
        <w:t xml:space="preserve">## 3      60       67    70    95</w:t>
      </w:r>
      <w:r>
        <w:br/>
      </w:r>
      <w:r>
        <w:rPr>
          <w:rStyle w:val="VerbatimChar"/>
        </w:rPr>
        <w:t xml:space="preserve">## 4      59       76    72    96</w:t>
      </w:r>
      <w:r>
        <w:br/>
      </w:r>
      <w:r>
        <w:rPr>
          <w:rStyle w:val="VerbatimChar"/>
        </w:rPr>
        <w:t xml:space="preserve">## 5      62       74    89    88</w:t>
      </w:r>
    </w:p>
    <w:bookmarkStart w:id="20" w:name="means-for-each-group"/>
    <w:p>
      <w:pPr>
        <w:pStyle w:val="Heading2"/>
      </w:pPr>
      <w:r>
        <w:t xml:space="preserve">Means for each group</w:t>
      </w:r>
    </w:p>
    <w:bookmarkEnd w:id="20"/>
    <w:bookmarkStart w:id="21" w:name="grand-mean"/>
    <w:p>
      <w:pPr>
        <w:pStyle w:val="Heading2"/>
      </w:pPr>
      <w:r>
        <w:t xml:space="preserve">Grand Mean</w:t>
      </w:r>
    </w:p>
    <w:bookmarkEnd w:id="21"/>
    <w:bookmarkStart w:id="22" w:name="variance-and-sd-for-each-group"/>
    <w:p>
      <w:pPr>
        <w:pStyle w:val="Heading2"/>
      </w:pPr>
      <w:r>
        <w:t xml:space="preserve">Variance and SD for each group</w:t>
      </w:r>
    </w:p>
    <w:bookmarkEnd w:id="22"/>
    <w:bookmarkStart w:id="23" w:name="grand-variance"/>
    <w:p>
      <w:pPr>
        <w:pStyle w:val="Heading2"/>
      </w:pPr>
      <w:r>
        <w:t xml:space="preserve">Grand Variance</w:t>
      </w:r>
    </w:p>
    <w:bookmarkEnd w:id="23"/>
    <w:bookmarkStart w:id="24" w:name="total-sum-of-squares"/>
    <w:p>
      <w:pPr>
        <w:pStyle w:val="Heading2"/>
      </w:pPr>
      <w:r>
        <w:t xml:space="preserve">Total Sum of Squares</w:t>
      </w:r>
    </w:p>
    <w:p>
      <w:pPr>
        <w:pStyle w:val="FirstParagraph"/>
      </w:pPr>
      <m:oMathPara>
        <m:oMathParaPr>
          <m:jc m:val="center"/>
        </m:oMathParaPr>
        <m:oMath>
          <m:r>
            <m:t>S</m:t>
          </m:r>
          <m:sSub>
            <m:e>
              <m:r>
                <m:t>S</m:t>
              </m:r>
            </m:e>
            <m:sub>
              <m:r>
                <m:t>T</m:t>
              </m:r>
            </m:sub>
          </m:sSub>
          <m:r>
            <m:rPr>
              <m:sty m:val="p"/>
            </m:rPr>
            <m:t>=</m:t>
          </m:r>
          <m:sSubSup>
            <m:e>
              <m:r>
                <m:t>S</m:t>
              </m:r>
            </m:e>
            <m:sub>
              <m:r>
                <m:t>g</m:t>
              </m:r>
              <m:r>
                <m:t>r</m:t>
              </m:r>
              <m:r>
                <m:t>a</m:t>
              </m:r>
              <m:r>
                <m:t>n</m:t>
              </m:r>
              <m:r>
                <m:t>d</m:t>
              </m:r>
            </m:sub>
            <m:sup>
              <m:r>
                <m:t>2</m:t>
              </m:r>
            </m:sup>
          </m:sSubSup>
          <m:d>
            <m:dPr>
              <m:begChr m:val="("/>
              <m:endChr m:val=")"/>
              <m:sepChr m:val=""/>
              <m:grow/>
            </m:dPr>
            <m:e>
              <m:r>
                <m:t>N</m:t>
              </m:r>
              <m:r>
                <m:rPr>
                  <m:sty m:val="p"/>
                </m:rPr>
                <m:t>−</m:t>
              </m:r>
              <m:r>
                <m:t>1</m:t>
              </m:r>
            </m:e>
          </m:d>
        </m:oMath>
      </m:oMathPara>
    </w:p>
    <w:bookmarkEnd w:id="24"/>
    <w:bookmarkStart w:id="25" w:name="total-df"/>
    <w:p>
      <w:pPr>
        <w:pStyle w:val="Heading2"/>
      </w:pPr>
      <w:r>
        <w:t xml:space="preserve">Total df</w:t>
      </w:r>
    </w:p>
    <w:p>
      <w:pPr>
        <w:pStyle w:val="FirstParagraph"/>
      </w:pPr>
      <m:oMathPara>
        <m:oMathParaPr>
          <m:jc m:val="center"/>
        </m:oMathParaPr>
        <m:oMath>
          <m:r>
            <m:t>d</m:t>
          </m:r>
          <m:sSub>
            <m:e>
              <m:r>
                <m:t>f</m:t>
              </m:r>
            </m:e>
            <m:sub>
              <m:r>
                <m:t>T</m:t>
              </m:r>
            </m:sub>
          </m:sSub>
          <m:r>
            <m:rPr>
              <m:sty m:val="p"/>
            </m:rPr>
            <m:t>=</m:t>
          </m:r>
          <m:r>
            <m:t>N</m:t>
          </m:r>
          <m:r>
            <m:rPr>
              <m:sty m:val="p"/>
            </m:rPr>
            <m:t>−</m:t>
          </m:r>
          <m:r>
            <m:t>1</m:t>
          </m:r>
        </m:oMath>
      </m:oMathPara>
    </w:p>
    <w:bookmarkEnd w:id="25"/>
    <w:bookmarkStart w:id="26" w:name="model-sum-of-squares"/>
    <w:p>
      <w:pPr>
        <w:pStyle w:val="Heading2"/>
      </w:pPr>
      <w:r>
        <w:t xml:space="preserve">Model Sum of Squares</w:t>
      </w:r>
    </w:p>
    <w:p>
      <w:pPr>
        <w:pStyle w:val="FirstParagraph"/>
      </w:pPr>
      <m:oMathPara>
        <m:oMathParaPr>
          <m:jc m:val="center"/>
        </m:oMathParaPr>
        <m:oMath>
          <m:r>
            <m:t>S</m:t>
          </m:r>
          <m:sSub>
            <m:e>
              <m:r>
                <m:t>S</m:t>
              </m:r>
            </m:e>
            <m:sub>
              <m:r>
                <m:t>M</m:t>
              </m:r>
            </m:sub>
          </m:sSub>
          <m:r>
            <m:rPr>
              <m:sty m:val="p"/>
            </m:rPr>
            <m:t>=</m:t>
          </m:r>
          <m:nary>
            <m:naryPr>
              <m:chr m:val="∑"/>
              <m:limLoc m:val="undOvr"/>
              <m:subHide m:val="0"/>
              <m:supHide m:val="0"/>
            </m:naryPr>
            <m:sub>
              <m:r>
                <m:t>g</m:t>
              </m:r>
              <m:r>
                <m:rPr>
                  <m:sty m:val="p"/>
                </m:rPr>
                <m:t>=</m:t>
              </m:r>
              <m:r>
                <m:t>1</m:t>
              </m:r>
            </m:sub>
            <m:sup>
              <m:r>
                <m:t>k</m:t>
              </m:r>
            </m:sup>
            <m:e>
              <m:sSub>
                <m:e>
                  <m:r>
                    <m:t>n</m:t>
                  </m:r>
                </m:e>
                <m:sub>
                  <m:r>
                    <m:t>g</m:t>
                  </m:r>
                </m:sub>
              </m:sSub>
            </m:e>
          </m:nary>
          <m:sSup>
            <m:e>
              <m:d>
                <m:dPr>
                  <m:begChr m:val="("/>
                  <m:endChr m:val=")"/>
                  <m:sepChr m:val=""/>
                  <m:grow/>
                </m:dPr>
                <m:e>
                  <m:sSub>
                    <m:e>
                      <m:bar>
                        <m:barPr>
                          <m:pos m:val="top"/>
                        </m:barPr>
                        <m:e>
                          <m:r>
                            <m:t>X</m:t>
                          </m:r>
                        </m:e>
                      </m:bar>
                    </m:e>
                    <m:sub>
                      <m:r>
                        <m:t>g</m:t>
                      </m:r>
                    </m:sub>
                  </m:sSub>
                  <m:r>
                    <m:rPr>
                      <m:sty m:val="p"/>
                    </m:rPr>
                    <m:t>−</m:t>
                  </m:r>
                  <m:sSub>
                    <m:e>
                      <m:bar>
                        <m:barPr>
                          <m:pos m:val="top"/>
                        </m:barPr>
                        <m:e>
                          <m:r>
                            <m:t>X</m:t>
                          </m:r>
                        </m:e>
                      </m:bar>
                    </m:e>
                    <m:sub>
                      <m:r>
                        <m:t>g</m:t>
                      </m:r>
                      <m:r>
                        <m:t>r</m:t>
                      </m:r>
                      <m:r>
                        <m:t>a</m:t>
                      </m:r>
                      <m:r>
                        <m:t>n</m:t>
                      </m:r>
                      <m:r>
                        <m:t>d</m:t>
                      </m:r>
                    </m:sub>
                  </m:sSub>
                </m:e>
              </m:d>
            </m:e>
            <m:sup>
              <m:r>
                <m:t>2</m:t>
              </m:r>
            </m:sup>
          </m:sSup>
        </m:oMath>
      </m:oMathPara>
    </w:p>
    <w:bookmarkEnd w:id="26"/>
    <w:bookmarkStart w:id="27" w:name="model-df"/>
    <w:p>
      <w:pPr>
        <w:pStyle w:val="Heading2"/>
      </w:pPr>
      <w:r>
        <w:t xml:space="preserve">Model df</w:t>
      </w:r>
    </w:p>
    <w:p>
      <w:pPr>
        <w:pStyle w:val="FirstParagraph"/>
      </w:pPr>
      <m:oMathPara>
        <m:oMathParaPr>
          <m:jc m:val="center"/>
        </m:oMathParaPr>
        <m:oMath>
          <m:r>
            <m:t>d</m:t>
          </m:r>
          <m:sSub>
            <m:e>
              <m:r>
                <m:t>f</m:t>
              </m:r>
            </m:e>
            <m:sub>
              <m:r>
                <m:t>M</m:t>
              </m:r>
            </m:sub>
          </m:sSub>
          <m:r>
            <m:rPr>
              <m:sty m:val="p"/>
            </m:rPr>
            <m:t>=</m:t>
          </m:r>
          <m:r>
            <m:t>k</m:t>
          </m:r>
          <m:r>
            <m:rPr>
              <m:sty m:val="p"/>
            </m:rPr>
            <m:t>−</m:t>
          </m:r>
          <m:r>
            <m:t>1</m:t>
          </m:r>
        </m:oMath>
      </m:oMathPara>
    </w:p>
    <w:bookmarkEnd w:id="27"/>
    <w:bookmarkStart w:id="28" w:name="residual-sum-of-squares"/>
    <w:p>
      <w:pPr>
        <w:pStyle w:val="Heading2"/>
      </w:pPr>
      <w:r>
        <w:t xml:space="preserve">Residual Sum of Squares</w:t>
      </w:r>
    </w:p>
    <w:p>
      <w:pPr>
        <w:pStyle w:val="FirstParagraph"/>
      </w:pPr>
      <m:oMathPara>
        <m:oMathParaPr>
          <m:jc m:val="center"/>
        </m:oMathParaPr>
        <m:oMath>
          <m:r>
            <m:t>S</m:t>
          </m:r>
          <m:sSub>
            <m:e>
              <m:r>
                <m:t>S</m:t>
              </m:r>
            </m:e>
            <m:sub>
              <m:r>
                <m:t>R</m:t>
              </m:r>
            </m:sub>
          </m:sSub>
          <m:r>
            <m:rPr>
              <m:sty m:val="p"/>
            </m:rPr>
            <m:t>=</m:t>
          </m:r>
          <m:r>
            <m:t>S</m:t>
          </m:r>
          <m:sSub>
            <m:e>
              <m:r>
                <m:t>S</m:t>
              </m:r>
            </m:e>
            <m:sub>
              <m:r>
                <m:t>T</m:t>
              </m:r>
            </m:sub>
          </m:sSub>
          <m:r>
            <m:rPr>
              <m:sty m:val="p"/>
            </m:rPr>
            <m:t>−</m:t>
          </m:r>
          <m:r>
            <m:t>S</m:t>
          </m:r>
          <m:sSub>
            <m:e>
              <m:r>
                <m:t>S</m:t>
              </m:r>
            </m:e>
            <m:sub>
              <m:r>
                <m:t>M</m:t>
              </m:r>
            </m:sub>
          </m:sSub>
        </m:oMath>
      </m:oMathPara>
    </w:p>
    <w:p>
      <w:pPr>
        <w:pStyle w:val="FirstParagraph"/>
      </w:pPr>
      <m:oMathPara>
        <m:oMathParaPr>
          <m:jc m:val="center"/>
        </m:oMathParaPr>
        <m:oMath>
          <m:r>
            <m:t>S</m:t>
          </m:r>
          <m:sSub>
            <m:e>
              <m:r>
                <m:t>S</m:t>
              </m:r>
            </m:e>
            <m:sub>
              <m:r>
                <m:t>R</m:t>
              </m:r>
            </m:sub>
          </m:sSub>
          <m:r>
            <m:rPr>
              <m:sty m:val="p"/>
            </m:rPr>
            <m:t>=</m:t>
          </m:r>
          <m:nary>
            <m:naryPr>
              <m:chr m:val="∑"/>
              <m:limLoc m:val="undOvr"/>
              <m:subHide m:val="0"/>
              <m:supHide m:val="0"/>
            </m:naryPr>
            <m:sub>
              <m:r>
                <m:t>g</m:t>
              </m:r>
              <m:r>
                <m:rPr>
                  <m:sty m:val="p"/>
                </m:rPr>
                <m:t>=</m:t>
              </m:r>
              <m:r>
                <m:t>1</m:t>
              </m:r>
            </m:sub>
            <m:sup>
              <m:r>
                <m:t>k</m:t>
              </m:r>
            </m:sup>
            <m:e>
              <m:sSubSup>
                <m:e>
                  <m:r>
                    <m:t>S</m:t>
                  </m:r>
                </m:e>
                <m:sub>
                  <m:r>
                    <m:t>g</m:t>
                  </m:r>
                </m:sub>
                <m:sup>
                  <m:r>
                    <m:t>2</m:t>
                  </m:r>
                </m:sup>
              </m:sSubSup>
            </m:e>
          </m:nary>
          <m:d>
            <m:dPr>
              <m:begChr m:val="("/>
              <m:endChr m:val=")"/>
              <m:sepChr m:val=""/>
              <m:grow/>
            </m:dPr>
            <m:e>
              <m:sSub>
                <m:e>
                  <m:r>
                    <m:t>n</m:t>
                  </m:r>
                </m:e>
                <m:sub>
                  <m:r>
                    <m:t>g</m:t>
                  </m:r>
                </m:sub>
              </m:sSub>
              <m:r>
                <m:rPr>
                  <m:sty m:val="p"/>
                </m:rPr>
                <m:t>−</m:t>
              </m:r>
              <m:r>
                <m:t>1</m:t>
              </m:r>
            </m:e>
          </m:d>
        </m:oMath>
      </m:oMathPara>
    </w:p>
    <w:bookmarkEnd w:id="28"/>
    <w:bookmarkStart w:id="29" w:name="residual-df"/>
    <w:p>
      <w:pPr>
        <w:pStyle w:val="Heading2"/>
      </w:pPr>
      <w:r>
        <w:t xml:space="preserve">Residual df</w:t>
      </w:r>
    </w:p>
    <w:p>
      <w:pPr>
        <w:pStyle w:val="FirstParagraph"/>
      </w:pPr>
      <m:oMathPara>
        <m:oMathParaPr>
          <m:jc m:val="center"/>
        </m:oMathParaPr>
        <m:oMath>
          <m:r>
            <m:t>d</m:t>
          </m:r>
          <m:sSub>
            <m:e>
              <m:r>
                <m:t>f</m:t>
              </m:r>
            </m:e>
            <m:sub>
              <m:r>
                <m:t>R</m:t>
              </m:r>
            </m:sub>
          </m:sSub>
          <m:r>
            <m:rPr>
              <m:sty m:val="p"/>
            </m:rPr>
            <m:t>=</m:t>
          </m:r>
          <m:r>
            <m:t>d</m:t>
          </m:r>
          <m:sSub>
            <m:e>
              <m:r>
                <m:t>f</m:t>
              </m:r>
            </m:e>
            <m:sub>
              <m:r>
                <m:t>T</m:t>
              </m:r>
            </m:sub>
          </m:sSub>
          <m:r>
            <m:rPr>
              <m:sty m:val="p"/>
            </m:rPr>
            <m:t>−</m:t>
          </m:r>
          <m:r>
            <m:t>d</m:t>
          </m:r>
          <m:sSub>
            <m:e>
              <m:r>
                <m:t>f</m:t>
              </m:r>
            </m:e>
            <m:sub>
              <m:r>
                <m:t>M</m:t>
              </m:r>
            </m:sub>
          </m:sSub>
        </m:oMath>
      </m:oMathPara>
    </w:p>
    <w:p>
      <w:pPr>
        <w:pStyle w:val="FirstParagraph"/>
      </w:pPr>
      <m:oMathPara>
        <m:oMathParaPr>
          <m:jc m:val="center"/>
        </m:oMathParaPr>
        <m:oMath>
          <m:r>
            <m:t>N</m:t>
          </m:r>
          <m:r>
            <m:rPr>
              <m:sty m:val="p"/>
            </m:rPr>
            <m:t>−</m:t>
          </m:r>
          <m:r>
            <m:t>k</m:t>
          </m:r>
        </m:oMath>
      </m:oMathPara>
    </w:p>
    <w:bookmarkEnd w:id="29"/>
    <w:bookmarkStart w:id="30" w:name="model-mean-squares"/>
    <w:p>
      <w:pPr>
        <w:pStyle w:val="Heading2"/>
      </w:pPr>
      <w:r>
        <w:t xml:space="preserve">Model Mean Squares</w:t>
      </w:r>
    </w:p>
    <w:p>
      <w:pPr>
        <w:pStyle w:val="FirstParagraph"/>
      </w:pPr>
      <m:oMathPara>
        <m:oMathParaPr>
          <m:jc m:val="center"/>
        </m:oMathParaPr>
        <m:oMath>
          <m:r>
            <m:t>M</m:t>
          </m:r>
          <m:sSub>
            <m:e>
              <m:r>
                <m:t>S</m:t>
              </m:r>
            </m:e>
            <m:sub>
              <m:r>
                <m:t>M</m:t>
              </m:r>
            </m:sub>
          </m:sSub>
          <m:r>
            <m:rPr>
              <m:sty m:val="p"/>
            </m:rPr>
            <m:t>=</m:t>
          </m:r>
          <m:f>
            <m:fPr>
              <m:type m:val="bar"/>
            </m:fPr>
            <m:num>
              <m:r>
                <m:t>S</m:t>
              </m:r>
              <m:sSub>
                <m:e>
                  <m:r>
                    <m:t>S</m:t>
                  </m:r>
                </m:e>
                <m:sub>
                  <m:r>
                    <m:t>M</m:t>
                  </m:r>
                </m:sub>
              </m:sSub>
            </m:num>
            <m:den>
              <m:r>
                <m:t>d</m:t>
              </m:r>
              <m:sSub>
                <m:e>
                  <m:r>
                    <m:t>f</m:t>
                  </m:r>
                </m:e>
                <m:sub>
                  <m:r>
                    <m:t>M</m:t>
                  </m:r>
                </m:sub>
              </m:sSub>
            </m:den>
          </m:f>
        </m:oMath>
      </m:oMathPara>
    </w:p>
    <w:bookmarkEnd w:id="30"/>
    <w:bookmarkStart w:id="31" w:name="residual-mean-squares"/>
    <w:p>
      <w:pPr>
        <w:pStyle w:val="Heading2"/>
      </w:pPr>
      <w:r>
        <w:t xml:space="preserve">Residual Mean Squares</w:t>
      </w:r>
    </w:p>
    <w:p>
      <w:pPr>
        <w:pStyle w:val="FirstParagraph"/>
      </w:pPr>
      <m:oMathPara>
        <m:oMathParaPr>
          <m:jc m:val="center"/>
        </m:oMathParaPr>
        <m:oMath>
          <m:r>
            <m:t>M</m:t>
          </m:r>
          <m:sSub>
            <m:e>
              <m:r>
                <m:t>S</m:t>
              </m:r>
            </m:e>
            <m:sub>
              <m:r>
                <m:t>R</m:t>
              </m:r>
            </m:sub>
          </m:sSub>
          <m:r>
            <m:rPr>
              <m:sty m:val="p"/>
            </m:rPr>
            <m:t>=</m:t>
          </m:r>
          <m:f>
            <m:fPr>
              <m:type m:val="bar"/>
            </m:fPr>
            <m:num>
              <m:r>
                <m:t>S</m:t>
              </m:r>
              <m:sSub>
                <m:e>
                  <m:r>
                    <m:t>S</m:t>
                  </m:r>
                </m:e>
                <m:sub>
                  <m:r>
                    <m:t>R</m:t>
                  </m:r>
                </m:sub>
              </m:sSub>
            </m:num>
            <m:den>
              <m:r>
                <m:t>d</m:t>
              </m:r>
              <m:sSub>
                <m:e>
                  <m:r>
                    <m:t>f</m:t>
                  </m:r>
                </m:e>
                <m:sub>
                  <m:r>
                    <m:t>R</m:t>
                  </m:r>
                </m:sub>
              </m:sSub>
            </m:den>
          </m:f>
        </m:oMath>
      </m:oMathPara>
    </w:p>
    <w:bookmarkEnd w:id="31"/>
    <w:bookmarkStart w:id="32" w:name="f-statistic"/>
    <w:p>
      <w:pPr>
        <w:pStyle w:val="Heading2"/>
      </w:pPr>
      <w:r>
        <w:t xml:space="preserve">F-statistic</w:t>
      </w:r>
    </w:p>
    <w:p>
      <w:pPr>
        <w:pStyle w:val="FirstParagraph"/>
      </w:pPr>
      <m:oMathPara>
        <m:oMathParaPr>
          <m:jc m:val="center"/>
        </m:oMathParaPr>
        <m:oMath>
          <m:r>
            <m:t>F</m:t>
          </m:r>
          <m:r>
            <m:rPr>
              <m:sty m:val="p"/>
            </m:rPr>
            <m:t>=</m:t>
          </m:r>
          <m:f>
            <m:fPr>
              <m:type m:val="bar"/>
            </m:fPr>
            <m:num>
              <m:r>
                <m:t>M</m:t>
              </m:r>
              <m:sSub>
                <m:e>
                  <m:r>
                    <m:t>S</m:t>
                  </m:r>
                </m:e>
                <m:sub>
                  <m:r>
                    <m:t>M</m:t>
                  </m:r>
                </m:sub>
              </m:sSub>
            </m:num>
            <m:den>
              <m:r>
                <m:t>M</m:t>
              </m:r>
              <m:sSub>
                <m:e>
                  <m:r>
                    <m:t>S</m:t>
                  </m:r>
                </m:e>
                <m:sub>
                  <m:r>
                    <m:t>R</m:t>
                  </m:r>
                </m:sub>
              </m:sSub>
            </m:den>
          </m:f>
        </m:oMath>
      </m:oMathPara>
    </w:p>
    <w:bookmarkEnd w:id="32"/>
    <w:bookmarkStart w:id="33" w:name="X3768733beb4afe4395e38dad445ef9b19473b9b"/>
    <w:p>
      <w:pPr>
        <w:pStyle w:val="Heading2"/>
      </w:pPr>
      <w:r>
        <w:t xml:space="preserve">Is your finding statistically significant?</w:t>
      </w:r>
    </w:p>
    <w:bookmarkEnd w:id="33"/>
    <w:bookmarkStart w:id="35" w:name="post-hoc-analyses-tukey-hsd"/>
    <w:p>
      <w:pPr>
        <w:pStyle w:val="Heading2"/>
      </w:pPr>
      <w:r>
        <w:t xml:space="preserve">Post-hoc Analyses (Tukey HSD)</w:t>
      </w:r>
    </w:p>
    <w:p>
      <w:pPr>
        <w:pStyle w:val="FirstParagraph"/>
      </w:pPr>
      <w:r>
        <w:t xml:space="preserve">Go</w:t>
      </w:r>
      <w:r>
        <w:t xml:space="preserve"> </w:t>
      </w:r>
      <w:hyperlink r:id="rId34">
        <w:r>
          <w:rPr>
            <w:rStyle w:val="Hyperlink"/>
          </w:rPr>
          <w:t xml:space="preserve">here</w:t>
        </w:r>
      </w:hyperlink>
      <w:r>
        <w:t xml:space="preserve"> </w:t>
      </w:r>
      <w:r>
        <w:t xml:space="preserve">for the studentized range q table. You’ll have 6 comparisons to check with your post-hoc tests.</w:t>
      </w:r>
    </w:p>
    <w:p>
      <w:pPr>
        <w:pStyle w:val="BodyText"/>
      </w:pPr>
      <m:oMath>
        <m:r>
          <m:t>k</m:t>
        </m:r>
      </m:oMath>
      <w:r>
        <w:t xml:space="preserve"> </w:t>
      </w:r>
      <w:r>
        <w:t xml:space="preserve">= groups</w:t>
      </w:r>
      <w:r>
        <w:t xml:space="preserve"> </w:t>
      </w:r>
      <w:r>
        <w:t xml:space="preserve">df =</w:t>
      </w:r>
      <w:r>
        <w:t xml:space="preserve"> </w:t>
      </w:r>
      <m:oMath>
        <m:r>
          <m:t>d</m:t>
        </m:r>
        <m:sSub>
          <m:e>
            <m:r>
              <m:t>f</m:t>
            </m:r>
          </m:e>
          <m:sub>
            <m:r>
              <m:t>R</m:t>
            </m:r>
          </m:sub>
        </m:sSub>
      </m:oMath>
    </w:p>
    <w:p>
      <w:pPr>
        <w:pStyle w:val="BodyText"/>
      </w:pPr>
      <m:oMathPara>
        <m:oMathParaPr>
          <m:jc m:val="center"/>
        </m:oMathParaPr>
        <m:oMath>
          <m:r>
            <m:t>H</m:t>
          </m:r>
          <m:r>
            <m:t>S</m:t>
          </m:r>
          <m:r>
            <m:t>D</m:t>
          </m:r>
          <m:r>
            <m:rPr>
              <m:sty m:val="p"/>
            </m:rPr>
            <m:t>=</m:t>
          </m:r>
          <m:d>
            <m:dPr>
              <m:begChr m:val="("/>
              <m:endChr m:val=")"/>
              <m:sepChr m:val=""/>
              <m:grow/>
            </m:dPr>
            <m:e>
              <m:sSub>
                <m:e>
                  <m:r>
                    <m:t>q</m:t>
                  </m:r>
                </m:e>
                <m:sub>
                  <m:r>
                    <m:t>k</m:t>
                  </m:r>
                </m:sub>
              </m:sSub>
            </m:e>
          </m:d>
          <m:d>
            <m:dPr>
              <m:begChr m:val="("/>
              <m:endChr m:val=")"/>
              <m:sepChr m:val=""/>
              <m:grow/>
            </m:dPr>
            <m:e>
              <m:rad>
                <m:radPr>
                  <m:degHide m:val="1"/>
                </m:radPr>
                <m:deg/>
                <m:e>
                  <m:f>
                    <m:fPr>
                      <m:type m:val="bar"/>
                    </m:fPr>
                    <m:num>
                      <m:r>
                        <m:t>M</m:t>
                      </m:r>
                      <m:sSub>
                        <m:e>
                          <m:r>
                            <m:t>S</m:t>
                          </m:r>
                        </m:e>
                        <m:sub>
                          <m:r>
                            <m:t>R</m:t>
                          </m:r>
                        </m:sub>
                      </m:sSub>
                    </m:num>
                    <m:den>
                      <m:r>
                        <m:t>n</m:t>
                      </m:r>
                    </m:den>
                  </m:f>
                </m:e>
              </m:rad>
            </m:e>
          </m:d>
        </m:oMath>
      </m:oMathPara>
    </w:p>
    <w:bookmarkEnd w:id="35"/>
    <w:bookmarkStart w:id="36" w:name="variance-explained"/>
    <w:p>
      <w:pPr>
        <w:pStyle w:val="Heading2"/>
      </w:pPr>
      <w:r>
        <w:t xml:space="preserve">Variance Explained</w:t>
      </w:r>
    </w:p>
    <w:p>
      <w:pPr>
        <w:pStyle w:val="FirstParagraph"/>
      </w:pPr>
      <w:r>
        <w:t xml:space="preserve">Report the</w:t>
      </w:r>
      <w:r>
        <w:t xml:space="preserve"> </w:t>
      </w:r>
      <m:oMath>
        <m:sSup>
          <m:e>
            <m:r>
              <m:t>R</m:t>
            </m:r>
          </m:e>
          <m:sup>
            <m:r>
              <m:t>2</m:t>
            </m:r>
          </m:sup>
        </m:sSup>
      </m:oMath>
      <w:r>
        <w:t xml:space="preserve">/</w:t>
      </w:r>
      <m:oMath>
        <m:sSup>
          <m:e>
            <m:r>
              <m:t>η</m:t>
            </m:r>
          </m:e>
          <m:sup>
            <m:r>
              <m:t>2</m:t>
            </m:r>
          </m:sup>
        </m:sSup>
      </m:oMath>
    </w:p>
    <w:p>
      <w:pPr>
        <w:pStyle w:val="BodyText"/>
      </w:pPr>
      <m:oMathPara>
        <m:oMathParaPr>
          <m:jc m:val="center"/>
        </m:oMathParaPr>
        <m:oMath>
          <m:sSup>
            <m:e>
              <m:r>
                <m:t>R</m:t>
              </m:r>
            </m:e>
            <m:sup>
              <m:r>
                <m:t>2</m:t>
              </m:r>
            </m:sup>
          </m:sSup>
          <m:r>
            <m:rPr>
              <m:sty m:val="p"/>
            </m:rPr>
            <m:t>=</m:t>
          </m:r>
          <m:sSup>
            <m:e>
              <m:r>
                <m:t>η</m:t>
              </m:r>
            </m:e>
            <m:sup>
              <m:r>
                <m:t>2</m:t>
              </m:r>
            </m:sup>
          </m:sSup>
          <m:r>
            <m:rPr>
              <m:sty m:val="p"/>
            </m:rPr>
            <m:t>=</m:t>
          </m:r>
          <m:f>
            <m:fPr>
              <m:type m:val="bar"/>
            </m:fPr>
            <m:num>
              <m:r>
                <m:t>S</m:t>
              </m:r>
              <m:sSub>
                <m:e>
                  <m:r>
                    <m:t>S</m:t>
                  </m:r>
                </m:e>
                <m:sub>
                  <m:r>
                    <m:t>M</m:t>
                  </m:r>
                </m:sub>
              </m:sSub>
            </m:num>
            <m:den>
              <m:r>
                <m:t>S</m:t>
              </m:r>
              <m:sSub>
                <m:e>
                  <m:r>
                    <m:t>S</m:t>
                  </m:r>
                </m:e>
                <m:sub>
                  <m:r>
                    <m:t>T</m:t>
                  </m:r>
                </m:sub>
              </m:sSub>
            </m:den>
          </m:f>
        </m:oMath>
      </m:oMathPara>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www.real-statistics.com/statistics-tables/studentized-range-q-table/" TargetMode="External" /></Relationships>
</file>

<file path=word/_rels/footnotes.xml.rels><?xml version="1.0" encoding="UTF-8"?><Relationships xmlns="http://schemas.openxmlformats.org/package/2006/relationships"><Relationship Type="http://schemas.openxmlformats.org/officeDocument/2006/relationships/hyperlink" Id="rId34" Target="https://www.real-statistics.com/statistics-tables/studentized-range-q-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problem_set_9</dc:title>
  <dc:creator>Jonathan A. Pedroza, PhD</dc:creator>
  <cp:keywords/>
  <dcterms:created xsi:type="dcterms:W3CDTF">2022-03-25T18:04:54Z</dcterms:created>
  <dcterms:modified xsi:type="dcterms:W3CDTF">2022-03-25T18:04:54Z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2022-03-24</vt:lpwstr>
  </property>
  <property fmtid="{D5CDD505-2E9C-101B-9397-08002B2CF9AE}" pid="3" name="output">
    <vt:lpwstr>word_document</vt:lpwstr>
  </property>
</Properties>
</file>