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F81A" w14:textId="77777777" w:rsidR="005E77D3" w:rsidRDefault="005307E5" w:rsidP="00D46255">
      <w:pPr>
        <w:pStyle w:val="a3"/>
      </w:pPr>
      <w:r>
        <w:t>机器学习</w:t>
      </w:r>
      <w:r w:rsidR="003D70F3">
        <w:t>评估方法与</w:t>
      </w:r>
      <w:r>
        <w:t>评估指标</w:t>
      </w:r>
    </w:p>
    <w:p w14:paraId="0B1BF0D7" w14:textId="77777777" w:rsidR="00D46255" w:rsidRDefault="00282CFC" w:rsidP="00534595">
      <w:pPr>
        <w:pStyle w:val="1"/>
      </w:pPr>
      <w:r>
        <w:rPr>
          <w:rFonts w:hint="eastAsia"/>
        </w:rPr>
        <w:t>离线</w:t>
      </w:r>
      <w:r w:rsidR="00AC2AA4">
        <w:rPr>
          <w:rFonts w:hint="eastAsia"/>
        </w:rPr>
        <w:t>评估方法</w:t>
      </w:r>
    </w:p>
    <w:p w14:paraId="49F31117" w14:textId="77777777" w:rsidR="00282CFC" w:rsidRPr="00282CFC" w:rsidRDefault="00282CFC" w:rsidP="00282CFC">
      <w:r>
        <w:rPr>
          <w:rFonts w:hint="eastAsia"/>
        </w:rPr>
        <w:tab/>
      </w:r>
      <w:r>
        <w:rPr>
          <w:rFonts w:hint="eastAsia"/>
        </w:rPr>
        <w:t>离线评估的基本原理是在离线环境中，将数据集划分为“训练集”和“测试集”</w:t>
      </w:r>
      <w:r w:rsidR="009D107F">
        <w:rPr>
          <w:rFonts w:hint="eastAsia"/>
        </w:rPr>
        <w:t>，</w:t>
      </w:r>
      <w:r w:rsidR="00427AF6">
        <w:rPr>
          <w:rFonts w:hint="eastAsia"/>
        </w:rPr>
        <w:t>用“训练集”训练模型，</w:t>
      </w:r>
      <w:r w:rsidR="00833609">
        <w:rPr>
          <w:rFonts w:hint="eastAsia"/>
        </w:rPr>
        <w:t>用“测试集”评估模型，</w:t>
      </w:r>
      <w:r w:rsidR="0058476A">
        <w:rPr>
          <w:rFonts w:hint="eastAsia"/>
        </w:rPr>
        <w:t>根据数据集划分方法的不同，离线评估可以分为以下</w:t>
      </w:r>
      <w:r w:rsidR="0058476A">
        <w:rPr>
          <w:rFonts w:hint="eastAsia"/>
        </w:rPr>
        <w:t>3</w:t>
      </w:r>
      <w:r w:rsidR="0058476A">
        <w:rPr>
          <w:rFonts w:hint="eastAsia"/>
        </w:rPr>
        <w:t>种。</w:t>
      </w:r>
    </w:p>
    <w:p w14:paraId="0CE386E9" w14:textId="77777777" w:rsidR="00534595" w:rsidRDefault="00D62879" w:rsidP="00FD7C7F">
      <w:pPr>
        <w:pStyle w:val="2"/>
      </w:pPr>
      <w:r>
        <w:t>H</w:t>
      </w:r>
      <w:r>
        <w:rPr>
          <w:rFonts w:hint="eastAsia"/>
        </w:rPr>
        <w:t>oldout</w:t>
      </w:r>
      <w:r>
        <w:rPr>
          <w:rFonts w:hint="eastAsia"/>
        </w:rPr>
        <w:t>检验</w:t>
      </w:r>
    </w:p>
    <w:p w14:paraId="0FBB4D2C" w14:textId="77777777" w:rsidR="008B1BC9" w:rsidRDefault="007A67A6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检验是基础的离线评估方法，</w:t>
      </w:r>
      <w:r w:rsidR="00D63B31">
        <w:rPr>
          <w:rFonts w:hint="eastAsia"/>
        </w:rPr>
        <w:t>它将原始的样本集合随机的划分为训练集和验证集两部分</w:t>
      </w:r>
      <w:r w:rsidR="002A2BC3">
        <w:rPr>
          <w:rFonts w:hint="eastAsia"/>
        </w:rPr>
        <w:t>。通常选择</w:t>
      </w:r>
      <w:r w:rsidR="002A2BC3">
        <w:rPr>
          <w:rFonts w:hint="eastAsia"/>
        </w:rPr>
        <w:t>7:3</w:t>
      </w:r>
      <w:r w:rsidR="002A2BC3">
        <w:rPr>
          <w:rFonts w:hint="eastAsia"/>
        </w:rPr>
        <w:t>作为划分比例，</w:t>
      </w:r>
      <w:r w:rsidR="00484015">
        <w:rPr>
          <w:rFonts w:hint="eastAsia"/>
        </w:rPr>
        <w:t>70%</w:t>
      </w:r>
      <w:r w:rsidR="00484015">
        <w:rPr>
          <w:rFonts w:hint="eastAsia"/>
        </w:rPr>
        <w:t>的样本用于模型的训练，</w:t>
      </w:r>
      <w:r w:rsidR="00123E19">
        <w:rPr>
          <w:rFonts w:hint="eastAsia"/>
        </w:rPr>
        <w:t>30%</w:t>
      </w:r>
      <w:r w:rsidR="00123E19">
        <w:rPr>
          <w:rFonts w:hint="eastAsia"/>
        </w:rPr>
        <w:t>的样本用于模型的评估。</w:t>
      </w:r>
    </w:p>
    <w:p w14:paraId="1F8C5120" w14:textId="77777777" w:rsidR="00DD4580" w:rsidRPr="008B1BC9" w:rsidRDefault="00DD4580" w:rsidP="00712472">
      <w:pPr>
        <w:ind w:firstLine="420"/>
      </w:pPr>
      <w:r>
        <w:rPr>
          <w:rFonts w:hint="eastAsia"/>
        </w:rPr>
        <w:t>Holdout</w:t>
      </w:r>
      <w:r>
        <w:rPr>
          <w:rFonts w:hint="eastAsia"/>
        </w:rPr>
        <w:t>的缺点是：</w:t>
      </w:r>
      <w:r w:rsidR="00836F74">
        <w:rPr>
          <w:rFonts w:hint="eastAsia"/>
        </w:rPr>
        <w:t>在验证集上计算出来的评估指标</w:t>
      </w:r>
      <w:r w:rsidR="00B33EBF">
        <w:rPr>
          <w:rFonts w:hint="eastAsia"/>
        </w:rPr>
        <w:t>与训练集和验证集的划分有直接的关系，</w:t>
      </w:r>
      <w:r w:rsidR="008600D6">
        <w:rPr>
          <w:rFonts w:hint="eastAsia"/>
        </w:rPr>
        <w:t>如果仅进行少量的</w:t>
      </w:r>
      <w:r w:rsidR="008600D6">
        <w:rPr>
          <w:rFonts w:hint="eastAsia"/>
        </w:rPr>
        <w:t>Holdout</w:t>
      </w:r>
      <w:r w:rsidR="008600D6">
        <w:rPr>
          <w:rFonts w:hint="eastAsia"/>
        </w:rPr>
        <w:t>检验，</w:t>
      </w:r>
      <w:r w:rsidR="003F08B1">
        <w:rPr>
          <w:rFonts w:hint="eastAsia"/>
        </w:rPr>
        <w:t>则得到的结论存在较大的随机性</w:t>
      </w:r>
      <w:r w:rsidR="00794F0E">
        <w:rPr>
          <w:rFonts w:hint="eastAsia"/>
        </w:rPr>
        <w:t>。为了消除这种随机性，</w:t>
      </w:r>
      <w:r w:rsidR="00CC5C64">
        <w:rPr>
          <w:rFonts w:hint="eastAsia"/>
        </w:rPr>
        <w:t>“交叉检验”的思想被提出</w:t>
      </w:r>
      <w:r w:rsidR="00184CAE">
        <w:rPr>
          <w:rFonts w:hint="eastAsia"/>
        </w:rPr>
        <w:t>。</w:t>
      </w:r>
    </w:p>
    <w:p w14:paraId="6510FEAE" w14:textId="77777777" w:rsidR="00FD7C7F" w:rsidRDefault="00CA3098" w:rsidP="003D70F3">
      <w:pPr>
        <w:pStyle w:val="2"/>
      </w:pPr>
      <w:r>
        <w:rPr>
          <w:rFonts w:hint="eastAsia"/>
        </w:rPr>
        <w:t>交叉检验</w:t>
      </w:r>
    </w:p>
    <w:p w14:paraId="5807530B" w14:textId="77777777" w:rsidR="006A7577" w:rsidRDefault="006A7577" w:rsidP="006A7577">
      <w:r>
        <w:rPr>
          <w:rFonts w:hint="eastAsia"/>
        </w:rPr>
        <w:tab/>
        <w:t>k-fold</w:t>
      </w:r>
      <w:r>
        <w:rPr>
          <w:rFonts w:hint="eastAsia"/>
        </w:rPr>
        <w:t>交叉验证：</w:t>
      </w:r>
      <w:r w:rsidR="00EB261B">
        <w:rPr>
          <w:rFonts w:hint="eastAsia"/>
        </w:rPr>
        <w:t>先将全部样本划分成</w:t>
      </w:r>
      <w:r w:rsidR="00EB261B">
        <w:rPr>
          <w:rFonts w:hint="eastAsia"/>
        </w:rPr>
        <w:t>k</w:t>
      </w:r>
      <w:proofErr w:type="gramStart"/>
      <w:r w:rsidR="00EB261B">
        <w:rPr>
          <w:rFonts w:hint="eastAsia"/>
        </w:rPr>
        <w:t>个</w:t>
      </w:r>
      <w:proofErr w:type="gramEnd"/>
      <w:r w:rsidR="00EB261B">
        <w:rPr>
          <w:rFonts w:hint="eastAsia"/>
        </w:rPr>
        <w:t>大小相等的样本子集</w:t>
      </w:r>
      <w:r w:rsidR="00EC55BF">
        <w:rPr>
          <w:rFonts w:hint="eastAsia"/>
        </w:rPr>
        <w:t>；依次遍历这</w:t>
      </w:r>
      <w:r w:rsidR="00EC55BF">
        <w:rPr>
          <w:rFonts w:hint="eastAsia"/>
        </w:rPr>
        <w:t>k</w:t>
      </w:r>
      <w:proofErr w:type="gramStart"/>
      <w:r w:rsidR="00EC55BF">
        <w:rPr>
          <w:rFonts w:hint="eastAsia"/>
        </w:rPr>
        <w:t>个</w:t>
      </w:r>
      <w:proofErr w:type="gramEnd"/>
      <w:r w:rsidR="00EC55BF">
        <w:rPr>
          <w:rFonts w:hint="eastAsia"/>
        </w:rPr>
        <w:t>子集，</w:t>
      </w:r>
      <w:r w:rsidR="0084519E">
        <w:rPr>
          <w:rFonts w:hint="eastAsia"/>
        </w:rPr>
        <w:t>每次都先把当前子集作为验证集，</w:t>
      </w:r>
      <w:r w:rsidR="00BB6DD0">
        <w:rPr>
          <w:rFonts w:hint="eastAsia"/>
        </w:rPr>
        <w:t>其余所有子集作为训练集，</w:t>
      </w:r>
      <w:r w:rsidR="00BB6E1F">
        <w:rPr>
          <w:rFonts w:hint="eastAsia"/>
        </w:rPr>
        <w:t>进行模型的训练和评估</w:t>
      </w:r>
      <w:r w:rsidR="008A20CB">
        <w:rPr>
          <w:rFonts w:hint="eastAsia"/>
        </w:rPr>
        <w:t>；最后把所有</w:t>
      </w:r>
      <w:r w:rsidR="008A20CB">
        <w:rPr>
          <w:rFonts w:hint="eastAsia"/>
        </w:rPr>
        <w:t>k</w:t>
      </w:r>
      <w:r w:rsidR="008A20CB">
        <w:rPr>
          <w:rFonts w:hint="eastAsia"/>
        </w:rPr>
        <w:t>次的评估指标</w:t>
      </w:r>
      <w:r w:rsidR="000B0DBF">
        <w:rPr>
          <w:rFonts w:hint="eastAsia"/>
        </w:rPr>
        <w:t>的平均值</w:t>
      </w:r>
      <w:r w:rsidR="0067535C">
        <w:rPr>
          <w:rFonts w:hint="eastAsia"/>
        </w:rPr>
        <w:t>作为最终的评估指标。在实际经验中，</w:t>
      </w:r>
      <w:r w:rsidR="0067535C">
        <w:rPr>
          <w:rFonts w:hint="eastAsia"/>
        </w:rPr>
        <w:t>k</w:t>
      </w:r>
      <w:r w:rsidR="0067535C">
        <w:rPr>
          <w:rFonts w:hint="eastAsia"/>
        </w:rPr>
        <w:t>通常取</w:t>
      </w:r>
      <w:r w:rsidR="00FF54DD">
        <w:rPr>
          <w:rFonts w:hint="eastAsia"/>
        </w:rPr>
        <w:t>10</w:t>
      </w:r>
      <w:r w:rsidR="00FF54DD">
        <w:rPr>
          <w:rFonts w:hint="eastAsia"/>
        </w:rPr>
        <w:t>。</w:t>
      </w:r>
    </w:p>
    <w:p w14:paraId="2C09B42D" w14:textId="77777777" w:rsidR="00FF54DD" w:rsidRPr="006A7577" w:rsidRDefault="00826EBF" w:rsidP="006A7577">
      <w:r>
        <w:rPr>
          <w:rFonts w:hint="eastAsia"/>
        </w:rPr>
        <w:tab/>
      </w:r>
      <w:r>
        <w:rPr>
          <w:rFonts w:hint="eastAsia"/>
        </w:rPr>
        <w:t>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验证：每次留下一个样本作为验证集</w:t>
      </w:r>
      <w:r w:rsidR="0026605C">
        <w:rPr>
          <w:rFonts w:hint="eastAsia"/>
        </w:rPr>
        <w:t>，</w:t>
      </w:r>
      <w:r w:rsidR="004F10F0">
        <w:rPr>
          <w:rFonts w:hint="eastAsia"/>
        </w:rPr>
        <w:t>其余所有样本作为测试集</w:t>
      </w:r>
      <w:r w:rsidR="00DE1951">
        <w:rPr>
          <w:rFonts w:hint="eastAsia"/>
        </w:rPr>
        <w:t>。样本总数为</w:t>
      </w:r>
      <w:r w:rsidR="00DE1951">
        <w:rPr>
          <w:rFonts w:hint="eastAsia"/>
        </w:rPr>
        <w:t>n</w:t>
      </w:r>
      <w:r w:rsidR="00DE1951">
        <w:rPr>
          <w:rFonts w:hint="eastAsia"/>
        </w:rPr>
        <w:t>，依次遍历所有</w:t>
      </w:r>
      <w:r w:rsidR="00DE1951">
        <w:rPr>
          <w:rFonts w:hint="eastAsia"/>
        </w:rPr>
        <w:t>n</w:t>
      </w:r>
      <w:proofErr w:type="gramStart"/>
      <w:r w:rsidR="00DE1951">
        <w:rPr>
          <w:rFonts w:hint="eastAsia"/>
        </w:rPr>
        <w:t>个</w:t>
      </w:r>
      <w:proofErr w:type="gramEnd"/>
      <w:r w:rsidR="00DE1951">
        <w:rPr>
          <w:rFonts w:hint="eastAsia"/>
        </w:rPr>
        <w:t>样本，进行</w:t>
      </w:r>
      <w:r w:rsidR="00DE1951">
        <w:rPr>
          <w:rFonts w:hint="eastAsia"/>
        </w:rPr>
        <w:t>n</w:t>
      </w:r>
      <w:r w:rsidR="00DE1951">
        <w:rPr>
          <w:rFonts w:hint="eastAsia"/>
        </w:rPr>
        <w:t>次验证，再将评估指标</w:t>
      </w:r>
      <w:proofErr w:type="gramStart"/>
      <w:r w:rsidR="00DE1951">
        <w:rPr>
          <w:rFonts w:hint="eastAsia"/>
        </w:rPr>
        <w:t>求平均</w:t>
      </w:r>
      <w:proofErr w:type="gramEnd"/>
      <w:r w:rsidR="00DE1951">
        <w:rPr>
          <w:rFonts w:hint="eastAsia"/>
        </w:rPr>
        <w:t>得到最终指标</w:t>
      </w:r>
      <w:r w:rsidR="00EF15C6">
        <w:rPr>
          <w:rFonts w:hint="eastAsia"/>
        </w:rPr>
        <w:t>。在样本总数较多的情况下，留一验证发的时间开销极大。事实上，留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验证是留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验证的特例。留</w:t>
      </w:r>
      <w:r w:rsidR="00EF15C6">
        <w:rPr>
          <w:rFonts w:hint="eastAsia"/>
        </w:rPr>
        <w:t>p</w:t>
      </w:r>
      <w:r w:rsidR="00EF15C6">
        <w:rPr>
          <w:rFonts w:hint="eastAsia"/>
        </w:rPr>
        <w:t>验证是指每次留下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样本作为验证集，而从</w:t>
      </w:r>
      <w:r w:rsidR="00EF15C6">
        <w:rPr>
          <w:rFonts w:hint="eastAsia"/>
        </w:rPr>
        <w:t>n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元素中选择</w:t>
      </w:r>
      <w:r w:rsidR="00EF15C6">
        <w:rPr>
          <w:rFonts w:hint="eastAsia"/>
        </w:rPr>
        <w:t>p</w:t>
      </w:r>
      <w:proofErr w:type="gramStart"/>
      <w:r w:rsidR="00EF15C6">
        <w:rPr>
          <w:rFonts w:hint="eastAsia"/>
        </w:rPr>
        <w:t>个</w:t>
      </w:r>
      <w:proofErr w:type="gramEnd"/>
      <w:r w:rsidR="00EF15C6">
        <w:rPr>
          <w:rFonts w:hint="eastAsia"/>
        </w:rPr>
        <w:t>元素有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EF15C6">
        <w:rPr>
          <w:rFonts w:hint="eastAsia"/>
        </w:rPr>
        <w:t>种可能，因此它的时间开销远远高于留</w:t>
      </w:r>
      <w:proofErr w:type="gramStart"/>
      <w:r w:rsidR="00EF15C6">
        <w:rPr>
          <w:rFonts w:hint="eastAsia"/>
        </w:rPr>
        <w:t>一</w:t>
      </w:r>
      <w:proofErr w:type="gramEnd"/>
      <w:r w:rsidR="00EF15C6">
        <w:rPr>
          <w:rFonts w:hint="eastAsia"/>
        </w:rPr>
        <w:t>验证，故很少在实际工程中应用</w:t>
      </w:r>
      <w:r w:rsidR="00EC0414">
        <w:rPr>
          <w:rFonts w:hint="eastAsia"/>
        </w:rPr>
        <w:t>。</w:t>
      </w:r>
    </w:p>
    <w:p w14:paraId="0B51DA66" w14:textId="77777777" w:rsidR="00CA3098" w:rsidRDefault="00235D34" w:rsidP="003D70F3">
      <w:pPr>
        <w:pStyle w:val="2"/>
      </w:pPr>
      <w:r>
        <w:rPr>
          <w:rFonts w:hint="eastAsia"/>
        </w:rPr>
        <w:t>自助法</w:t>
      </w:r>
    </w:p>
    <w:p w14:paraId="5E34296F" w14:textId="77777777" w:rsidR="00402288" w:rsidRDefault="00F23604" w:rsidP="00B07F61">
      <w:pPr>
        <w:ind w:firstLine="420"/>
      </w:pPr>
      <w:r>
        <w:rPr>
          <w:rFonts w:hint="eastAsia"/>
        </w:rPr>
        <w:t>不管是</w:t>
      </w:r>
      <w:r>
        <w:rPr>
          <w:rFonts w:hint="eastAsia"/>
        </w:rPr>
        <w:t>holdout</w:t>
      </w:r>
      <w:r>
        <w:rPr>
          <w:rFonts w:hint="eastAsia"/>
        </w:rPr>
        <w:t>检验还是交叉检验，</w:t>
      </w:r>
      <w:r w:rsidR="00D97E06">
        <w:rPr>
          <w:rFonts w:hint="eastAsia"/>
        </w:rPr>
        <w:t>都是基于划分训练集和测试集的方法进行模型评估的，</w:t>
      </w:r>
      <w:r w:rsidR="002900AD">
        <w:rPr>
          <w:rFonts w:hint="eastAsia"/>
        </w:rPr>
        <w:t>然后当样本规模比较小时，</w:t>
      </w:r>
      <w:r w:rsidR="00653568">
        <w:rPr>
          <w:rFonts w:hint="eastAsia"/>
        </w:rPr>
        <w:t>将样本集进行划分会让训练集进一步减小，</w:t>
      </w:r>
      <w:r w:rsidR="001951B7">
        <w:rPr>
          <w:rFonts w:hint="eastAsia"/>
        </w:rPr>
        <w:t>这可能会影响模型的训练效果。自助法可以在一定程度上解决这个问题。</w:t>
      </w:r>
    </w:p>
    <w:p w14:paraId="122671E0" w14:textId="77777777" w:rsidR="00E71D84" w:rsidRDefault="00384135" w:rsidP="00B07F61">
      <w:pPr>
        <w:ind w:firstLine="420"/>
      </w:pPr>
      <w:r>
        <w:rPr>
          <w:rFonts w:hint="eastAsia"/>
        </w:rPr>
        <w:t>自助法（</w:t>
      </w:r>
      <w:r>
        <w:rPr>
          <w:rFonts w:hint="eastAsia"/>
        </w:rPr>
        <w:t>Bootstrap</w:t>
      </w:r>
      <w:r>
        <w:rPr>
          <w:rFonts w:hint="eastAsia"/>
        </w:rPr>
        <w:t>）是基于自采样的检验方法：</w:t>
      </w:r>
      <w:r w:rsidR="009A5B43">
        <w:rPr>
          <w:rFonts w:hint="eastAsia"/>
        </w:rPr>
        <w:t>对于总数为</w:t>
      </w:r>
      <w:r w:rsidR="009A5B43">
        <w:rPr>
          <w:rFonts w:hint="eastAsia"/>
        </w:rPr>
        <w:t>n</w:t>
      </w:r>
      <w:r w:rsidR="009A5B43">
        <w:rPr>
          <w:rFonts w:hint="eastAsia"/>
        </w:rPr>
        <w:t>的样本集合，</w:t>
      </w:r>
      <w:r w:rsidR="0031182C">
        <w:rPr>
          <w:rFonts w:hint="eastAsia"/>
        </w:rPr>
        <w:t>进行</w:t>
      </w:r>
      <w:r w:rsidR="0031182C">
        <w:rPr>
          <w:rFonts w:hint="eastAsia"/>
        </w:rPr>
        <w:t>n</w:t>
      </w:r>
      <w:r w:rsidR="0031182C">
        <w:rPr>
          <w:rFonts w:hint="eastAsia"/>
        </w:rPr>
        <w:t>次有放回的随机采样，得到大小为</w:t>
      </w:r>
      <w:r w:rsidR="0031182C">
        <w:rPr>
          <w:rFonts w:hint="eastAsia"/>
        </w:rPr>
        <w:t>n</w:t>
      </w:r>
      <w:r w:rsidR="0031182C">
        <w:rPr>
          <w:rFonts w:hint="eastAsia"/>
        </w:rPr>
        <w:t>的训练集</w:t>
      </w:r>
      <w:r w:rsidR="0094497B">
        <w:rPr>
          <w:rFonts w:hint="eastAsia"/>
        </w:rPr>
        <w:t>。在</w:t>
      </w:r>
      <w:r w:rsidR="0094497B">
        <w:rPr>
          <w:rFonts w:hint="eastAsia"/>
        </w:rPr>
        <w:t>n</w:t>
      </w:r>
      <w:r w:rsidR="0094497B">
        <w:rPr>
          <w:rFonts w:hint="eastAsia"/>
        </w:rPr>
        <w:t>次采样过程中，有的样本会被重复采样，</w:t>
      </w:r>
      <w:r w:rsidR="00B8214C">
        <w:rPr>
          <w:rFonts w:hint="eastAsia"/>
        </w:rPr>
        <w:t>有的样本没有被采样过，</w:t>
      </w:r>
      <w:r w:rsidR="008518B9">
        <w:rPr>
          <w:rFonts w:hint="eastAsia"/>
        </w:rPr>
        <w:t>这些没有被采样的样本作为验证集进行模型验证，这就是自助法的验证过程。</w:t>
      </w:r>
    </w:p>
    <w:p w14:paraId="67EB5D16" w14:textId="77777777" w:rsidR="00402288" w:rsidRPr="00402288" w:rsidRDefault="00071DEC" w:rsidP="008909F3">
      <w:pPr>
        <w:pStyle w:val="1"/>
      </w:pPr>
      <w:r>
        <w:rPr>
          <w:rFonts w:hint="eastAsia"/>
        </w:rPr>
        <w:lastRenderedPageBreak/>
        <w:t>离线</w:t>
      </w:r>
      <w:r w:rsidR="00402288">
        <w:rPr>
          <w:rFonts w:hint="eastAsia"/>
        </w:rPr>
        <w:t>评估指标</w:t>
      </w:r>
    </w:p>
    <w:p w14:paraId="4B5F1678" w14:textId="77777777" w:rsidR="00D62879" w:rsidRDefault="008909F3" w:rsidP="0019012B">
      <w:pPr>
        <w:pStyle w:val="2"/>
      </w:pPr>
      <w:r>
        <w:rPr>
          <w:rFonts w:hint="eastAsia"/>
        </w:rPr>
        <w:t>准确率</w:t>
      </w:r>
    </w:p>
    <w:p w14:paraId="19EDCEA4" w14:textId="77777777" w:rsidR="00BE77C4" w:rsidRDefault="00FB079A" w:rsidP="00BE77C4">
      <w:r>
        <w:rPr>
          <w:rFonts w:hint="eastAsia"/>
        </w:rPr>
        <w:tab/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）是</w:t>
      </w:r>
      <w:r w:rsidR="00BD0A3B">
        <w:rPr>
          <w:rFonts w:hint="eastAsia"/>
        </w:rPr>
        <w:t>指分类正确样本占总样本个数的比例</w:t>
      </w:r>
      <w:r w:rsidR="00256AA1">
        <w:rPr>
          <w:rFonts w:hint="eastAsia"/>
        </w:rPr>
        <w:t>，即</w:t>
      </w:r>
      <w:r w:rsidR="001F3775">
        <w:rPr>
          <w:rFonts w:hint="eastAsia"/>
        </w:rPr>
        <w:t>：</w:t>
      </w:r>
    </w:p>
    <w:p w14:paraId="531D2346" w14:textId="77777777" w:rsidR="00FF1F44" w:rsidRPr="00FF1F44" w:rsidRDefault="00FF1F44" w:rsidP="00BE77C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Acc</m:t>
          </m:r>
          <m:r>
            <m:rPr>
              <m:sty m:val="p"/>
            </m:rPr>
            <w:rPr>
              <w:rFonts w:ascii="Cambria Math" w:hAnsi="Cambria Math"/>
            </w:rPr>
            <m:t>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correct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den>
          </m:f>
        </m:oMath>
      </m:oMathPara>
    </w:p>
    <w:p w14:paraId="1FDF0907" w14:textId="77777777" w:rsidR="00FF1F44" w:rsidRDefault="00FF1F44" w:rsidP="00BE77C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correct</m:t>
            </m:r>
          </m:sub>
        </m:sSub>
      </m:oMath>
      <w:r w:rsidR="002A2445">
        <w:t>为被正确分类的样本个数</w:t>
      </w:r>
      <w:r w:rsidR="002A244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EE1452">
        <w:t>为总样本个数</w:t>
      </w:r>
      <w:r w:rsidR="00354427">
        <w:rPr>
          <w:rFonts w:hint="eastAsia"/>
        </w:rPr>
        <w:t>，</w:t>
      </w:r>
      <w:r w:rsidR="00354427">
        <w:rPr>
          <w:rFonts w:hint="eastAsia"/>
        </w:rPr>
        <w:t>TP</w:t>
      </w:r>
      <w:r w:rsidR="00354427">
        <w:rPr>
          <w:rFonts w:hint="eastAsia"/>
        </w:rPr>
        <w:t>表示预测为正并且实际也为正的</w:t>
      </w:r>
      <w:r w:rsidR="00BB615B">
        <w:rPr>
          <w:rFonts w:hint="eastAsia"/>
        </w:rPr>
        <w:t>样本</w:t>
      </w:r>
      <w:r w:rsidR="00354427">
        <w:rPr>
          <w:rFonts w:hint="eastAsia"/>
        </w:rPr>
        <w:t>个数，</w:t>
      </w:r>
      <w:r w:rsidR="00BB615B">
        <w:rPr>
          <w:rFonts w:hint="eastAsia"/>
        </w:rPr>
        <w:t>TN</w:t>
      </w:r>
      <w:r w:rsidR="00BB615B">
        <w:rPr>
          <w:rFonts w:hint="eastAsia"/>
        </w:rPr>
        <w:t>表示预测为负并且实际也为负的样本个数</w:t>
      </w:r>
      <w:r w:rsidR="00D21D3D">
        <w:rPr>
          <w:rFonts w:hint="eastAsia"/>
        </w:rPr>
        <w:t>。</w:t>
      </w:r>
    </w:p>
    <w:p w14:paraId="4A6A07CA" w14:textId="71891F89" w:rsidR="00D36311" w:rsidRDefault="00155E68" w:rsidP="00BE77C4">
      <w:r>
        <w:rPr>
          <w:rFonts w:hint="eastAsia"/>
        </w:rPr>
        <w:tab/>
      </w:r>
      <w:r>
        <w:rPr>
          <w:rFonts w:hint="eastAsia"/>
        </w:rPr>
        <w:t>准确率是分类任务中较直观的评价指标，</w:t>
      </w:r>
      <w:r w:rsidR="00331BDA">
        <w:rPr>
          <w:rFonts w:hint="eastAsia"/>
        </w:rPr>
        <w:t>虽然其具有较强的可解释性，</w:t>
      </w:r>
      <w:r w:rsidR="00D41194">
        <w:rPr>
          <w:rFonts w:hint="eastAsia"/>
        </w:rPr>
        <w:t>但也</w:t>
      </w:r>
      <w:r w:rsidR="002E72B1">
        <w:rPr>
          <w:rFonts w:hint="eastAsia"/>
        </w:rPr>
        <w:t>存在缺陷：当不同类别的样本比例非常不均衡时，占比大的类别往往成为影响准确率的最主要因素。例如：</w:t>
      </w:r>
      <w:r w:rsidR="005322C4">
        <w:rPr>
          <w:rFonts w:hint="eastAsia"/>
        </w:rPr>
        <w:t>如果负样本占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，那么分类器把所有样本都预测为负样本可以获得</w:t>
      </w:r>
      <w:r w:rsidR="005322C4">
        <w:rPr>
          <w:rFonts w:hint="eastAsia"/>
        </w:rPr>
        <w:t>9</w:t>
      </w:r>
      <w:r w:rsidR="005322C4">
        <w:t>9</w:t>
      </w:r>
      <w:r w:rsidR="005322C4">
        <w:rPr>
          <w:rFonts w:hint="eastAsia"/>
        </w:rPr>
        <w:t>%</w:t>
      </w:r>
      <w:r w:rsidR="005322C4">
        <w:rPr>
          <w:rFonts w:hint="eastAsia"/>
        </w:rPr>
        <w:t>的准确率。</w:t>
      </w:r>
    </w:p>
    <w:p w14:paraId="348BCD25" w14:textId="77777777" w:rsidR="005322C4" w:rsidRPr="00FF1F44" w:rsidRDefault="005322C4" w:rsidP="00BE77C4"/>
    <w:p w14:paraId="60B9BDB4" w14:textId="77777777" w:rsidR="007602D4" w:rsidRPr="00BE77C4" w:rsidRDefault="007602D4" w:rsidP="00BE77C4"/>
    <w:p w14:paraId="50AF7CC1" w14:textId="77777777" w:rsidR="008909F3" w:rsidRDefault="00BF3AAC" w:rsidP="0019012B">
      <w:pPr>
        <w:pStyle w:val="2"/>
      </w:pPr>
      <w:r>
        <w:rPr>
          <w:rFonts w:hint="eastAsia"/>
        </w:rPr>
        <w:t>精确率与召回率</w:t>
      </w:r>
    </w:p>
    <w:p w14:paraId="7751D432" w14:textId="0966CC54" w:rsidR="0062112A" w:rsidRDefault="00FC40DB" w:rsidP="000A2289">
      <w:pPr>
        <w:ind w:firstLine="420"/>
      </w:pPr>
      <w:r>
        <w:rPr>
          <w:rFonts w:hint="eastAsia"/>
        </w:rPr>
        <w:t>精确率</w:t>
      </w:r>
      <w:r w:rsidR="006F00AC">
        <w:rPr>
          <w:rFonts w:hint="eastAsia"/>
        </w:rPr>
        <w:t>（</w:t>
      </w:r>
      <w:r w:rsidR="006F00AC">
        <w:rPr>
          <w:rFonts w:hint="eastAsia"/>
        </w:rPr>
        <w:t>Precision</w:t>
      </w:r>
      <w:r w:rsidR="006F00AC">
        <w:rPr>
          <w:rFonts w:hint="eastAsia"/>
        </w:rPr>
        <w:t>）</w:t>
      </w:r>
      <w:r w:rsidR="005938FC">
        <w:rPr>
          <w:rFonts w:hint="eastAsia"/>
        </w:rPr>
        <w:t>是分类正确的正样本个数占分类器判定为正样本的个数的比例。可公式化描述如下：</w:t>
      </w:r>
    </w:p>
    <w:p w14:paraId="19468B6F" w14:textId="77777777" w:rsidR="00FC40DB" w:rsidRPr="00496CBF" w:rsidRDefault="00FC40DB" w:rsidP="000A2289">
      <w:pPr>
        <w:ind w:firstLine="4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预测正的样本个数</m:t>
              </m:r>
            </m:den>
          </m:f>
        </m:oMath>
      </m:oMathPara>
    </w:p>
    <w:p w14:paraId="425FF22C" w14:textId="236D5311" w:rsidR="00496CBF" w:rsidRDefault="00496CBF" w:rsidP="000A2289">
      <w:pPr>
        <w:ind w:firstLine="420"/>
      </w:pPr>
      <w:r w:rsidRPr="00496CBF">
        <w:rPr>
          <w:rFonts w:hint="eastAsia"/>
        </w:rPr>
        <w:t>召回率（</w:t>
      </w:r>
      <w:r w:rsidRPr="00496CBF">
        <w:rPr>
          <w:rFonts w:hint="eastAsia"/>
        </w:rPr>
        <w:t>Recall</w:t>
      </w:r>
      <w:r w:rsidR="006F75AD">
        <w:rPr>
          <w:rFonts w:hint="eastAsia"/>
        </w:rPr>
        <w:t>）</w:t>
      </w:r>
      <w:r w:rsidR="00B0373F">
        <w:rPr>
          <w:rFonts w:hint="eastAsia"/>
        </w:rPr>
        <w:t>是分类正确的正样本个数</w:t>
      </w:r>
      <w:proofErr w:type="gramStart"/>
      <w:r w:rsidR="00B0373F">
        <w:rPr>
          <w:rFonts w:hint="eastAsia"/>
        </w:rPr>
        <w:t>占真正</w:t>
      </w:r>
      <w:proofErr w:type="gramEnd"/>
      <w:r w:rsidR="00B0373F">
        <w:rPr>
          <w:rFonts w:hint="eastAsia"/>
        </w:rPr>
        <w:t>的正样本个数的比例</w:t>
      </w:r>
      <w:r w:rsidR="009A7995">
        <w:rPr>
          <w:rFonts w:hint="eastAsia"/>
        </w:rPr>
        <w:t>。</w:t>
      </w:r>
      <w:r w:rsidR="00B0373F">
        <w:rPr>
          <w:rFonts w:hint="eastAsia"/>
        </w:rPr>
        <w:t>可公式化描述如下：</w:t>
      </w:r>
    </w:p>
    <w:p w14:paraId="75DA5B72" w14:textId="77777777" w:rsidR="0012603D" w:rsidRPr="0012603D" w:rsidRDefault="0012603D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实际为正的样本个数</m:t>
              </m:r>
            </m:den>
          </m:f>
        </m:oMath>
      </m:oMathPara>
    </w:p>
    <w:p w14:paraId="21CA59EA" w14:textId="77777777" w:rsidR="00D15DD6" w:rsidRDefault="00B0373F" w:rsidP="000A2289">
      <w:pPr>
        <w:ind w:firstLine="420"/>
      </w:pPr>
      <w:r>
        <w:rPr>
          <w:rFonts w:hint="eastAsia"/>
        </w:rPr>
        <w:t>精确率和召回率是矛盾统一的两个指标：</w:t>
      </w:r>
      <w:r w:rsidR="00D15DD6">
        <w:rPr>
          <w:rFonts w:hint="eastAsia"/>
        </w:rPr>
        <w:t>为了提高精确率，分类器需要尽量在“更有把握时”，才把样本预测为正样本，但往往会因为过于保守而漏掉很多“没有把握”的正样本，导致召回率很低。</w:t>
      </w:r>
    </w:p>
    <w:p w14:paraId="54F31FF8" w14:textId="4D0BF376" w:rsidR="0012603D" w:rsidRDefault="00D15DD6" w:rsidP="000A2289">
      <w:pPr>
        <w:ind w:firstLine="420"/>
      </w:pPr>
      <w:r>
        <w:rPr>
          <w:rFonts w:hint="eastAsia"/>
        </w:rPr>
        <w:t>为了综合反映</w:t>
      </w:r>
      <w:r>
        <w:rPr>
          <w:rFonts w:hint="eastAsia"/>
        </w:rPr>
        <w:t>Precision</w:t>
      </w:r>
      <w:r>
        <w:rPr>
          <w:rFonts w:hint="eastAsia"/>
        </w:rPr>
        <w:t>和</w:t>
      </w:r>
      <w:r>
        <w:rPr>
          <w:rFonts w:hint="eastAsia"/>
        </w:rPr>
        <w:t>Recall</w:t>
      </w:r>
      <w:r>
        <w:rPr>
          <w:rFonts w:hint="eastAsia"/>
        </w:rPr>
        <w:t>的结果，可以使用</w:t>
      </w:r>
      <w:r>
        <w:rPr>
          <w:rFonts w:hint="eastAsia"/>
        </w:rPr>
        <w:t>F1-score</w:t>
      </w:r>
      <w:r>
        <w:rPr>
          <w:rFonts w:hint="eastAsia"/>
        </w:rPr>
        <w:t>（</w:t>
      </w:r>
      <w:r>
        <w:rPr>
          <w:rFonts w:hint="eastAsia"/>
        </w:rPr>
        <w:t>F1</w:t>
      </w:r>
      <w:r>
        <w:rPr>
          <w:rFonts w:hint="eastAsia"/>
        </w:rPr>
        <w:t>值），</w:t>
      </w:r>
      <w:r w:rsidR="0012603D">
        <w:rPr>
          <w:rFonts w:hint="eastAsia"/>
        </w:rPr>
        <w:t>F1</w:t>
      </w:r>
      <w:r>
        <w:rPr>
          <w:rFonts w:hint="eastAsia"/>
        </w:rPr>
        <w:t>-</w:t>
      </w:r>
      <w:r w:rsidR="0012603D">
        <w:rPr>
          <w:rFonts w:hint="eastAsia"/>
        </w:rPr>
        <w:t>score</w:t>
      </w:r>
      <w:r w:rsidR="0078050F">
        <w:rPr>
          <w:rFonts w:hint="eastAsia"/>
        </w:rPr>
        <w:t>是精确率和召回率的调和平均值，其定义如下：</w:t>
      </w:r>
    </w:p>
    <w:p w14:paraId="0E1E5B2B" w14:textId="77777777" w:rsidR="0012603D" w:rsidRPr="0012603D" w:rsidRDefault="007E686F" w:rsidP="000A2289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2*P*R</m:t>
              </m:r>
            </m:num>
            <m:den>
              <m:r>
                <w:rPr>
                  <w:rFonts w:ascii="Cambria Math" w:hAnsi="Cambria Math"/>
                </w:rPr>
                <m:t>P+R</m:t>
              </m:r>
            </m:den>
          </m:f>
        </m:oMath>
      </m:oMathPara>
    </w:p>
    <w:p w14:paraId="3D9C2D94" w14:textId="7B0150A9" w:rsidR="00BF3AAC" w:rsidRDefault="007F7875" w:rsidP="0019012B">
      <w:pPr>
        <w:pStyle w:val="2"/>
      </w:pPr>
      <w:r>
        <w:rPr>
          <w:rFonts w:hint="eastAsia"/>
        </w:rPr>
        <w:t>均方根误差</w:t>
      </w:r>
    </w:p>
    <w:p w14:paraId="7C806551" w14:textId="1F8EB485" w:rsidR="00831EB0" w:rsidRDefault="00831EB0" w:rsidP="00831EB0">
      <w:r>
        <w:tab/>
      </w:r>
      <w:r>
        <w:rPr>
          <w:rFonts w:hint="eastAsia"/>
        </w:rPr>
        <w:t>均方根误差（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RMSE</w:t>
      </w:r>
      <w:r>
        <w:rPr>
          <w:rFonts w:hint="eastAsia"/>
        </w:rPr>
        <w:t>），经常用于评估回归模型的好坏。其公式化定义如下：</w:t>
      </w:r>
    </w:p>
    <w:p w14:paraId="40B01C59" w14:textId="4D7F16B4" w:rsidR="00831EB0" w:rsidRPr="00831EB0" w:rsidRDefault="00831EB0" w:rsidP="00831EB0">
      <m:oMathPara>
        <m:oMath>
          <m:r>
            <w:rPr>
              <w:rFonts w:ascii="Cambria Math" w:hAnsi="Cambria Math"/>
            </w:rPr>
            <m:t>RMSE=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370AEF" w14:textId="5DD65CD4" w:rsidR="00287B54" w:rsidRDefault="00831EB0" w:rsidP="00831EB0">
      <w:r>
        <w:rPr>
          <w:rFonts w:hint="eastAsia"/>
        </w:rPr>
        <w:lastRenderedPageBreak/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样本点的真实值，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87B54">
        <w:rPr>
          <w:rFonts w:hint="eastAsia"/>
        </w:rPr>
        <w:t>是第</w:t>
      </w:r>
      <w:proofErr w:type="spellStart"/>
      <w:r w:rsidR="00287B54">
        <w:rPr>
          <w:rFonts w:hint="eastAsia"/>
        </w:rPr>
        <w:t>i</w:t>
      </w:r>
      <w:proofErr w:type="spellEnd"/>
      <w:proofErr w:type="gramStart"/>
      <w:r w:rsidR="00287B54">
        <w:rPr>
          <w:rFonts w:hint="eastAsia"/>
        </w:rPr>
        <w:t>个</w:t>
      </w:r>
      <w:proofErr w:type="gramEnd"/>
      <w:r w:rsidR="00287B54">
        <w:rPr>
          <w:rFonts w:hint="eastAsia"/>
        </w:rPr>
        <w:t>样本点的预测值，</w:t>
      </w:r>
      <w:r w:rsidR="00287B54">
        <w:rPr>
          <w:rFonts w:hint="eastAsia"/>
        </w:rPr>
        <w:t>n</w:t>
      </w:r>
      <w:r w:rsidR="00287B54">
        <w:rPr>
          <w:rFonts w:hint="eastAsia"/>
        </w:rPr>
        <w:t>是样本点的个数。</w:t>
      </w:r>
    </w:p>
    <w:p w14:paraId="03B42C34" w14:textId="12081353" w:rsidR="00287B54" w:rsidRDefault="009E6C12" w:rsidP="00831EB0">
      <w:r>
        <w:tab/>
      </w:r>
      <w:r>
        <w:rPr>
          <w:rFonts w:hint="eastAsia"/>
        </w:rPr>
        <w:t>一般情况下，</w:t>
      </w:r>
      <w:r w:rsidR="00E206B7">
        <w:rPr>
          <w:rFonts w:hint="eastAsia"/>
        </w:rPr>
        <w:t>RMSE</w:t>
      </w:r>
      <w:r w:rsidR="00E206B7">
        <w:rPr>
          <w:rFonts w:hint="eastAsia"/>
        </w:rPr>
        <w:t>能够很好的反映回归模型的预测值与真实值的偏离程度。但如果存在一些偏离程度非常大的离群点，那么即使离群点数量非常少，也会让</w:t>
      </w:r>
      <w:r w:rsidR="00E206B7">
        <w:rPr>
          <w:rFonts w:hint="eastAsia"/>
        </w:rPr>
        <w:t>RMSE</w:t>
      </w:r>
      <w:r w:rsidR="00E206B7">
        <w:rPr>
          <w:rFonts w:hint="eastAsia"/>
        </w:rPr>
        <w:t>指标变得</w:t>
      </w:r>
      <w:r w:rsidR="00833B97">
        <w:rPr>
          <w:rFonts w:hint="eastAsia"/>
        </w:rPr>
        <w:t>很差。为了解决这个问题，可以使用鲁棒性更强的平均绝对百分比误差（</w:t>
      </w:r>
      <w:r w:rsidR="00833B97">
        <w:rPr>
          <w:rFonts w:hint="eastAsia"/>
        </w:rPr>
        <w:t>Mean</w:t>
      </w:r>
      <w:r w:rsidR="00833B97">
        <w:t xml:space="preserve"> </w:t>
      </w:r>
      <w:r w:rsidR="00833B97">
        <w:rPr>
          <w:rFonts w:hint="eastAsia"/>
        </w:rPr>
        <w:t>Absolute</w:t>
      </w:r>
      <w:r w:rsidR="00833B97">
        <w:t xml:space="preserve"> </w:t>
      </w:r>
      <w:r w:rsidR="00833B97">
        <w:rPr>
          <w:rFonts w:hint="eastAsia"/>
        </w:rPr>
        <w:t>Percent</w:t>
      </w:r>
      <w:r w:rsidR="00833B97">
        <w:t xml:space="preserve"> </w:t>
      </w:r>
      <w:r w:rsidR="00833B97">
        <w:rPr>
          <w:rFonts w:hint="eastAsia"/>
        </w:rPr>
        <w:t>Error</w:t>
      </w:r>
      <w:r w:rsidR="00833B97">
        <w:rPr>
          <w:rFonts w:hint="eastAsia"/>
        </w:rPr>
        <w:t>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）进行评估，</w:t>
      </w:r>
      <w:r w:rsidR="00833B97">
        <w:rPr>
          <w:rFonts w:hint="eastAsia"/>
        </w:rPr>
        <w:t>MAPE</w:t>
      </w:r>
      <w:r w:rsidR="00833B97">
        <w:rPr>
          <w:rFonts w:hint="eastAsia"/>
        </w:rPr>
        <w:t>的定义如下：</w:t>
      </w:r>
    </w:p>
    <w:p w14:paraId="5AD9FF2A" w14:textId="75CF9A81" w:rsidR="00833B97" w:rsidRPr="00833B97" w:rsidRDefault="00833B97" w:rsidP="00831EB0">
      <m:oMathPara>
        <m:oMath>
          <m:r>
            <w:rPr>
              <w:rFonts w:ascii="Cambria Math" w:hAnsi="Cambria Math"/>
            </w:rPr>
            <m:t>MAPE=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867500F" w14:textId="036D4C6B" w:rsidR="00833B97" w:rsidRPr="00831EB0" w:rsidRDefault="00833B97" w:rsidP="00831EB0">
      <w:r>
        <w:tab/>
      </w:r>
      <w:r>
        <w:rPr>
          <w:rFonts w:hint="eastAsia"/>
        </w:rPr>
        <w:t>相比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MAPE</w:t>
      </w:r>
      <w:r>
        <w:rPr>
          <w:rFonts w:hint="eastAsia"/>
        </w:rPr>
        <w:t>相当于把每个点的误差进行了归一化，降低了离群点带来的绝对误差的影响。</w:t>
      </w:r>
    </w:p>
    <w:p w14:paraId="2B8D6002" w14:textId="695925BB" w:rsidR="007F7875" w:rsidRDefault="007F7875" w:rsidP="0019012B">
      <w:pPr>
        <w:pStyle w:val="2"/>
      </w:pPr>
      <w:r>
        <w:rPr>
          <w:rFonts w:hint="eastAsia"/>
        </w:rPr>
        <w:t>对数损失函数</w:t>
      </w:r>
    </w:p>
    <w:p w14:paraId="1C096C20" w14:textId="5B6FCCAA" w:rsidR="001F41C0" w:rsidRDefault="001F41C0" w:rsidP="001F41C0">
      <w:r>
        <w:tab/>
      </w:r>
      <w:r>
        <w:rPr>
          <w:rFonts w:hint="eastAsia"/>
        </w:rPr>
        <w:t>对数损失函数（</w:t>
      </w:r>
      <w:proofErr w:type="spellStart"/>
      <w:r>
        <w:rPr>
          <w:rFonts w:hint="eastAsia"/>
        </w:rPr>
        <w:t>Log</w:t>
      </w:r>
      <w:r>
        <w:t>Loss</w:t>
      </w:r>
      <w:proofErr w:type="spellEnd"/>
      <w:r>
        <w:rPr>
          <w:rFonts w:hint="eastAsia"/>
        </w:rPr>
        <w:t>）是经常在离线评估中使用的指标，在一个二分类问题中，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>的定义如下：</w:t>
      </w:r>
    </w:p>
    <w:p w14:paraId="6B0B701E" w14:textId="670068A6" w:rsidR="001F41C0" w:rsidRPr="00C952DC" w:rsidRDefault="00C952DC" w:rsidP="001F41C0">
      <m:oMathPara>
        <m:oMath>
          <m:r>
            <w:rPr>
              <w:rFonts w:ascii="Cambria Math" w:hAnsi="Cambria Math" w:hint="eastAsia"/>
            </w:rPr>
            <m:t>LogLoss=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5BB842B" w14:textId="653C5067" w:rsidR="00C952DC" w:rsidRPr="001F41C0" w:rsidRDefault="00C952DC" w:rsidP="001F41C0">
      <w:pPr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E3E">
        <w:rPr>
          <w:rFonts w:hint="eastAsia"/>
        </w:rPr>
        <w:t>的真实类别，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为预测输入实例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96942">
        <w:rPr>
          <w:rFonts w:hint="eastAsia"/>
        </w:rPr>
        <w:t>是正样本的概率，</w:t>
      </w:r>
      <w:r w:rsidR="00615179">
        <w:rPr>
          <w:rFonts w:hint="eastAsia"/>
        </w:rPr>
        <w:t>N</w:t>
      </w:r>
      <w:r w:rsidR="00615179">
        <w:rPr>
          <w:rFonts w:hint="eastAsia"/>
        </w:rPr>
        <w:t>是样本总数。</w:t>
      </w:r>
    </w:p>
    <w:p w14:paraId="69A8ED03" w14:textId="6722F895" w:rsidR="006A0DC2" w:rsidRDefault="006A0DC2" w:rsidP="0019012B">
      <w:pPr>
        <w:pStyle w:val="2"/>
      </w:pPr>
      <w:r>
        <w:rPr>
          <w:rFonts w:hint="eastAsia"/>
        </w:rPr>
        <w:t>P-R</w:t>
      </w:r>
      <w:r>
        <w:rPr>
          <w:rFonts w:hint="eastAsia"/>
        </w:rPr>
        <w:t>曲线</w:t>
      </w:r>
    </w:p>
    <w:p w14:paraId="43A759C0" w14:textId="51DFF009" w:rsidR="00E67E7A" w:rsidRDefault="00E67E7A" w:rsidP="00B80A0D">
      <w:pPr>
        <w:ind w:firstLine="420"/>
      </w:pPr>
      <w:r>
        <w:rPr>
          <w:rFonts w:hint="eastAsia"/>
        </w:rPr>
        <w:t>Precision-Recall</w:t>
      </w:r>
      <w:r>
        <w:rPr>
          <w:rFonts w:hint="eastAsia"/>
        </w:rPr>
        <w:t>曲线（精确率召回率曲线，简称</w:t>
      </w:r>
      <w:r>
        <w:rPr>
          <w:rFonts w:hint="eastAsia"/>
        </w:rPr>
        <w:t>P-R</w:t>
      </w:r>
      <w:r>
        <w:rPr>
          <w:rFonts w:hint="eastAsia"/>
        </w:rPr>
        <w:t>曲线）。</w:t>
      </w:r>
      <w:r w:rsidR="00E50FE5">
        <w:rPr>
          <w:rFonts w:hint="eastAsia"/>
        </w:rPr>
        <w:t>P</w:t>
      </w:r>
      <w:r w:rsidR="00E50FE5">
        <w:t>-R</w:t>
      </w:r>
      <w:r w:rsidR="00E50FE5">
        <w:rPr>
          <w:rFonts w:hint="eastAsia"/>
        </w:rPr>
        <w:t>曲线的横轴是召回率，纵轴是精确率</w:t>
      </w:r>
      <w:r w:rsidR="00170B4E">
        <w:rPr>
          <w:rFonts w:hint="eastAsia"/>
        </w:rPr>
        <w:t>。</w:t>
      </w:r>
      <w:r w:rsidR="00170B4E">
        <w:rPr>
          <w:rFonts w:hint="eastAsia"/>
        </w:rPr>
        <w:t>P-R</w:t>
      </w:r>
      <w:r w:rsidR="00170B4E">
        <w:rPr>
          <w:rFonts w:hint="eastAsia"/>
        </w:rPr>
        <w:t>曲线上的一个点代表“在某一阈值下，模型将大于该阈值的</w:t>
      </w:r>
      <w:r w:rsidR="00A21A77">
        <w:rPr>
          <w:rFonts w:hint="eastAsia"/>
        </w:rPr>
        <w:t>结果判定为正样本，将下于该阈值的结果判定为负样本时，</w:t>
      </w:r>
      <w:r w:rsidR="00425FED">
        <w:rPr>
          <w:rFonts w:hint="eastAsia"/>
        </w:rPr>
        <w:t>模型预测结果对应的召回率和精确率</w:t>
      </w:r>
      <w:r w:rsidR="00170B4E">
        <w:rPr>
          <w:rFonts w:hint="eastAsia"/>
        </w:rPr>
        <w:t>”</w:t>
      </w:r>
      <w:r w:rsidR="00A322A4">
        <w:rPr>
          <w:rFonts w:hint="eastAsia"/>
        </w:rPr>
        <w:t>。</w:t>
      </w:r>
    </w:p>
    <w:p w14:paraId="17086C7A" w14:textId="5C1CD84D" w:rsidR="00A322A4" w:rsidRPr="00F606B0" w:rsidRDefault="00E11122" w:rsidP="00B80A0D">
      <w:pPr>
        <w:ind w:firstLine="420"/>
        <w:rPr>
          <w:rFonts w:hint="eastAsia"/>
          <w:color w:val="FF0000"/>
        </w:rPr>
      </w:pPr>
      <w:r w:rsidRPr="00F606B0">
        <w:rPr>
          <w:rFonts w:hint="eastAsia"/>
          <w:color w:val="FF0000"/>
        </w:rPr>
        <w:t>补充</w:t>
      </w:r>
      <w:r w:rsidRPr="00F606B0">
        <w:rPr>
          <w:rFonts w:hint="eastAsia"/>
          <w:color w:val="FF0000"/>
        </w:rPr>
        <w:t>P-R</w:t>
      </w:r>
      <w:r w:rsidRPr="00F606B0">
        <w:rPr>
          <w:rFonts w:hint="eastAsia"/>
          <w:color w:val="FF0000"/>
        </w:rPr>
        <w:t>曲线的绘制方法</w:t>
      </w:r>
      <w:r w:rsidR="00EA726E" w:rsidRPr="00F606B0">
        <w:rPr>
          <w:rFonts w:hint="eastAsia"/>
          <w:color w:val="FF0000"/>
        </w:rPr>
        <w:t>。</w:t>
      </w:r>
    </w:p>
    <w:p w14:paraId="10998673" w14:textId="6C1C9BED" w:rsidR="005728AA" w:rsidRDefault="005728AA" w:rsidP="0019012B">
      <w:pPr>
        <w:pStyle w:val="2"/>
      </w:pPr>
      <w:r>
        <w:rPr>
          <w:rFonts w:hint="eastAsia"/>
        </w:rPr>
        <w:t>ROC</w:t>
      </w:r>
      <w:r>
        <w:rPr>
          <w:rFonts w:hint="eastAsia"/>
        </w:rPr>
        <w:t>曲线</w:t>
      </w:r>
    </w:p>
    <w:p w14:paraId="2096C1D8" w14:textId="53BA5A83" w:rsidR="00F606B0" w:rsidRDefault="00F606B0" w:rsidP="00F606B0">
      <w:r>
        <w:tab/>
      </w:r>
      <w:r>
        <w:rPr>
          <w:rFonts w:hint="eastAsia"/>
        </w:rPr>
        <w:t>ROC</w:t>
      </w:r>
      <w:r>
        <w:rPr>
          <w:rFonts w:hint="eastAsia"/>
        </w:rPr>
        <w:t>曲线的全称是</w:t>
      </w:r>
      <w:r>
        <w:rPr>
          <w:rFonts w:hint="eastAsia"/>
        </w:rPr>
        <w:t>the</w:t>
      </w:r>
      <w:r>
        <w:t xml:space="preserve"> Receiver Operating Characteristic</w:t>
      </w:r>
      <w:r>
        <w:rPr>
          <w:rFonts w:hint="eastAsia"/>
        </w:rPr>
        <w:t>曲线</w:t>
      </w:r>
      <w:r w:rsidR="00C75EF0">
        <w:rPr>
          <w:rFonts w:hint="eastAsia"/>
        </w:rPr>
        <w:t>，中文译为“受试者工作特征曲线”。</w:t>
      </w:r>
      <w:r w:rsidR="00C75EF0">
        <w:rPr>
          <w:rFonts w:hint="eastAsia"/>
        </w:rPr>
        <w:t>ROC</w:t>
      </w:r>
      <w:r w:rsidR="00C75EF0">
        <w:rPr>
          <w:rFonts w:hint="eastAsia"/>
        </w:rPr>
        <w:t>曲线的横坐标为</w:t>
      </w:r>
      <w:r w:rsidR="00C75EF0">
        <w:rPr>
          <w:rFonts w:hint="eastAsia"/>
        </w:rPr>
        <w:t>False</w:t>
      </w:r>
      <w:r w:rsidR="00C75EF0">
        <w:t xml:space="preserve"> </w:t>
      </w:r>
      <w:r w:rsidR="00C75EF0">
        <w:rPr>
          <w:rFonts w:hint="eastAsia"/>
        </w:rPr>
        <w:t>Positive</w:t>
      </w:r>
      <w:r w:rsidR="00C75EF0">
        <w:t xml:space="preserve"> </w:t>
      </w:r>
      <w:r w:rsidR="00C75EF0">
        <w:rPr>
          <w:rFonts w:hint="eastAsia"/>
        </w:rPr>
        <w:t>Rate</w:t>
      </w:r>
      <w:r w:rsidR="00C75EF0">
        <w:rPr>
          <w:rFonts w:hint="eastAsia"/>
        </w:rPr>
        <w:t>（</w:t>
      </w:r>
      <w:r w:rsidR="00C75EF0">
        <w:rPr>
          <w:rFonts w:hint="eastAsia"/>
        </w:rPr>
        <w:t>FPR</w:t>
      </w:r>
      <w:r w:rsidR="00C75EF0">
        <w:rPr>
          <w:rFonts w:hint="eastAsia"/>
        </w:rPr>
        <w:t>，假阳性率）；纵坐标为</w:t>
      </w:r>
      <w:r w:rsidR="00C75EF0">
        <w:rPr>
          <w:rFonts w:hint="eastAsia"/>
        </w:rPr>
        <w:t>True</w:t>
      </w:r>
      <w:r w:rsidR="00C75EF0">
        <w:t xml:space="preserve"> </w:t>
      </w:r>
      <w:r w:rsidR="00C75EF0">
        <w:rPr>
          <w:rFonts w:hint="eastAsia"/>
        </w:rPr>
        <w:t>Positive</w:t>
      </w:r>
      <w:r w:rsidR="00C75EF0">
        <w:t xml:space="preserve"> </w:t>
      </w:r>
      <w:r w:rsidR="00C75EF0">
        <w:rPr>
          <w:rFonts w:hint="eastAsia"/>
        </w:rPr>
        <w:t>Rate</w:t>
      </w:r>
      <w:r w:rsidR="00C75EF0">
        <w:rPr>
          <w:rFonts w:hint="eastAsia"/>
        </w:rPr>
        <w:t>（</w:t>
      </w:r>
      <w:r w:rsidR="00C75EF0">
        <w:rPr>
          <w:rFonts w:hint="eastAsia"/>
        </w:rPr>
        <w:t>TPR</w:t>
      </w:r>
      <w:r w:rsidR="00C75EF0">
        <w:rPr>
          <w:rFonts w:hint="eastAsia"/>
        </w:rPr>
        <w:t>，真阳性率）。</w:t>
      </w:r>
      <w:r w:rsidR="00C75EF0">
        <w:rPr>
          <w:rFonts w:hint="eastAsia"/>
        </w:rPr>
        <w:t>FPR</w:t>
      </w:r>
      <w:r w:rsidR="00C75EF0">
        <w:rPr>
          <w:rFonts w:hint="eastAsia"/>
        </w:rPr>
        <w:t>和</w:t>
      </w:r>
      <w:r w:rsidR="00C75EF0">
        <w:rPr>
          <w:rFonts w:hint="eastAsia"/>
        </w:rPr>
        <w:t>TPR</w:t>
      </w:r>
      <w:r w:rsidR="00C75EF0">
        <w:rPr>
          <w:rFonts w:hint="eastAsia"/>
        </w:rPr>
        <w:t>的计算方法如下：</w:t>
      </w:r>
    </w:p>
    <w:p w14:paraId="2F2F4435" w14:textId="3A05E552" w:rsidR="00C75EF0" w:rsidRPr="00980721" w:rsidRDefault="00980721" w:rsidP="00F606B0">
      <m:oMathPara>
        <m:oMath>
          <m: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3B41AD" w14:textId="667BE1B6" w:rsidR="00980721" w:rsidRPr="00980721" w:rsidRDefault="00980721" w:rsidP="00F606B0">
      <m:oMathPara>
        <m:oMath>
          <m:r>
            <w:rPr>
              <w:rFonts w:ascii="Cambria Math" w:hAnsi="Cambria Math"/>
            </w:rPr>
            <m:t>TPR=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98EF575" w14:textId="432AF20C" w:rsidR="00980721" w:rsidRDefault="00980721" w:rsidP="00DA08A3">
      <w:pPr>
        <w:ind w:firstLine="420"/>
      </w:pPr>
      <w:r>
        <w:rPr>
          <w:rFonts w:hint="eastAsia"/>
        </w:rPr>
        <w:t>在上式中，</w:t>
      </w:r>
      <w:r>
        <w:rPr>
          <w:rFonts w:hint="eastAsia"/>
        </w:rPr>
        <w:t>P</w:t>
      </w:r>
      <w:r>
        <w:rPr>
          <w:rFonts w:hint="eastAsia"/>
        </w:rPr>
        <w:t>是真实正样本的数量，</w:t>
      </w:r>
      <w:r w:rsidR="009E033A">
        <w:rPr>
          <w:rFonts w:hint="eastAsia"/>
        </w:rPr>
        <w:t>N</w:t>
      </w:r>
      <w:r w:rsidR="009E033A">
        <w:rPr>
          <w:rFonts w:hint="eastAsia"/>
        </w:rPr>
        <w:t>是真实负样本的数量；</w:t>
      </w:r>
      <w:r w:rsidR="009E033A">
        <w:rPr>
          <w:rFonts w:hint="eastAsia"/>
        </w:rPr>
        <w:t>TP</w:t>
      </w:r>
      <w:r w:rsidR="009E033A">
        <w:rPr>
          <w:rFonts w:hint="eastAsia"/>
        </w:rPr>
        <w:t>是</w:t>
      </w:r>
      <w:r w:rsidR="009E033A">
        <w:rPr>
          <w:rFonts w:hint="eastAsia"/>
        </w:rPr>
        <w:t>P</w:t>
      </w:r>
      <w:proofErr w:type="gramStart"/>
      <w:r w:rsidR="009E033A">
        <w:rPr>
          <w:rFonts w:hint="eastAsia"/>
        </w:rPr>
        <w:t>个</w:t>
      </w:r>
      <w:proofErr w:type="gramEnd"/>
      <w:r w:rsidR="009E033A">
        <w:rPr>
          <w:rFonts w:hint="eastAsia"/>
        </w:rPr>
        <w:t>正样本中被分类器预测为正样本的个数，</w:t>
      </w:r>
      <w:r w:rsidR="009E033A">
        <w:rPr>
          <w:rFonts w:hint="eastAsia"/>
        </w:rPr>
        <w:t>FP</w:t>
      </w:r>
      <w:r w:rsidR="009E033A">
        <w:rPr>
          <w:rFonts w:hint="eastAsia"/>
        </w:rPr>
        <w:t>是</w:t>
      </w:r>
      <w:r w:rsidR="009E033A">
        <w:rPr>
          <w:rFonts w:hint="eastAsia"/>
        </w:rPr>
        <w:t>N</w:t>
      </w:r>
      <w:proofErr w:type="gramStart"/>
      <w:r w:rsidR="009E033A">
        <w:rPr>
          <w:rFonts w:hint="eastAsia"/>
        </w:rPr>
        <w:t>个</w:t>
      </w:r>
      <w:proofErr w:type="gramEnd"/>
      <w:r w:rsidR="009E033A">
        <w:rPr>
          <w:rFonts w:hint="eastAsia"/>
        </w:rPr>
        <w:t>负样本中被分类器预测为</w:t>
      </w:r>
      <w:r w:rsidR="00EB510E">
        <w:rPr>
          <w:rFonts w:hint="eastAsia"/>
        </w:rPr>
        <w:t>正</w:t>
      </w:r>
      <w:r w:rsidR="009E033A">
        <w:rPr>
          <w:rFonts w:hint="eastAsia"/>
        </w:rPr>
        <w:t>样本的个数。</w:t>
      </w:r>
    </w:p>
    <w:p w14:paraId="6194815C" w14:textId="1A8D0DB9" w:rsidR="00520018" w:rsidRPr="00FA6E12" w:rsidRDefault="00520018" w:rsidP="00DA08A3">
      <w:pPr>
        <w:ind w:firstLine="420"/>
        <w:rPr>
          <w:rFonts w:hint="eastAsia"/>
          <w:color w:val="FF0000"/>
        </w:rPr>
      </w:pPr>
      <w:r w:rsidRPr="00FA6E12">
        <w:rPr>
          <w:rFonts w:hint="eastAsia"/>
          <w:color w:val="FF0000"/>
        </w:rPr>
        <w:t>补充</w:t>
      </w:r>
      <w:r w:rsidRPr="00FA6E12">
        <w:rPr>
          <w:rFonts w:hint="eastAsia"/>
          <w:color w:val="FF0000"/>
        </w:rPr>
        <w:t>ROC</w:t>
      </w:r>
      <w:r w:rsidRPr="00FA6E12">
        <w:rPr>
          <w:rFonts w:hint="eastAsia"/>
          <w:color w:val="FF0000"/>
        </w:rPr>
        <w:t>曲线的绘制方法</w:t>
      </w:r>
      <w:r w:rsidR="00FA6E12" w:rsidRPr="00FA6E12">
        <w:rPr>
          <w:rFonts w:hint="eastAsia"/>
          <w:color w:val="FF0000"/>
        </w:rPr>
        <w:t>。</w:t>
      </w:r>
    </w:p>
    <w:p w14:paraId="6CC7B501" w14:textId="01BB827A" w:rsidR="009822DB" w:rsidRPr="00534595" w:rsidRDefault="009822DB" w:rsidP="0019012B">
      <w:pPr>
        <w:pStyle w:val="2"/>
      </w:pPr>
      <w:r>
        <w:rPr>
          <w:rFonts w:hint="eastAsia"/>
        </w:rPr>
        <w:lastRenderedPageBreak/>
        <w:t>平均精度</w:t>
      </w:r>
      <w:r w:rsidR="00193719">
        <w:rPr>
          <w:rFonts w:hint="eastAsia"/>
        </w:rPr>
        <w:t>均值</w:t>
      </w:r>
    </w:p>
    <w:p w14:paraId="4477CF4A" w14:textId="618C726C" w:rsidR="00D46255" w:rsidRDefault="00193719" w:rsidP="00D46255">
      <w:pPr>
        <w:rPr>
          <w:rFonts w:hint="eastAsia"/>
        </w:rPr>
      </w:pPr>
      <w:r>
        <w:tab/>
      </w:r>
      <w:r>
        <w:rPr>
          <w:rFonts w:hint="eastAsia"/>
        </w:rPr>
        <w:t>平均精确均值（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）是对平均精度（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  <w:r w:rsidR="00F04A01">
        <w:rPr>
          <w:rFonts w:hint="eastAsia"/>
        </w:rPr>
        <w:t>，</w:t>
      </w:r>
      <w:r w:rsidR="00F04A01">
        <w:rPr>
          <w:rFonts w:hint="eastAsia"/>
        </w:rPr>
        <w:t>AP</w:t>
      </w:r>
      <w:r>
        <w:rPr>
          <w:rFonts w:hint="eastAsia"/>
        </w:rPr>
        <w:t>）再次平均。因此需要先了解什么是平均精度</w:t>
      </w:r>
    </w:p>
    <w:p w14:paraId="43582153" w14:textId="20C8BA18" w:rsidR="00D46255" w:rsidRDefault="00F04A01" w:rsidP="00D46255">
      <w:r>
        <w:tab/>
      </w:r>
      <w:r>
        <w:rPr>
          <w:rFonts w:hint="eastAsia"/>
        </w:rPr>
        <w:t>下面举例说明。</w:t>
      </w:r>
    </w:p>
    <w:p w14:paraId="4F97E8FC" w14:textId="56D22B88" w:rsidR="00F04A01" w:rsidRDefault="00A259D5" w:rsidP="00D46255">
      <w:r>
        <w:tab/>
      </w:r>
      <w:r w:rsidR="00520210">
        <w:rPr>
          <w:rFonts w:hint="eastAsia"/>
        </w:rPr>
        <w:t>假设模型对</w:t>
      </w:r>
      <w:r w:rsidR="00520210">
        <w:rPr>
          <w:rFonts w:hint="eastAsia"/>
        </w:rPr>
        <w:t>6</w:t>
      </w:r>
      <w:r w:rsidR="00520210">
        <w:rPr>
          <w:rFonts w:hint="eastAsia"/>
        </w:rPr>
        <w:t>个样本的预测结果如下：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0925" w14:paraId="2CCB1978" w14:textId="77777777" w:rsidTr="006C0925">
        <w:tc>
          <w:tcPr>
            <w:tcW w:w="1217" w:type="dxa"/>
          </w:tcPr>
          <w:p w14:paraId="57924415" w14:textId="53709876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序列</w:t>
            </w:r>
          </w:p>
        </w:tc>
        <w:tc>
          <w:tcPr>
            <w:tcW w:w="1217" w:type="dxa"/>
          </w:tcPr>
          <w:p w14:paraId="214AB891" w14:textId="26F940A1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1</w:t>
            </w:r>
          </w:p>
        </w:tc>
        <w:tc>
          <w:tcPr>
            <w:tcW w:w="1217" w:type="dxa"/>
          </w:tcPr>
          <w:p w14:paraId="4A974B79" w14:textId="7B362246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2</w:t>
            </w:r>
          </w:p>
        </w:tc>
        <w:tc>
          <w:tcPr>
            <w:tcW w:w="1217" w:type="dxa"/>
          </w:tcPr>
          <w:p w14:paraId="29372EA9" w14:textId="2B934A14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=3</w:t>
            </w:r>
          </w:p>
        </w:tc>
        <w:tc>
          <w:tcPr>
            <w:tcW w:w="1218" w:type="dxa"/>
          </w:tcPr>
          <w:p w14:paraId="4505CABB" w14:textId="6845D3DF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=4</w:t>
            </w:r>
          </w:p>
        </w:tc>
        <w:tc>
          <w:tcPr>
            <w:tcW w:w="1218" w:type="dxa"/>
          </w:tcPr>
          <w:p w14:paraId="0A3F50C3" w14:textId="563348F2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=5</w:t>
            </w:r>
          </w:p>
        </w:tc>
        <w:tc>
          <w:tcPr>
            <w:tcW w:w="1218" w:type="dxa"/>
          </w:tcPr>
          <w:p w14:paraId="3A0A00BD" w14:textId="1EBEBCE7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=6</w:t>
            </w:r>
          </w:p>
        </w:tc>
      </w:tr>
      <w:tr w:rsidR="006C0925" w14:paraId="53B4A025" w14:textId="77777777" w:rsidTr="006C0925">
        <w:tc>
          <w:tcPr>
            <w:tcW w:w="1217" w:type="dxa"/>
          </w:tcPr>
          <w:p w14:paraId="069CDD06" w14:textId="0AB53E6B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真实标签</w:t>
            </w:r>
          </w:p>
        </w:tc>
        <w:tc>
          <w:tcPr>
            <w:tcW w:w="1217" w:type="dxa"/>
          </w:tcPr>
          <w:p w14:paraId="4AD7ED25" w14:textId="1661BBF8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8B18699" w14:textId="3E74C899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D857379" w14:textId="21407591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73ABC544" w14:textId="40EB094D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FBBB984" w14:textId="13D0AFB5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7FC8C182" w14:textId="47F17956" w:rsidR="006C0925" w:rsidRDefault="006C0925" w:rsidP="00D4625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7DCE6E8" w14:textId="118E8A2C" w:rsidR="00520210" w:rsidRDefault="006C0925" w:rsidP="006211D1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1</w:t>
      </w:r>
      <w:r>
        <w:rPr>
          <w:rFonts w:hint="eastAsia"/>
        </w:rPr>
        <w:t>代表正样本，</w:t>
      </w:r>
      <w:r>
        <w:rPr>
          <w:rFonts w:hint="eastAsia"/>
        </w:rPr>
        <w:t>0</w:t>
      </w:r>
      <w:r>
        <w:rPr>
          <w:rFonts w:hint="eastAsia"/>
        </w:rPr>
        <w:t>代表负样本。</w:t>
      </w:r>
    </w:p>
    <w:p w14:paraId="24577D1F" w14:textId="77777777" w:rsidR="006C0925" w:rsidRDefault="006C0925" w:rsidP="00D46255">
      <w:pPr>
        <w:rPr>
          <w:rFonts w:hint="eastAsia"/>
        </w:rPr>
      </w:pPr>
    </w:p>
    <w:p w14:paraId="4F29BDFA" w14:textId="0F69F4B8" w:rsidR="006C0925" w:rsidRDefault="006C0925" w:rsidP="00D46255"/>
    <w:p w14:paraId="6EDDE299" w14:textId="514B0AC8" w:rsidR="006C0925" w:rsidRDefault="006C0925" w:rsidP="00D46255"/>
    <w:p w14:paraId="46E97698" w14:textId="05777A31" w:rsidR="006C0925" w:rsidRDefault="006C0925" w:rsidP="00D46255"/>
    <w:p w14:paraId="53975C87" w14:textId="77777777" w:rsidR="006C0925" w:rsidRDefault="006C0925" w:rsidP="00D46255">
      <w:pPr>
        <w:rPr>
          <w:rFonts w:hint="eastAsia"/>
        </w:rPr>
      </w:pPr>
    </w:p>
    <w:p w14:paraId="27034605" w14:textId="77777777" w:rsidR="00D46255" w:rsidRDefault="00D46255" w:rsidP="00D46255"/>
    <w:p w14:paraId="43A1F1A0" w14:textId="77777777" w:rsidR="00D46255" w:rsidRDefault="00D46255" w:rsidP="00D46255"/>
    <w:p w14:paraId="36BF6FBA" w14:textId="77777777" w:rsidR="00D46255" w:rsidRDefault="0019012B" w:rsidP="00D46255">
      <w:r>
        <w:rPr>
          <w:rFonts w:hint="eastAsia"/>
        </w:rPr>
        <w:t>参考：</w:t>
      </w:r>
      <w:r w:rsidR="004D1ACE">
        <w:rPr>
          <w:rFonts w:hint="eastAsia"/>
        </w:rPr>
        <w:t>王</w:t>
      </w:r>
      <w:proofErr w:type="gramStart"/>
      <w:r w:rsidR="004D1ACE">
        <w:rPr>
          <w:rFonts w:hint="eastAsia"/>
        </w:rPr>
        <w:t>喆</w:t>
      </w:r>
      <w:proofErr w:type="gramEnd"/>
      <w:r w:rsidR="00442B18">
        <w:rPr>
          <w:rFonts w:hint="eastAsia"/>
        </w:rPr>
        <w:t>，</w:t>
      </w:r>
      <w:r w:rsidR="00F909C1">
        <w:rPr>
          <w:rFonts w:hint="eastAsia"/>
        </w:rPr>
        <w:t>深度学习推荐系统</w:t>
      </w:r>
      <w:r w:rsidR="00840FD5">
        <w:rPr>
          <w:rFonts w:hint="eastAsia"/>
        </w:rPr>
        <w:t>。</w:t>
      </w:r>
    </w:p>
    <w:p w14:paraId="692DFBEC" w14:textId="77777777" w:rsidR="00840FD5" w:rsidRDefault="00840FD5" w:rsidP="00D46255"/>
    <w:p w14:paraId="24268645" w14:textId="77777777" w:rsidR="00D46255" w:rsidRPr="00D46255" w:rsidRDefault="00D46255" w:rsidP="00D46255"/>
    <w:sectPr w:rsidR="00D46255" w:rsidRPr="00D46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D29"/>
    <w:rsid w:val="00001610"/>
    <w:rsid w:val="00071DEC"/>
    <w:rsid w:val="000A2289"/>
    <w:rsid w:val="000B0DBF"/>
    <w:rsid w:val="00123E19"/>
    <w:rsid w:val="0012603D"/>
    <w:rsid w:val="00155E68"/>
    <w:rsid w:val="00170B4E"/>
    <w:rsid w:val="00184CAE"/>
    <w:rsid w:val="0019012B"/>
    <w:rsid w:val="00193719"/>
    <w:rsid w:val="001951B7"/>
    <w:rsid w:val="001F3775"/>
    <w:rsid w:val="001F41C0"/>
    <w:rsid w:val="00235D34"/>
    <w:rsid w:val="00240D29"/>
    <w:rsid w:val="00253740"/>
    <w:rsid w:val="00256AA1"/>
    <w:rsid w:val="0026605C"/>
    <w:rsid w:val="00282CFC"/>
    <w:rsid w:val="00287B54"/>
    <w:rsid w:val="002900AD"/>
    <w:rsid w:val="002A2445"/>
    <w:rsid w:val="002A2BC3"/>
    <w:rsid w:val="002E72B1"/>
    <w:rsid w:val="0031182C"/>
    <w:rsid w:val="00331BDA"/>
    <w:rsid w:val="00354427"/>
    <w:rsid w:val="00384135"/>
    <w:rsid w:val="003D70F3"/>
    <w:rsid w:val="003F08B1"/>
    <w:rsid w:val="00402288"/>
    <w:rsid w:val="00425FED"/>
    <w:rsid w:val="00427AF6"/>
    <w:rsid w:val="00442B18"/>
    <w:rsid w:val="00484015"/>
    <w:rsid w:val="00496CBF"/>
    <w:rsid w:val="004D1ACE"/>
    <w:rsid w:val="004F10F0"/>
    <w:rsid w:val="00520018"/>
    <w:rsid w:val="00520210"/>
    <w:rsid w:val="00526E3E"/>
    <w:rsid w:val="005307E5"/>
    <w:rsid w:val="005322C4"/>
    <w:rsid w:val="00534595"/>
    <w:rsid w:val="0055671F"/>
    <w:rsid w:val="005728AA"/>
    <w:rsid w:val="0058476A"/>
    <w:rsid w:val="005938FC"/>
    <w:rsid w:val="005F0B18"/>
    <w:rsid w:val="006013F4"/>
    <w:rsid w:val="00615179"/>
    <w:rsid w:val="0062112A"/>
    <w:rsid w:val="006211D1"/>
    <w:rsid w:val="00653568"/>
    <w:rsid w:val="0067535C"/>
    <w:rsid w:val="00696942"/>
    <w:rsid w:val="006A0DC2"/>
    <w:rsid w:val="006A7577"/>
    <w:rsid w:val="006C0925"/>
    <w:rsid w:val="006D6E11"/>
    <w:rsid w:val="006F00AC"/>
    <w:rsid w:val="006F75AD"/>
    <w:rsid w:val="00712472"/>
    <w:rsid w:val="007602D4"/>
    <w:rsid w:val="0078050F"/>
    <w:rsid w:val="00794F0E"/>
    <w:rsid w:val="007A67A6"/>
    <w:rsid w:val="007E686F"/>
    <w:rsid w:val="007F7875"/>
    <w:rsid w:val="00826EBF"/>
    <w:rsid w:val="00831EB0"/>
    <w:rsid w:val="00833609"/>
    <w:rsid w:val="00833B97"/>
    <w:rsid w:val="00836F74"/>
    <w:rsid w:val="00840FD5"/>
    <w:rsid w:val="0084519E"/>
    <w:rsid w:val="008518B9"/>
    <w:rsid w:val="008600D6"/>
    <w:rsid w:val="008909F3"/>
    <w:rsid w:val="008A20CB"/>
    <w:rsid w:val="008B1BC9"/>
    <w:rsid w:val="0094497B"/>
    <w:rsid w:val="00980721"/>
    <w:rsid w:val="009822DB"/>
    <w:rsid w:val="009A5B43"/>
    <w:rsid w:val="009A7995"/>
    <w:rsid w:val="009D107F"/>
    <w:rsid w:val="009E033A"/>
    <w:rsid w:val="009E6C12"/>
    <w:rsid w:val="00A21A77"/>
    <w:rsid w:val="00A259D5"/>
    <w:rsid w:val="00A26083"/>
    <w:rsid w:val="00A322A4"/>
    <w:rsid w:val="00AC2AA4"/>
    <w:rsid w:val="00B0373F"/>
    <w:rsid w:val="00B07F61"/>
    <w:rsid w:val="00B33EBF"/>
    <w:rsid w:val="00B80A0D"/>
    <w:rsid w:val="00B8214C"/>
    <w:rsid w:val="00BB615B"/>
    <w:rsid w:val="00BB6DD0"/>
    <w:rsid w:val="00BB6E1F"/>
    <w:rsid w:val="00BD0A3B"/>
    <w:rsid w:val="00BE77C4"/>
    <w:rsid w:val="00BF3AAC"/>
    <w:rsid w:val="00C31352"/>
    <w:rsid w:val="00C56823"/>
    <w:rsid w:val="00C75EF0"/>
    <w:rsid w:val="00C952DC"/>
    <w:rsid w:val="00CA3098"/>
    <w:rsid w:val="00CC5C64"/>
    <w:rsid w:val="00D15DD6"/>
    <w:rsid w:val="00D21D3D"/>
    <w:rsid w:val="00D36311"/>
    <w:rsid w:val="00D41194"/>
    <w:rsid w:val="00D46255"/>
    <w:rsid w:val="00D62879"/>
    <w:rsid w:val="00D63B31"/>
    <w:rsid w:val="00D97E06"/>
    <w:rsid w:val="00DA08A3"/>
    <w:rsid w:val="00DD4580"/>
    <w:rsid w:val="00DE1951"/>
    <w:rsid w:val="00E11122"/>
    <w:rsid w:val="00E206B7"/>
    <w:rsid w:val="00E50FE5"/>
    <w:rsid w:val="00E67E7A"/>
    <w:rsid w:val="00E71D84"/>
    <w:rsid w:val="00EA726E"/>
    <w:rsid w:val="00EB261B"/>
    <w:rsid w:val="00EB510E"/>
    <w:rsid w:val="00EC0414"/>
    <w:rsid w:val="00EC55BF"/>
    <w:rsid w:val="00EE1452"/>
    <w:rsid w:val="00EF15C6"/>
    <w:rsid w:val="00F04A01"/>
    <w:rsid w:val="00F23604"/>
    <w:rsid w:val="00F606B0"/>
    <w:rsid w:val="00F909C1"/>
    <w:rsid w:val="00FA6E12"/>
    <w:rsid w:val="00FB079A"/>
    <w:rsid w:val="00FC40DB"/>
    <w:rsid w:val="00FD7C7F"/>
    <w:rsid w:val="00FF1F44"/>
    <w:rsid w:val="00F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950B"/>
  <w15:docId w15:val="{F62637F9-2712-4C25-B118-F301AB48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5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62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62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345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7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EF15C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F15C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F15C6"/>
    <w:rPr>
      <w:sz w:val="18"/>
      <w:szCs w:val="18"/>
    </w:rPr>
  </w:style>
  <w:style w:type="table" w:styleId="a8">
    <w:name w:val="Table Grid"/>
    <w:basedOn w:val="a1"/>
    <w:uiPriority w:val="59"/>
    <w:rsid w:val="006C0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peng</cp:lastModifiedBy>
  <cp:revision>149</cp:revision>
  <dcterms:created xsi:type="dcterms:W3CDTF">2020-09-26T23:12:00Z</dcterms:created>
  <dcterms:modified xsi:type="dcterms:W3CDTF">2020-09-28T15:57:00Z</dcterms:modified>
</cp:coreProperties>
</file>