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459958"/>
        <w:docPartObj>
          <w:docPartGallery w:val="Cover Pages"/>
          <w:docPartUnique/>
        </w:docPartObj>
      </w:sdtPr>
      <w:sdtContent>
        <w:p w:rsidR="00283F77" w:rsidRDefault="00283F77" w:rsidP="00283F77">
          <w:pPr>
            <w:autoSpaceDE w:val="0"/>
            <w:autoSpaceDN w:val="0"/>
            <w:adjustRightInd w:val="0"/>
            <w:spacing w:after="0" w:line="240" w:lineRule="auto"/>
            <w:rPr>
              <w:rFonts w:ascii="Calibri" w:hAnsi="Calibri" w:cs="Calibri"/>
            </w:rPr>
          </w:pPr>
        </w:p>
        <w:p w:rsidR="00E52D42" w:rsidRPr="00283F77" w:rsidRDefault="00283F77">
          <w:pPr>
            <w:rPr>
              <w:rFonts w:ascii="Calibri" w:hAnsi="Calibri" w:cs="Calibri"/>
            </w:rPr>
          </w:pPr>
          <w:r>
            <w:rPr>
              <w:rFonts w:ascii="Calibri" w:hAnsi="Calibri" w:cs="Calibri"/>
              <w:noProof/>
              <w:lang w:eastAsia="es-ES"/>
            </w:rPr>
            <w:drawing>
              <wp:anchor distT="0" distB="0" distL="114300" distR="114300" simplePos="0" relativeHeight="251660288" behindDoc="1" locked="0" layoutInCell="1" allowOverlap="1">
                <wp:simplePos x="0" y="0"/>
                <wp:positionH relativeFrom="column">
                  <wp:posOffset>2459990</wp:posOffset>
                </wp:positionH>
                <wp:positionV relativeFrom="paragraph">
                  <wp:posOffset>443865</wp:posOffset>
                </wp:positionV>
                <wp:extent cx="553720" cy="65468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3720" cy="654685"/>
                        </a:xfrm>
                        <a:prstGeom prst="rect">
                          <a:avLst/>
                        </a:prstGeom>
                        <a:noFill/>
                      </pic:spPr>
                    </pic:pic>
                  </a:graphicData>
                </a:graphic>
              </wp:anchor>
            </w:drawing>
          </w:r>
          <w:r>
            <w:rPr>
              <w:rFonts w:ascii="Calibri" w:hAnsi="Calibri" w:cs="Calibri"/>
              <w:noProof/>
              <w:lang w:eastAsia="es-ES"/>
            </w:rPr>
            <w:pict>
              <v:group id="_x0000_s1026" style="position:absolute;margin-left:-5.2pt;margin-top:-16.05pt;width:611.8pt;height:649.85pt;z-index:251658240;mso-position-horizontal-relative:page;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935;mso-position-horizontal:center;mso-position-horizontal-relative:margin;mso-position-vertical:top;mso-position-vertical-relative:margin" filled="f" stroked="f">
                  <v:textbox style="mso-next-textbox:#_x0000_s1038;mso-fit-shape-to-text:t">
                    <w:txbxContent>
                      <w:p w:rsidR="00283F77" w:rsidRPr="00D92AA9" w:rsidRDefault="00283F77" w:rsidP="00283F77">
                        <w:pPr>
                          <w:spacing w:after="0"/>
                          <w:jc w:val="center"/>
                          <w:rPr>
                            <w:b/>
                            <w:bCs/>
                            <w:color w:val="808080"/>
                            <w:sz w:val="48"/>
                            <w:szCs w:val="48"/>
                          </w:rPr>
                        </w:pPr>
                        <w:r w:rsidRPr="00D92AA9">
                          <w:rPr>
                            <w:b/>
                            <w:bCs/>
                            <w:color w:val="808080"/>
                            <w:sz w:val="48"/>
                            <w:szCs w:val="48"/>
                          </w:rPr>
                          <w:t>UNIVERSIDAD TECONOLÓGICA NACIONAL                    FACULTAD REGIONAL CÓRDOBA</w:t>
                        </w:r>
                      </w:p>
                      <w:p w:rsidR="00283F77" w:rsidRDefault="00283F77" w:rsidP="00283F77">
                        <w:pPr>
                          <w:spacing w:after="0"/>
                          <w:rPr>
                            <w:b/>
                            <w:bCs/>
                            <w:color w:val="808080"/>
                            <w:sz w:val="32"/>
                            <w:szCs w:val="32"/>
                          </w:rPr>
                        </w:pPr>
                      </w:p>
                    </w:txbxContent>
                  </v:textbox>
                </v:rect>
                <v:rect id="_x0000_s1039" style="position:absolute;left:6494;top:11161;width:4998;height:651;mso-position-horizontal-relative:margin;mso-position-vertical-relative:margin" filled="f" stroked="f">
                  <v:textbox style="mso-next-textbox:#_x0000_s1039;mso-fit-shape-to-text:t">
                    <w:txbxContent>
                      <w:p w:rsidR="00283F77" w:rsidRPr="00283F77" w:rsidRDefault="00283F77" w:rsidP="00283F77">
                        <w:pPr>
                          <w:rPr>
                            <w:szCs w:val="56"/>
                          </w:rPr>
                        </w:pP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283F77" w:rsidRDefault="00283F77" w:rsidP="00283F77">
                        <w:pPr>
                          <w:spacing w:after="0"/>
                          <w:jc w:val="center"/>
                          <w:rPr>
                            <w:b/>
                            <w:bCs/>
                            <w:color w:val="1F497D"/>
                            <w:sz w:val="72"/>
                            <w:szCs w:val="72"/>
                          </w:rPr>
                        </w:pPr>
                      </w:p>
                      <w:p w:rsidR="00283F77" w:rsidRDefault="00283F77" w:rsidP="00283F77">
                        <w:pPr>
                          <w:spacing w:after="0"/>
                          <w:jc w:val="center"/>
                          <w:rPr>
                            <w:b/>
                            <w:bCs/>
                            <w:color w:val="1F497D"/>
                            <w:sz w:val="72"/>
                            <w:szCs w:val="72"/>
                          </w:rPr>
                        </w:pPr>
                        <w:r>
                          <w:rPr>
                            <w:b/>
                            <w:bCs/>
                            <w:color w:val="1F497D"/>
                            <w:sz w:val="72"/>
                            <w:szCs w:val="72"/>
                          </w:rPr>
                          <w:t>Proyecto Final               Optical Marketing</w:t>
                        </w:r>
                      </w:p>
                      <w:p w:rsidR="00283F77" w:rsidRDefault="00283F77" w:rsidP="00283F77">
                        <w:pPr>
                          <w:jc w:val="center"/>
                          <w:rPr>
                            <w:b/>
                            <w:bCs/>
                            <w:color w:val="808080"/>
                            <w:sz w:val="44"/>
                            <w:szCs w:val="44"/>
                          </w:rPr>
                        </w:pPr>
                        <w:r>
                          <w:rPr>
                            <w:b/>
                            <w:bCs/>
                            <w:color w:val="808080"/>
                            <w:sz w:val="44"/>
                            <w:szCs w:val="44"/>
                          </w:rPr>
                          <w:t>Informe Impacto Ambiental</w:t>
                        </w:r>
                      </w:p>
                      <w:p w:rsidR="00283F77" w:rsidRPr="00D92AA9" w:rsidRDefault="00283F77" w:rsidP="00283F77">
                        <w:pPr>
                          <w:spacing w:after="0"/>
                          <w:rPr>
                            <w:b/>
                            <w:bCs/>
                            <w:color w:val="808080"/>
                            <w:sz w:val="28"/>
                            <w:szCs w:val="28"/>
                            <w:u w:val="single"/>
                          </w:rPr>
                        </w:pPr>
                        <w:r w:rsidRPr="00D92AA9">
                          <w:rPr>
                            <w:b/>
                            <w:bCs/>
                            <w:color w:val="808080"/>
                            <w:sz w:val="28"/>
                            <w:szCs w:val="28"/>
                            <w:u w:val="single"/>
                          </w:rPr>
                          <w:t>Profesores:</w:t>
                        </w:r>
                      </w:p>
                      <w:p w:rsidR="00283F77" w:rsidRDefault="00283F77" w:rsidP="00283F77">
                        <w:pPr>
                          <w:spacing w:after="0" w:line="240" w:lineRule="auto"/>
                          <w:rPr>
                            <w:b/>
                            <w:bCs/>
                            <w:color w:val="808080"/>
                            <w:sz w:val="28"/>
                            <w:szCs w:val="28"/>
                          </w:rPr>
                        </w:pPr>
                        <w:r w:rsidRPr="00D92AA9">
                          <w:rPr>
                            <w:b/>
                            <w:bCs/>
                            <w:color w:val="808080"/>
                            <w:sz w:val="28"/>
                            <w:szCs w:val="28"/>
                          </w:rPr>
                          <w:t xml:space="preserve">Zohil, Julio Cesar Nelson </w:t>
                        </w:r>
                      </w:p>
                      <w:p w:rsidR="00283F77" w:rsidRDefault="00283F77" w:rsidP="00283F77">
                        <w:pPr>
                          <w:spacing w:after="0" w:line="240" w:lineRule="auto"/>
                          <w:rPr>
                            <w:b/>
                            <w:bCs/>
                            <w:color w:val="808080"/>
                            <w:sz w:val="28"/>
                            <w:szCs w:val="28"/>
                          </w:rPr>
                        </w:pPr>
                        <w:r w:rsidRPr="00D92AA9">
                          <w:rPr>
                            <w:b/>
                            <w:bCs/>
                            <w:color w:val="808080"/>
                            <w:sz w:val="28"/>
                            <w:szCs w:val="28"/>
                          </w:rPr>
                          <w:t xml:space="preserve">Aquino, Francisco </w:t>
                        </w:r>
                      </w:p>
                      <w:p w:rsidR="00283F77" w:rsidRDefault="00283F77" w:rsidP="00283F77">
                        <w:pPr>
                          <w:spacing w:after="0" w:line="240" w:lineRule="auto"/>
                          <w:rPr>
                            <w:b/>
                            <w:bCs/>
                            <w:color w:val="808080"/>
                            <w:sz w:val="28"/>
                            <w:szCs w:val="28"/>
                          </w:rPr>
                        </w:pPr>
                        <w:r w:rsidRPr="00D92AA9">
                          <w:rPr>
                            <w:b/>
                            <w:bCs/>
                            <w:color w:val="808080"/>
                            <w:sz w:val="28"/>
                            <w:szCs w:val="28"/>
                          </w:rPr>
                          <w:t>Jaime, Natalia</w:t>
                        </w:r>
                      </w:p>
                      <w:p w:rsidR="00283F77" w:rsidRPr="00D92AA9" w:rsidRDefault="00283F77" w:rsidP="00283F77">
                        <w:pPr>
                          <w:spacing w:after="0"/>
                          <w:rPr>
                            <w:b/>
                            <w:bCs/>
                            <w:color w:val="808080"/>
                            <w:sz w:val="28"/>
                            <w:szCs w:val="28"/>
                            <w:u w:val="single"/>
                          </w:rPr>
                        </w:pPr>
                        <w:r w:rsidRPr="00D92AA9">
                          <w:rPr>
                            <w:b/>
                            <w:bCs/>
                            <w:color w:val="808080"/>
                            <w:sz w:val="28"/>
                            <w:szCs w:val="28"/>
                            <w:u w:val="single"/>
                          </w:rPr>
                          <w:t xml:space="preserve">Grupo 4:                                                                             </w:t>
                        </w:r>
                      </w:p>
                      <w:p w:rsidR="00283F77" w:rsidRPr="00D92AA9" w:rsidRDefault="00283F77" w:rsidP="00283F77">
                        <w:pPr>
                          <w:spacing w:after="0" w:line="240" w:lineRule="auto"/>
                          <w:rPr>
                            <w:b/>
                            <w:bCs/>
                            <w:color w:val="808080"/>
                            <w:sz w:val="28"/>
                            <w:szCs w:val="28"/>
                          </w:rPr>
                        </w:pPr>
                        <w:r w:rsidRPr="00D92AA9">
                          <w:rPr>
                            <w:b/>
                            <w:bCs/>
                            <w:color w:val="808080"/>
                            <w:sz w:val="28"/>
                            <w:szCs w:val="28"/>
                          </w:rPr>
                          <w:t>Carlos Kapica 51482                                                                                       Rodrigo Liberal 51658</w:t>
                        </w:r>
                      </w:p>
                      <w:p w:rsidR="00283F77" w:rsidRPr="00D92AA9" w:rsidRDefault="00283F77" w:rsidP="00283F77">
                        <w:pPr>
                          <w:spacing w:after="0" w:line="240" w:lineRule="auto"/>
                          <w:rPr>
                            <w:b/>
                            <w:bCs/>
                            <w:color w:val="808080"/>
                            <w:sz w:val="28"/>
                            <w:szCs w:val="28"/>
                          </w:rPr>
                        </w:pPr>
                        <w:r w:rsidRPr="00D92AA9">
                          <w:rPr>
                            <w:b/>
                            <w:bCs/>
                            <w:color w:val="808080"/>
                            <w:sz w:val="28"/>
                            <w:szCs w:val="28"/>
                          </w:rPr>
                          <w:t>Julián Peker 51395</w:t>
                        </w:r>
                      </w:p>
                      <w:p w:rsidR="00283F77" w:rsidRPr="00D92AA9" w:rsidRDefault="00283F77" w:rsidP="00283F77">
                        <w:pPr>
                          <w:spacing w:after="0" w:line="240" w:lineRule="auto"/>
                          <w:rPr>
                            <w:b/>
                            <w:bCs/>
                            <w:color w:val="808080"/>
                            <w:sz w:val="32"/>
                            <w:szCs w:val="32"/>
                          </w:rPr>
                        </w:pPr>
                        <w:r w:rsidRPr="00D92AA9">
                          <w:rPr>
                            <w:b/>
                            <w:bCs/>
                            <w:color w:val="808080" w:themeColor="text1" w:themeTint="7F"/>
                            <w:sz w:val="28"/>
                            <w:szCs w:val="28"/>
                          </w:rPr>
                          <w:t>Fernández David 53063</w:t>
                        </w:r>
                      </w:p>
                    </w:txbxContent>
                  </v:textbox>
                </v:rect>
                <w10:wrap anchorx="page" anchory="margin"/>
              </v:group>
            </w:pict>
          </w:r>
          <w:r>
            <w:rPr>
              <w:rFonts w:ascii="Calibri" w:hAnsi="Calibri" w:cs="Calibri"/>
            </w:rPr>
            <w:br w:type="page"/>
          </w:r>
        </w:p>
        <w:sdt>
          <w:sdtPr>
            <w:rPr>
              <w:rFonts w:asciiTheme="minorHAnsi" w:eastAsiaTheme="minorHAnsi" w:hAnsiTheme="minorHAnsi" w:cstheme="minorBidi"/>
              <w:b w:val="0"/>
              <w:bCs w:val="0"/>
              <w:color w:val="auto"/>
              <w:sz w:val="22"/>
              <w:szCs w:val="22"/>
            </w:rPr>
            <w:id w:val="18460019"/>
            <w:docPartObj>
              <w:docPartGallery w:val="Table of Contents"/>
              <w:docPartUnique/>
            </w:docPartObj>
          </w:sdtPr>
          <w:sdtContent>
            <w:p w:rsidR="00BA19B1" w:rsidRDefault="00BA19B1">
              <w:pPr>
                <w:pStyle w:val="TtulodeTDC"/>
                <w:rPr>
                  <w:rFonts w:asciiTheme="minorHAnsi" w:eastAsiaTheme="minorHAnsi" w:hAnsiTheme="minorHAnsi" w:cstheme="minorBidi"/>
                  <w:b w:val="0"/>
                  <w:bCs w:val="0"/>
                  <w:color w:val="auto"/>
                  <w:sz w:val="22"/>
                  <w:szCs w:val="22"/>
                </w:rPr>
              </w:pPr>
            </w:p>
            <w:p w:rsidR="00E52D42" w:rsidRDefault="00E52D42">
              <w:pPr>
                <w:pStyle w:val="TtulodeTDC"/>
              </w:pPr>
              <w:r>
                <w:t>Contenido</w:t>
              </w:r>
            </w:p>
            <w:p w:rsidR="00E52D42" w:rsidRDefault="00F4099F">
              <w:pPr>
                <w:pStyle w:val="TDC1"/>
                <w:tabs>
                  <w:tab w:val="right" w:leader="dot" w:pos="8494"/>
                </w:tabs>
                <w:rPr>
                  <w:noProof/>
                </w:rPr>
              </w:pPr>
              <w:r>
                <w:fldChar w:fldCharType="begin"/>
              </w:r>
              <w:r w:rsidR="00E52D42">
                <w:instrText xml:space="preserve"> TOC \o "1-3" \h \z \u </w:instrText>
              </w:r>
              <w:r>
                <w:fldChar w:fldCharType="separate"/>
              </w:r>
              <w:hyperlink w:anchor="_Toc334546999" w:history="1">
                <w:r w:rsidR="00E52D42" w:rsidRPr="00983B6F">
                  <w:rPr>
                    <w:rStyle w:val="Hipervnculo"/>
                    <w:noProof/>
                  </w:rPr>
                  <w:t>De las Leyes y derechos Civiles</w:t>
                </w:r>
                <w:r w:rsidR="00E52D42">
                  <w:rPr>
                    <w:noProof/>
                    <w:webHidden/>
                  </w:rPr>
                  <w:tab/>
                </w:r>
                <w:r>
                  <w:rPr>
                    <w:noProof/>
                    <w:webHidden/>
                  </w:rPr>
                  <w:fldChar w:fldCharType="begin"/>
                </w:r>
                <w:r w:rsidR="00E52D42">
                  <w:rPr>
                    <w:noProof/>
                    <w:webHidden/>
                  </w:rPr>
                  <w:instrText xml:space="preserve"> PAGEREF _Toc334546999 \h </w:instrText>
                </w:r>
                <w:r>
                  <w:rPr>
                    <w:noProof/>
                    <w:webHidden/>
                  </w:rPr>
                </w:r>
                <w:r>
                  <w:rPr>
                    <w:noProof/>
                    <w:webHidden/>
                  </w:rPr>
                  <w:fldChar w:fldCharType="separate"/>
                </w:r>
                <w:r w:rsidR="007C013A">
                  <w:rPr>
                    <w:noProof/>
                    <w:webHidden/>
                  </w:rPr>
                  <w:t>3</w:t>
                </w:r>
                <w:r>
                  <w:rPr>
                    <w:noProof/>
                    <w:webHidden/>
                  </w:rPr>
                  <w:fldChar w:fldCharType="end"/>
                </w:r>
              </w:hyperlink>
            </w:p>
            <w:p w:rsidR="00E52D42" w:rsidRDefault="00F4099F">
              <w:pPr>
                <w:pStyle w:val="TDC1"/>
                <w:tabs>
                  <w:tab w:val="right" w:leader="dot" w:pos="8494"/>
                </w:tabs>
                <w:rPr>
                  <w:noProof/>
                </w:rPr>
              </w:pPr>
              <w:hyperlink w:anchor="_Toc334547007" w:history="1">
                <w:r w:rsidR="00E52D42" w:rsidRPr="00983B6F">
                  <w:rPr>
                    <w:rStyle w:val="Hipervnculo"/>
                    <w:noProof/>
                  </w:rPr>
                  <w:t>Del Impacto Ambiental como tal</w:t>
                </w:r>
                <w:r w:rsidR="00E52D42">
                  <w:rPr>
                    <w:noProof/>
                    <w:webHidden/>
                  </w:rPr>
                  <w:tab/>
                </w:r>
                <w:r>
                  <w:rPr>
                    <w:noProof/>
                    <w:webHidden/>
                  </w:rPr>
                  <w:fldChar w:fldCharType="begin"/>
                </w:r>
                <w:r w:rsidR="00E52D42">
                  <w:rPr>
                    <w:noProof/>
                    <w:webHidden/>
                  </w:rPr>
                  <w:instrText xml:space="preserve"> PAGEREF _Toc334547007 \h </w:instrText>
                </w:r>
                <w:r>
                  <w:rPr>
                    <w:noProof/>
                    <w:webHidden/>
                  </w:rPr>
                </w:r>
                <w:r>
                  <w:rPr>
                    <w:noProof/>
                    <w:webHidden/>
                  </w:rPr>
                  <w:fldChar w:fldCharType="separate"/>
                </w:r>
                <w:r w:rsidR="007C013A">
                  <w:rPr>
                    <w:noProof/>
                    <w:webHidden/>
                  </w:rPr>
                  <w:t>4</w:t>
                </w:r>
                <w:r>
                  <w:rPr>
                    <w:noProof/>
                    <w:webHidden/>
                  </w:rPr>
                  <w:fldChar w:fldCharType="end"/>
                </w:r>
              </w:hyperlink>
            </w:p>
            <w:p w:rsidR="00E52D42" w:rsidRDefault="00F4099F">
              <w:pPr>
                <w:pStyle w:val="TDC1"/>
                <w:tabs>
                  <w:tab w:val="right" w:leader="dot" w:pos="8494"/>
                </w:tabs>
                <w:rPr>
                  <w:noProof/>
                </w:rPr>
              </w:pPr>
              <w:hyperlink w:anchor="_Toc334547008" w:history="1">
                <w:r w:rsidR="00E52D42" w:rsidRPr="00983B6F">
                  <w:rPr>
                    <w:rStyle w:val="Hipervnculo"/>
                    <w:noProof/>
                  </w:rPr>
                  <w:t>De la Rentabilidad y Riesgos del Proyecto</w:t>
                </w:r>
                <w:r w:rsidR="00E52D42">
                  <w:rPr>
                    <w:noProof/>
                    <w:webHidden/>
                  </w:rPr>
                  <w:tab/>
                </w:r>
                <w:r>
                  <w:rPr>
                    <w:noProof/>
                    <w:webHidden/>
                  </w:rPr>
                  <w:fldChar w:fldCharType="begin"/>
                </w:r>
                <w:r w:rsidR="00E52D42">
                  <w:rPr>
                    <w:noProof/>
                    <w:webHidden/>
                  </w:rPr>
                  <w:instrText xml:space="preserve"> PAGEREF _Toc334547008 \h </w:instrText>
                </w:r>
                <w:r>
                  <w:rPr>
                    <w:noProof/>
                    <w:webHidden/>
                  </w:rPr>
                </w:r>
                <w:r>
                  <w:rPr>
                    <w:noProof/>
                    <w:webHidden/>
                  </w:rPr>
                  <w:fldChar w:fldCharType="separate"/>
                </w:r>
                <w:r w:rsidR="007C013A">
                  <w:rPr>
                    <w:noProof/>
                    <w:webHidden/>
                  </w:rPr>
                  <w:t>5</w:t>
                </w:r>
                <w:r>
                  <w:rPr>
                    <w:noProof/>
                    <w:webHidden/>
                  </w:rPr>
                  <w:fldChar w:fldCharType="end"/>
                </w:r>
              </w:hyperlink>
            </w:p>
            <w:p w:rsidR="00E52D42" w:rsidRDefault="00F4099F">
              <w:r>
                <w:fldChar w:fldCharType="end"/>
              </w:r>
            </w:p>
          </w:sdtContent>
        </w:sdt>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F4099F">
          <w:pPr>
            <w:rPr>
              <w:rFonts w:asciiTheme="majorHAnsi" w:eastAsiaTheme="majorEastAsia" w:hAnsiTheme="majorHAnsi" w:cstheme="majorBidi"/>
              <w:b/>
              <w:bCs/>
              <w:color w:val="365F91" w:themeColor="accent1" w:themeShade="BF"/>
              <w:sz w:val="28"/>
              <w:szCs w:val="28"/>
            </w:rPr>
          </w:pPr>
        </w:p>
      </w:sdtContent>
    </w:sdt>
    <w:p w:rsidR="00BA19B1" w:rsidRDefault="00BA19B1" w:rsidP="00E52D42">
      <w:pPr>
        <w:pStyle w:val="Ttulo1"/>
      </w:pPr>
      <w:bookmarkStart w:id="0" w:name="_Toc334546999"/>
    </w:p>
    <w:p w:rsidR="00E52D42" w:rsidRDefault="00E52D42" w:rsidP="00E52D42">
      <w:pPr>
        <w:pStyle w:val="Ttulo1"/>
      </w:pPr>
      <w:r>
        <w:t>De las Leyes y derechos Civiles</w:t>
      </w:r>
      <w:bookmarkEnd w:id="0"/>
    </w:p>
    <w:p w:rsidR="00E52D42" w:rsidRDefault="00E52D42" w:rsidP="007F5EB8">
      <w:pPr>
        <w:jc w:val="both"/>
      </w:pPr>
      <w:r>
        <w:t>Basándonos en el impacto que han tenido los últimos años la</w:t>
      </w:r>
      <w:r w:rsidR="007F5EB8">
        <w:t xml:space="preserve">s redes sociales y analizando </w:t>
      </w:r>
      <w:r>
        <w:t xml:space="preserve"> porqué la sociedad ha decidido llegar al punto tal de exponer su intimidad hacia externos, podemos inferir que el ocio está presente en cada una de las respuestas.</w:t>
      </w:r>
    </w:p>
    <w:p w:rsidR="00E52D42" w:rsidRDefault="00E52D42" w:rsidP="007F5EB8">
      <w:pPr>
        <w:jc w:val="both"/>
      </w:pPr>
      <w:r>
        <w:t xml:space="preserve"> Si bien Optical</w:t>
      </w:r>
      <w:r w:rsidR="007F5EB8">
        <w:t xml:space="preserve"> </w:t>
      </w:r>
      <w:r>
        <w:t>Marketing no es una red social, si permite a sus usuarios, de manera interactiva, distraerse en lugares públicos permitiendo así a la empresas mostrar sus productos de una manera diferente. Como dice el proverbio del marketing “Si un producto es gratis, Ud. Es el producto”.</w:t>
      </w:r>
    </w:p>
    <w:p w:rsidR="00E52D42" w:rsidRPr="00321A18" w:rsidRDefault="00E52D42" w:rsidP="007F5EB8">
      <w:pPr>
        <w:jc w:val="both"/>
      </w:pPr>
      <w:r>
        <w:t>Pero la aceptación de un producto por parte de la sociedad, no implica la libre toma de acciones por parte de las empresas que desarrollen tales ideas. Muchas son las restricciones que pueden afectar a un producto como Optical</w:t>
      </w:r>
      <w:r w:rsidR="008E4C25">
        <w:t xml:space="preserve"> </w:t>
      </w:r>
      <w:r>
        <w:t>Marketing, a saber:</w:t>
      </w:r>
    </w:p>
    <w:p w:rsidR="00E52D42" w:rsidRPr="00F25B96" w:rsidRDefault="00E52D42" w:rsidP="00E52D42">
      <w:pPr>
        <w:pStyle w:val="Prrafodelista"/>
        <w:pBdr>
          <w:bottom w:val="single" w:sz="6" w:space="31" w:color="AAAAAA"/>
        </w:pBdr>
        <w:shd w:val="clear" w:color="auto" w:fill="FFFFFF"/>
        <w:spacing w:after="144" w:line="288" w:lineRule="atLeast"/>
        <w:outlineLvl w:val="1"/>
        <w:rPr>
          <w:rFonts w:eastAsia="Times New Roman" w:cstheme="minorHAnsi"/>
          <w:color w:val="000000"/>
          <w:sz w:val="28"/>
          <w:szCs w:val="28"/>
          <w:lang w:eastAsia="es-ES"/>
        </w:rPr>
      </w:pPr>
      <w:bookmarkStart w:id="1" w:name="_Toc334547000"/>
      <w:r w:rsidRPr="00F25B96">
        <w:rPr>
          <w:rFonts w:eastAsia="Times New Roman" w:cstheme="minorHAnsi"/>
          <w:color w:val="000000"/>
          <w:sz w:val="28"/>
          <w:szCs w:val="28"/>
          <w:lang w:eastAsia="es-ES"/>
        </w:rPr>
        <w:t>Derecho a la imagen</w:t>
      </w:r>
      <w:bookmarkEnd w:id="1"/>
    </w:p>
    <w:p w:rsidR="00E52D42" w:rsidRDefault="00E52D42" w:rsidP="007F5EB8">
      <w:pPr>
        <w:pStyle w:val="Prrafodelista"/>
        <w:pBdr>
          <w:bottom w:val="single" w:sz="6" w:space="31" w:color="AAAAAA"/>
        </w:pBdr>
        <w:shd w:val="clear" w:color="auto" w:fill="FFFFFF"/>
        <w:spacing w:after="144" w:line="288" w:lineRule="atLeast"/>
        <w:jc w:val="both"/>
        <w:outlineLvl w:val="1"/>
        <w:rPr>
          <w:rFonts w:eastAsia="Times New Roman" w:cstheme="minorHAnsi"/>
          <w:color w:val="000000"/>
          <w:lang w:eastAsia="es-ES"/>
        </w:rPr>
      </w:pPr>
      <w:bookmarkStart w:id="2" w:name="_Toc334547001"/>
      <w:r w:rsidRPr="00F25B96">
        <w:rPr>
          <w:rFonts w:eastAsia="Times New Roman" w:cstheme="minorHAnsi"/>
          <w:color w:val="000000"/>
          <w:lang w:eastAsia="es-ES"/>
        </w:rPr>
        <w:t>Este </w:t>
      </w:r>
      <w:r w:rsidRPr="00F25B96">
        <w:rPr>
          <w:rFonts w:eastAsia="Times New Roman" w:cstheme="minorHAnsi"/>
          <w:b/>
          <w:bCs/>
          <w:color w:val="000000"/>
          <w:lang w:eastAsia="es-ES"/>
        </w:rPr>
        <w:t>derecho personalísimo</w:t>
      </w:r>
      <w:r w:rsidRPr="00F25B96">
        <w:rPr>
          <w:rFonts w:eastAsia="Times New Roman" w:cstheme="minorHAnsi"/>
          <w:color w:val="000000"/>
          <w:lang w:eastAsia="es-ES"/>
        </w:rPr>
        <w:t>, confiere a su titular la facultad de impedir, que otras personas por cualquier medio, capten o reproduzcan su imagen sin su consentimiento. Este derecho se encuadra dentro de aquellos que protegen la integridad espiritual de las personas.</w:t>
      </w:r>
      <w:bookmarkEnd w:id="2"/>
      <w:r>
        <w:rPr>
          <w:rFonts w:eastAsia="Times New Roman" w:cstheme="minorHAnsi"/>
          <w:color w:val="000000"/>
          <w:lang w:eastAsia="es-ES"/>
        </w:rPr>
        <w:t xml:space="preserve"> </w:t>
      </w:r>
    </w:p>
    <w:p w:rsidR="00E52D42" w:rsidRDefault="00E52D42" w:rsidP="007F5EB8">
      <w:pPr>
        <w:pStyle w:val="Prrafodelista"/>
        <w:pBdr>
          <w:bottom w:val="single" w:sz="6" w:space="31" w:color="AAAAAA"/>
        </w:pBdr>
        <w:shd w:val="clear" w:color="auto" w:fill="FFFFFF"/>
        <w:spacing w:after="144" w:line="288" w:lineRule="atLeast"/>
        <w:jc w:val="both"/>
        <w:outlineLvl w:val="1"/>
      </w:pPr>
      <w:bookmarkStart w:id="3" w:name="_Toc334547002"/>
      <w:r w:rsidRPr="00F25B96">
        <w:rPr>
          <w:rFonts w:eastAsia="Times New Roman" w:cstheme="minorHAnsi"/>
          <w:color w:val="000000"/>
          <w:lang w:eastAsia="es-ES"/>
        </w:rPr>
        <w:t>Puede señalarse que este derecho a la imagen, es distinto o goza de autonomía, del derecho a la intimidad o del honor; el bien jurídicamente protegido en estos, son la privacidad y la honra o reputación, frente al ámbito de la autonomía individual de consentir o no la divulgación de la imagen del titular. Pese a ello se puede a través de la violación al derecho a la imagen menoscabarse los otros dos.</w:t>
      </w:r>
      <w:bookmarkEnd w:id="3"/>
      <w:r>
        <w:t xml:space="preserve"> </w:t>
      </w:r>
    </w:p>
    <w:p w:rsidR="00E52D42" w:rsidRDefault="00E52D42" w:rsidP="007F5EB8">
      <w:pPr>
        <w:pStyle w:val="Prrafodelista"/>
        <w:pBdr>
          <w:bottom w:val="single" w:sz="6" w:space="31" w:color="AAAAAA"/>
        </w:pBdr>
        <w:shd w:val="clear" w:color="auto" w:fill="FFFFFF"/>
        <w:spacing w:after="144" w:line="288" w:lineRule="atLeast"/>
        <w:jc w:val="both"/>
        <w:outlineLvl w:val="1"/>
        <w:rPr>
          <w:rFonts w:ascii="Arial" w:eastAsia="Times New Roman" w:hAnsi="Arial" w:cs="Arial"/>
          <w:color w:val="000000"/>
          <w:sz w:val="20"/>
          <w:szCs w:val="20"/>
          <w:lang w:eastAsia="es-ES"/>
        </w:rPr>
      </w:pPr>
      <w:bookmarkStart w:id="4" w:name="_Toc334547003"/>
      <w:r>
        <w:t>“</w:t>
      </w:r>
      <w:r w:rsidRPr="00F25B96">
        <w:rPr>
          <w:rFonts w:ascii="Arial" w:eastAsia="Times New Roman" w:hAnsi="Arial" w:cs="Arial"/>
          <w:b/>
          <w:bCs/>
          <w:i/>
          <w:iCs/>
          <w:color w:val="000000"/>
          <w:sz w:val="20"/>
          <w:szCs w:val="20"/>
          <w:lang w:eastAsia="es-ES"/>
        </w:rPr>
        <w:t>Jurisprudencia:</w:t>
      </w:r>
      <w:r w:rsidRPr="00F25B96">
        <w:rPr>
          <w:rFonts w:ascii="Arial" w:eastAsia="Times New Roman" w:hAnsi="Arial" w:cs="Arial"/>
          <w:color w:val="000000"/>
          <w:sz w:val="20"/>
          <w:lang w:eastAsia="es-ES"/>
        </w:rPr>
        <w:t> </w:t>
      </w:r>
      <w:r w:rsidRPr="00F25B96">
        <w:rPr>
          <w:rFonts w:ascii="Arial" w:eastAsia="Times New Roman" w:hAnsi="Arial" w:cs="Arial"/>
          <w:color w:val="000000"/>
          <w:sz w:val="20"/>
          <w:szCs w:val="20"/>
          <w:lang w:eastAsia="es-ES"/>
        </w:rPr>
        <w:t>Nadie tiene el derecho a utilizar publicitariamente la imagen de otro sin su expreso consentimiento, aún cuando esa imagen hubiera sido captada en un lugar público o con motivo de un acto desarrollado en público; no puede utilizarse con fines comerciales sin el debido consentimiento, el cual debe resultar indubitable; de ello deriva el derecho de la persona cuya imagen ha sido utilizada a la reparación del daño moral que considera sufrido por ese solo hecho. La exhibición pública de una fotografía sin el consentimiento de su titular constituye un acto desaprobado por el ordenamiento jurídico</w:t>
      </w:r>
      <w:r>
        <w:rPr>
          <w:rFonts w:ascii="Arial" w:eastAsia="Times New Roman" w:hAnsi="Arial" w:cs="Arial"/>
          <w:color w:val="000000"/>
          <w:sz w:val="20"/>
          <w:szCs w:val="20"/>
          <w:lang w:eastAsia="es-ES"/>
        </w:rPr>
        <w:t>…”</w:t>
      </w:r>
      <w:bookmarkEnd w:id="4"/>
    </w:p>
    <w:p w:rsidR="00E52D42" w:rsidRPr="0056525C" w:rsidRDefault="00E52D42" w:rsidP="00E52D42">
      <w:pPr>
        <w:pStyle w:val="Prrafodelista"/>
        <w:pBdr>
          <w:bottom w:val="single" w:sz="6" w:space="31" w:color="AAAAAA"/>
        </w:pBdr>
        <w:shd w:val="clear" w:color="auto" w:fill="FFFFFF"/>
        <w:spacing w:after="144" w:line="288" w:lineRule="atLeast"/>
        <w:outlineLvl w:val="1"/>
        <w:rPr>
          <w:rStyle w:val="mw-headline"/>
          <w:rFonts w:cstheme="minorHAnsi"/>
          <w:bCs/>
          <w:color w:val="000000"/>
          <w:sz w:val="28"/>
          <w:szCs w:val="28"/>
        </w:rPr>
      </w:pPr>
      <w:bookmarkStart w:id="5" w:name="_Toc334547004"/>
      <w:r w:rsidRPr="0056525C">
        <w:rPr>
          <w:rStyle w:val="mw-headline"/>
          <w:rFonts w:cstheme="minorHAnsi"/>
          <w:bCs/>
          <w:color w:val="000000"/>
          <w:sz w:val="28"/>
          <w:szCs w:val="28"/>
        </w:rPr>
        <w:t>Hábeas Data</w:t>
      </w:r>
      <w:bookmarkEnd w:id="5"/>
    </w:p>
    <w:p w:rsidR="00E52D42" w:rsidRDefault="00E52D42" w:rsidP="007F5EB8">
      <w:pPr>
        <w:pStyle w:val="Prrafodelista"/>
        <w:pBdr>
          <w:bottom w:val="single" w:sz="6" w:space="31" w:color="AAAAAA"/>
        </w:pBdr>
        <w:shd w:val="clear" w:color="auto" w:fill="FFFFFF"/>
        <w:spacing w:after="144" w:line="288" w:lineRule="atLeast"/>
        <w:jc w:val="both"/>
        <w:outlineLvl w:val="1"/>
        <w:rPr>
          <w:rFonts w:ascii="Arial" w:hAnsi="Arial" w:cs="Arial"/>
          <w:color w:val="000000"/>
          <w:sz w:val="20"/>
          <w:szCs w:val="20"/>
        </w:rPr>
      </w:pPr>
      <w:bookmarkStart w:id="6" w:name="_Toc334547005"/>
      <w:r>
        <w:rPr>
          <w:rFonts w:ascii="Arial" w:hAnsi="Arial" w:cs="Arial"/>
          <w:color w:val="000000"/>
          <w:sz w:val="20"/>
          <w:szCs w:val="20"/>
        </w:rPr>
        <w:t>Con la reforma constitucional de 1994, se ha incorporado en el texto de la Constitución Nacional en el artículo 43 que en su tercer párrafo regula el llamado “</w:t>
      </w:r>
      <w:r w:rsidRPr="0056525C">
        <w:rPr>
          <w:rFonts w:ascii="Arial" w:hAnsi="Arial" w:cs="Arial"/>
          <w:color w:val="000000"/>
          <w:sz w:val="20"/>
          <w:szCs w:val="20"/>
        </w:rPr>
        <w:t>Hábeas data</w:t>
      </w:r>
      <w:r>
        <w:rPr>
          <w:rFonts w:ascii="Arial" w:hAnsi="Arial" w:cs="Arial"/>
          <w:color w:val="000000"/>
          <w:sz w:val="20"/>
          <w:szCs w:val="20"/>
        </w:rPr>
        <w:t>”, que es un mecanismo procesal, por el cual una persona puede acceder a un registro o banco de datos, sea público o privado, para controlar su veracidad, pudiendo llegar a suprimir información si fuera falsa, o evitar que sea utilizada con fines distintos a los de creación del almacenamiento o con fines discriminatorios. Este derecho fue reglamentado con la sanción de la ley 25.326 en el año 2000. Quedando reglamentado finalmente el ingreso y conocimiento de los datos propios que consten en distintas bases de datos. (Basado en que el sistema vende información de flujo de personas e interacción de las mismas con el producto).</w:t>
      </w:r>
      <w:bookmarkEnd w:id="6"/>
    </w:p>
    <w:p w:rsidR="00E52D42" w:rsidRDefault="00E52D42" w:rsidP="00E52D42">
      <w:pPr>
        <w:pStyle w:val="Prrafodelista"/>
        <w:pBdr>
          <w:bottom w:val="single" w:sz="6" w:space="31" w:color="AAAAAA"/>
        </w:pBdr>
        <w:shd w:val="clear" w:color="auto" w:fill="FFFFFF"/>
        <w:spacing w:after="144" w:line="288" w:lineRule="atLeast"/>
        <w:outlineLvl w:val="1"/>
        <w:rPr>
          <w:rFonts w:ascii="Arial" w:eastAsia="Times New Roman" w:hAnsi="Arial" w:cs="Arial"/>
          <w:color w:val="000000"/>
          <w:sz w:val="20"/>
          <w:szCs w:val="20"/>
          <w:lang w:eastAsia="es-ES"/>
        </w:rPr>
      </w:pPr>
    </w:p>
    <w:p w:rsidR="00E52D42" w:rsidRPr="00F25B96" w:rsidRDefault="00E52D42" w:rsidP="00E52D42">
      <w:pPr>
        <w:pStyle w:val="Prrafodelista"/>
        <w:pBdr>
          <w:bottom w:val="single" w:sz="6" w:space="31" w:color="AAAAAA"/>
        </w:pBdr>
        <w:shd w:val="clear" w:color="auto" w:fill="FFFFFF"/>
        <w:spacing w:after="144" w:line="288" w:lineRule="atLeast"/>
        <w:outlineLvl w:val="1"/>
        <w:rPr>
          <w:rFonts w:ascii="Arial" w:eastAsia="Times New Roman" w:hAnsi="Arial" w:cs="Arial"/>
          <w:color w:val="000000"/>
          <w:sz w:val="20"/>
          <w:szCs w:val="20"/>
          <w:lang w:eastAsia="es-ES"/>
        </w:rPr>
      </w:pPr>
    </w:p>
    <w:p w:rsidR="00E52D42" w:rsidRDefault="00E52D42" w:rsidP="00E52D42">
      <w:pPr>
        <w:pStyle w:val="Prrafodelista"/>
        <w:pBdr>
          <w:bottom w:val="single" w:sz="6" w:space="31" w:color="AAAAAA"/>
        </w:pBdr>
        <w:shd w:val="clear" w:color="auto" w:fill="FFFFFF"/>
        <w:spacing w:after="144" w:line="288" w:lineRule="atLeast"/>
        <w:outlineLvl w:val="1"/>
      </w:pPr>
    </w:p>
    <w:p w:rsidR="00E52D42" w:rsidRDefault="00E52D42" w:rsidP="00E52D42">
      <w:pPr>
        <w:pStyle w:val="Prrafodelista"/>
        <w:pBdr>
          <w:bottom w:val="single" w:sz="6" w:space="31" w:color="AAAAAA"/>
        </w:pBdr>
        <w:shd w:val="clear" w:color="auto" w:fill="FFFFFF"/>
        <w:spacing w:after="144" w:line="288" w:lineRule="atLeast"/>
        <w:outlineLvl w:val="1"/>
      </w:pPr>
    </w:p>
    <w:p w:rsidR="00E52D42" w:rsidRDefault="00E52D42" w:rsidP="007F5EB8">
      <w:pPr>
        <w:pStyle w:val="Prrafodelista"/>
        <w:pBdr>
          <w:bottom w:val="single" w:sz="6" w:space="31" w:color="AAAAAA"/>
        </w:pBdr>
        <w:shd w:val="clear" w:color="auto" w:fill="FFFFFF"/>
        <w:spacing w:after="144" w:line="288" w:lineRule="atLeast"/>
        <w:jc w:val="both"/>
        <w:outlineLvl w:val="1"/>
      </w:pPr>
      <w:bookmarkStart w:id="7" w:name="_Toc334547006"/>
      <w:r>
        <w:t>Si bien estos son algunos de los derechos que mas impactan a la hora del libre uso del producto, puede esta actividad verse afectada también, teniendo en cuenta que deben hacerse licitaciones públicas en caso de querer utilizar espacios de esa índole  para obtener rédito de una actividad.</w:t>
      </w:r>
      <w:bookmarkEnd w:id="7"/>
    </w:p>
    <w:p w:rsidR="00E52D42" w:rsidRDefault="00816CCD" w:rsidP="00E52D42">
      <w:pPr>
        <w:pStyle w:val="Ttulo1"/>
      </w:pPr>
      <w:bookmarkStart w:id="8" w:name="_Toc334547007"/>
      <w:r w:rsidRPr="00E52D42">
        <w:t>Del Impacto Ambiental como tal</w:t>
      </w:r>
      <w:bookmarkEnd w:id="8"/>
    </w:p>
    <w:p w:rsidR="00BA19B1" w:rsidRDefault="00BA19B1" w:rsidP="00BA19B1"/>
    <w:p w:rsidR="00BA19B1" w:rsidRPr="00BA19B1" w:rsidRDefault="00BA19B1" w:rsidP="00BA19B1">
      <w:pPr>
        <w:pStyle w:val="Prrafodelista"/>
        <w:numPr>
          <w:ilvl w:val="0"/>
          <w:numId w:val="2"/>
        </w:numPr>
      </w:pPr>
      <w:r>
        <w:t xml:space="preserve">Basura </w:t>
      </w:r>
      <w:r w:rsidR="007F5EB8">
        <w:t>Tecnológica</w:t>
      </w:r>
      <w:r>
        <w:t>.</w:t>
      </w:r>
    </w:p>
    <w:p w:rsidR="00E52D42" w:rsidRDefault="00E52D42" w:rsidP="008E4C25">
      <w:pPr>
        <w:ind w:left="360"/>
        <w:jc w:val="both"/>
      </w:pPr>
      <w:r w:rsidRPr="00E52D42">
        <w:t>Como sabemos toda actividad produce una consecuencia sobre el medio ambiente. En este caso Optical</w:t>
      </w:r>
      <w:r w:rsidR="007F5EB8">
        <w:t xml:space="preserve"> </w:t>
      </w:r>
      <w:r w:rsidRPr="00E52D42">
        <w:t xml:space="preserve">Marketing puede verse implicada en la producción de “Basura </w:t>
      </w:r>
      <w:r w:rsidR="007F5EB8" w:rsidRPr="00E52D42">
        <w:t>Tecnológica</w:t>
      </w:r>
      <w:r w:rsidRPr="00E52D42">
        <w:t>”, dado que al depender de tecnología de última generación para la emisión de publicidad dinámica, cuando esta ya no es de utilidad, debe actualizarse y he aquí el problema.</w:t>
      </w:r>
      <w:r w:rsidR="007C013A">
        <w:t xml:space="preserve"> </w:t>
      </w:r>
    </w:p>
    <w:p w:rsidR="007C013A" w:rsidRDefault="007C013A" w:rsidP="008E4C25">
      <w:pPr>
        <w:ind w:left="360"/>
        <w:jc w:val="both"/>
      </w:pPr>
      <w:r>
        <w:t>Aunque para poder hacer frente a este problema, se pretende donar a entidades de bien público todo aquel material que ya no se utilice.</w:t>
      </w:r>
    </w:p>
    <w:p w:rsidR="00BA19B1" w:rsidRPr="00E52D42" w:rsidRDefault="00BA19B1" w:rsidP="008E4C25">
      <w:pPr>
        <w:pStyle w:val="Prrafodelista"/>
        <w:numPr>
          <w:ilvl w:val="0"/>
          <w:numId w:val="2"/>
        </w:numPr>
        <w:jc w:val="both"/>
      </w:pPr>
      <w:r>
        <w:t>Emisiones de Calor</w:t>
      </w:r>
    </w:p>
    <w:p w:rsidR="00E52D42" w:rsidRDefault="00E52D42" w:rsidP="008E4C25">
      <w:pPr>
        <w:ind w:left="360"/>
        <w:jc w:val="both"/>
      </w:pPr>
      <w:r w:rsidRPr="00E52D42">
        <w:t xml:space="preserve">La emisión de calor no es un tema menor. Sabemos que casi el cien </w:t>
      </w:r>
      <w:r w:rsidR="008E4C25" w:rsidRPr="00E52D42">
        <w:t>por ciento</w:t>
      </w:r>
      <w:r w:rsidRPr="00E52D42">
        <w:t xml:space="preserve"> de la actividad tecnológica produce calor y esto afecta produciendo “Efecto Invernadero”</w:t>
      </w:r>
      <w:r w:rsidR="00BA19B1">
        <w:t xml:space="preserve">. </w:t>
      </w:r>
    </w:p>
    <w:p w:rsidR="00BA19B1" w:rsidRPr="00E52D42" w:rsidRDefault="00BA19B1" w:rsidP="00E52D42">
      <w:pPr>
        <w:ind w:left="360"/>
      </w:pPr>
      <w:r>
        <w:rPr>
          <w:noProof/>
          <w:lang w:eastAsia="es-ES"/>
        </w:rPr>
        <w:drawing>
          <wp:inline distT="0" distB="0" distL="0" distR="0">
            <wp:extent cx="4162425" cy="3205067"/>
            <wp:effectExtent l="19050" t="0" r="9525" b="0"/>
            <wp:docPr id="1" name="Imagen 1" descr="http://pikaia.files.wordpress.com/2007/08/global_te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kaia.files.wordpress.com/2007/08/global_temp1.jpg"/>
                    <pic:cNvPicPr>
                      <a:picLocks noChangeAspect="1" noChangeArrowheads="1"/>
                    </pic:cNvPicPr>
                  </pic:nvPicPr>
                  <pic:blipFill>
                    <a:blip r:embed="rId9"/>
                    <a:srcRect/>
                    <a:stretch>
                      <a:fillRect/>
                    </a:stretch>
                  </pic:blipFill>
                  <pic:spPr bwMode="auto">
                    <a:xfrm>
                      <a:off x="0" y="0"/>
                      <a:ext cx="4161936" cy="3204690"/>
                    </a:xfrm>
                    <a:prstGeom prst="rect">
                      <a:avLst/>
                    </a:prstGeom>
                    <a:noFill/>
                    <a:ln w="9525">
                      <a:noFill/>
                      <a:miter lim="800000"/>
                      <a:headEnd/>
                      <a:tailEnd/>
                    </a:ln>
                  </pic:spPr>
                </pic:pic>
              </a:graphicData>
            </a:graphic>
          </wp:inline>
        </w:drawing>
      </w:r>
    </w:p>
    <w:p w:rsidR="00E52D42" w:rsidRPr="00E52D42" w:rsidRDefault="00BA19B1" w:rsidP="00E52D42">
      <w:pPr>
        <w:ind w:left="360"/>
      </w:pPr>
      <w:r>
        <w:lastRenderedPageBreak/>
        <w:t>He aquí un ejemplo del impacto de las nuevas tecnologías respecto a las emisiones de calor.</w:t>
      </w:r>
    </w:p>
    <w:p w:rsidR="000C4E4A" w:rsidRPr="00E52D42" w:rsidRDefault="00816CCD" w:rsidP="00E52D42">
      <w:pPr>
        <w:pStyle w:val="Ttulo1"/>
      </w:pPr>
      <w:bookmarkStart w:id="9" w:name="_Toc334547008"/>
      <w:r w:rsidRPr="00E52D42">
        <w:t>De la Rentabilidad y Riesgos del Proyecto</w:t>
      </w:r>
      <w:bookmarkEnd w:id="9"/>
    </w:p>
    <w:p w:rsidR="00E52D42" w:rsidRPr="00E52D42" w:rsidRDefault="00E52D42" w:rsidP="00E52D42">
      <w:pPr>
        <w:ind w:left="360"/>
      </w:pPr>
      <w:r w:rsidRPr="00E52D42">
        <w:t>Todo proyecto tiene ventajas y desventajas que afectan a la posibilidad de éxito de los proyectos. Hemos discutido ya varios de los puntos negativos que podrían afectar a Optical</w:t>
      </w:r>
      <w:r w:rsidR="007F5EB8">
        <w:t xml:space="preserve"> </w:t>
      </w:r>
      <w:r w:rsidRPr="00E52D42">
        <w:t>Marketing, es el momento de mostrar que beneficios otorga a la sociedad, y el motivo por el cual se piensa que será rentable.</w:t>
      </w:r>
    </w:p>
    <w:p w:rsidR="00E52D42" w:rsidRPr="00E52D42" w:rsidRDefault="00E52D42" w:rsidP="00E52D42">
      <w:pPr>
        <w:numPr>
          <w:ilvl w:val="0"/>
          <w:numId w:val="1"/>
        </w:numPr>
      </w:pPr>
      <w:r w:rsidRPr="00E52D42">
        <w:t>Innovación</w:t>
      </w:r>
    </w:p>
    <w:p w:rsidR="00E52D42" w:rsidRPr="00E52D42" w:rsidRDefault="00E52D42" w:rsidP="00E52D42">
      <w:pPr>
        <w:ind w:left="360"/>
      </w:pPr>
      <w:r w:rsidRPr="00E52D42">
        <w:t xml:space="preserve">Estamos tratando con una nueva y </w:t>
      </w:r>
      <w:r w:rsidR="007F5EB8" w:rsidRPr="00E52D42">
        <w:t>revolucionaria</w:t>
      </w:r>
      <w:r w:rsidRPr="00E52D42">
        <w:t xml:space="preserve"> forma de hacer publicidad y de retribuirle a las empresas de forma REAL datos sobre el impacto de sus campañas, el cual no es tema menor, dado que hasta el momento los medios actuales solo hacían PROYECCIONES de impacto.</w:t>
      </w:r>
    </w:p>
    <w:p w:rsidR="00E52D42" w:rsidRPr="00E52D42" w:rsidRDefault="00E52D42" w:rsidP="00E52D42">
      <w:pPr>
        <w:numPr>
          <w:ilvl w:val="0"/>
          <w:numId w:val="1"/>
        </w:numPr>
      </w:pPr>
      <w:r w:rsidRPr="00E52D42">
        <w:t>Bajo Costo</w:t>
      </w:r>
    </w:p>
    <w:p w:rsidR="00321A18" w:rsidRDefault="008E4C25" w:rsidP="00E52D42">
      <w:pPr>
        <w:ind w:left="360"/>
      </w:pPr>
      <w:r>
        <w:t>Si comparamos los costos actuales de los medios publicitarios más comunes y el nivel de impacto social que provocan, definitivamente Optical Marketing se posiciona como una interesante opción a tener en cuenta</w:t>
      </w:r>
      <w:r w:rsidR="00E52D42" w:rsidRPr="00E52D42">
        <w:t>.</w:t>
      </w:r>
    </w:p>
    <w:p w:rsidR="00B731C3" w:rsidRDefault="003B0BCB" w:rsidP="00E52D42">
      <w:pPr>
        <w:ind w:left="360"/>
      </w:pPr>
      <w:r>
        <w:t>-</w:t>
      </w:r>
      <w:r w:rsidR="00B731C3">
        <w:t>Precios Relativos a Marzo de 2012. (Precio por segundo, Prime Time)</w:t>
      </w:r>
    </w:p>
    <w:p w:rsidR="00B731C3" w:rsidRPr="00283F77" w:rsidRDefault="00B731C3" w:rsidP="00E52D42">
      <w:pPr>
        <w:ind w:left="360"/>
        <w:rPr>
          <w:lang w:val="en-US"/>
        </w:rPr>
      </w:pPr>
      <w:r w:rsidRPr="00283F77">
        <w:rPr>
          <w:lang w:val="en-US"/>
        </w:rPr>
        <w:t>Canal 13…………………………</w:t>
      </w:r>
      <w:r w:rsidR="004106AD" w:rsidRPr="00283F77">
        <w:rPr>
          <w:lang w:val="en-US"/>
        </w:rPr>
        <w:t>…………………………………</w:t>
      </w:r>
      <w:r w:rsidRPr="00283F77">
        <w:rPr>
          <w:lang w:val="en-US"/>
        </w:rPr>
        <w:t>………………$9600</w:t>
      </w:r>
    </w:p>
    <w:p w:rsidR="00B731C3" w:rsidRPr="00283F77" w:rsidRDefault="00B731C3" w:rsidP="00E52D42">
      <w:pPr>
        <w:ind w:left="360"/>
        <w:rPr>
          <w:lang w:val="en-US"/>
        </w:rPr>
      </w:pPr>
      <w:r w:rsidRPr="00283F77">
        <w:rPr>
          <w:lang w:val="en-US"/>
        </w:rPr>
        <w:t>Telefe…………………………………</w:t>
      </w:r>
      <w:r w:rsidR="004106AD" w:rsidRPr="00283F77">
        <w:rPr>
          <w:lang w:val="en-US"/>
        </w:rPr>
        <w:t>………………………………….</w:t>
      </w:r>
      <w:r w:rsidRPr="00283F77">
        <w:rPr>
          <w:lang w:val="en-US"/>
        </w:rPr>
        <w:t>…………$10200</w:t>
      </w:r>
    </w:p>
    <w:p w:rsidR="00B731C3" w:rsidRPr="00283F77" w:rsidRDefault="00B731C3" w:rsidP="00E52D42">
      <w:pPr>
        <w:ind w:left="360"/>
        <w:rPr>
          <w:lang w:val="en-US"/>
        </w:rPr>
      </w:pPr>
      <w:r w:rsidRPr="00283F77">
        <w:rPr>
          <w:lang w:val="en-US"/>
        </w:rPr>
        <w:t>Futbol  TV Publica…………</w:t>
      </w:r>
      <w:r w:rsidR="004106AD" w:rsidRPr="00283F77">
        <w:rPr>
          <w:lang w:val="en-US"/>
        </w:rPr>
        <w:t>………………………………….</w:t>
      </w:r>
      <w:r w:rsidRPr="00283F77">
        <w:rPr>
          <w:lang w:val="en-US"/>
        </w:rPr>
        <w:t>……………….$1500</w:t>
      </w:r>
    </w:p>
    <w:p w:rsidR="007F1BCA" w:rsidRPr="00283F77" w:rsidRDefault="00B731C3" w:rsidP="003B0BCB">
      <w:pPr>
        <w:ind w:left="360"/>
        <w:rPr>
          <w:lang w:val="en-US"/>
        </w:rPr>
      </w:pPr>
      <w:r w:rsidRPr="00283F77">
        <w:rPr>
          <w:lang w:val="en-US"/>
        </w:rPr>
        <w:t>Radio……………………………</w:t>
      </w:r>
      <w:r w:rsidR="004106AD" w:rsidRPr="00283F77">
        <w:rPr>
          <w:lang w:val="en-US"/>
        </w:rPr>
        <w:t>…………………………………</w:t>
      </w:r>
      <w:r w:rsidRPr="00283F77">
        <w:rPr>
          <w:lang w:val="en-US"/>
        </w:rPr>
        <w:t>…………………</w:t>
      </w:r>
      <w:r w:rsidR="007F1BCA" w:rsidRPr="00283F77">
        <w:rPr>
          <w:lang w:val="en-US"/>
        </w:rPr>
        <w:t>$94</w:t>
      </w:r>
    </w:p>
    <w:p w:rsidR="003B0BCB" w:rsidRPr="003B0BCB" w:rsidRDefault="003B0BCB" w:rsidP="003B0BCB">
      <w:pPr>
        <w:ind w:left="360"/>
        <w:rPr>
          <w:lang w:val="en-US"/>
        </w:rPr>
      </w:pPr>
      <w:r>
        <w:rPr>
          <w:lang w:val="en-US"/>
        </w:rPr>
        <w:t>-</w:t>
      </w:r>
      <w:r w:rsidRPr="003B0BCB">
        <w:rPr>
          <w:lang w:val="en-US"/>
        </w:rPr>
        <w:t>In</w:t>
      </w:r>
      <w:r>
        <w:rPr>
          <w:lang w:val="en-US"/>
        </w:rPr>
        <w:t>ternet</w:t>
      </w:r>
    </w:p>
    <w:p w:rsidR="003B0BCB" w:rsidRPr="004106AD" w:rsidRDefault="003B0BCB" w:rsidP="004106AD">
      <w:pPr>
        <w:ind w:left="360"/>
        <w:rPr>
          <w:lang w:val="en-US"/>
        </w:rPr>
      </w:pPr>
      <w:r w:rsidRPr="003B0BCB">
        <w:rPr>
          <w:lang w:val="en-US"/>
        </w:rPr>
        <w:t>Pay Per Click (Google)…………</w:t>
      </w:r>
      <w:r w:rsidR="004106AD">
        <w:rPr>
          <w:lang w:val="en-US"/>
        </w:rPr>
        <w:t>………………………………..</w:t>
      </w:r>
      <w:r w:rsidRPr="003B0BCB">
        <w:rPr>
          <w:lang w:val="en-US"/>
        </w:rPr>
        <w:t>………….$0.10</w:t>
      </w:r>
    </w:p>
    <w:p w:rsidR="004106AD" w:rsidRDefault="00133BCA" w:rsidP="003B0BCB">
      <w:pPr>
        <w:ind w:left="360"/>
      </w:pPr>
      <w:r>
        <w:t>-Medios Gráficos</w:t>
      </w:r>
    </w:p>
    <w:p w:rsidR="00133BCA" w:rsidRDefault="00133BCA" w:rsidP="003B0BCB">
      <w:pPr>
        <w:ind w:left="360"/>
      </w:pPr>
      <w:r>
        <w:t>Carteleria Mensual</w:t>
      </w:r>
      <w:r w:rsidR="00A34819">
        <w:t>(depende modelo y lugar)</w:t>
      </w:r>
      <w:r>
        <w:t>………………….$</w:t>
      </w:r>
      <w:r w:rsidR="00A34819">
        <w:t>1000</w:t>
      </w:r>
    </w:p>
    <w:p w:rsidR="00A34819" w:rsidRDefault="00A34819" w:rsidP="003B0BCB">
      <w:pPr>
        <w:ind w:left="360"/>
      </w:pPr>
    </w:p>
    <w:p w:rsidR="003B0BCB" w:rsidRDefault="003B0BCB" w:rsidP="003B0BCB">
      <w:pPr>
        <w:ind w:left="360"/>
      </w:pPr>
      <w:r>
        <w:t>-</w:t>
      </w:r>
      <w:r w:rsidRPr="003B0BCB">
        <w:t xml:space="preserve">Optical Marketing </w:t>
      </w:r>
    </w:p>
    <w:p w:rsidR="003B0BCB" w:rsidRDefault="004106AD" w:rsidP="003B0BCB">
      <w:pPr>
        <w:ind w:left="360"/>
      </w:pPr>
      <w:r>
        <w:t>Interacción</w:t>
      </w:r>
      <w:r w:rsidR="003B0BCB">
        <w:t xml:space="preserve"> (Promedio 60 segundos/persona)……</w:t>
      </w:r>
      <w:r>
        <w:t>.</w:t>
      </w:r>
      <w:r w:rsidR="003B0BCB">
        <w:t>……………</w:t>
      </w:r>
      <w:r>
        <w:t>$0.25</w:t>
      </w:r>
    </w:p>
    <w:p w:rsidR="004106AD" w:rsidRDefault="004106AD" w:rsidP="003B0BCB">
      <w:pPr>
        <w:ind w:left="360"/>
      </w:pPr>
      <w:r>
        <w:t>Flujo simple de personas……………………………………………………$0.01</w:t>
      </w:r>
    </w:p>
    <w:p w:rsidR="004106AD" w:rsidRDefault="004106AD" w:rsidP="003B0BCB">
      <w:pPr>
        <w:ind w:left="360"/>
      </w:pPr>
    </w:p>
    <w:p w:rsidR="004106AD" w:rsidRDefault="004106AD" w:rsidP="003B0BCB">
      <w:pPr>
        <w:ind w:left="360"/>
      </w:pPr>
    </w:p>
    <w:p w:rsidR="004106AD" w:rsidRDefault="004106AD" w:rsidP="003B0BCB">
      <w:pPr>
        <w:ind w:left="360"/>
      </w:pPr>
    </w:p>
    <w:p w:rsidR="004106AD" w:rsidRDefault="004106AD" w:rsidP="003B0BCB">
      <w:pPr>
        <w:ind w:left="360"/>
      </w:pPr>
    </w:p>
    <w:p w:rsidR="004106AD" w:rsidRPr="003B0BCB" w:rsidRDefault="004106AD" w:rsidP="003B0BCB">
      <w:pPr>
        <w:ind w:left="360"/>
      </w:pPr>
    </w:p>
    <w:p w:rsidR="00E52D42" w:rsidRPr="00E52D42" w:rsidRDefault="00E52D42" w:rsidP="00E52D42">
      <w:pPr>
        <w:pStyle w:val="Prrafodelista"/>
        <w:numPr>
          <w:ilvl w:val="0"/>
          <w:numId w:val="1"/>
        </w:numPr>
      </w:pPr>
      <w:r>
        <w:t>I</w:t>
      </w:r>
      <w:r w:rsidRPr="00E52D42">
        <w:t>nversión Exponencial</w:t>
      </w:r>
      <w:r w:rsidR="007F5EB8">
        <w:t xml:space="preserve"> – Retorno Exponencial</w:t>
      </w:r>
    </w:p>
    <w:p w:rsidR="00E52D42" w:rsidRPr="00E52D42" w:rsidRDefault="00816CCD" w:rsidP="007F5EB8">
      <w:pPr>
        <w:ind w:left="426"/>
        <w:jc w:val="both"/>
      </w:pPr>
      <w:r w:rsidRPr="00E52D42">
        <w:t xml:space="preserve">No es un tema menor el contar con fondos de capitales, dado que se requiere siempre una inversión neta para comenzar con todo proyecto. La diferencia es que este producto puede hacerse escalable, de modo que mientras </w:t>
      </w:r>
      <w:r w:rsidR="007F5EB8" w:rsidRPr="00E52D42">
        <w:t>más</w:t>
      </w:r>
      <w:r w:rsidRPr="00E52D42">
        <w:t xml:space="preserve"> capital ingrese, mayor </w:t>
      </w:r>
      <w:r w:rsidR="008E4C25">
        <w:t>re</w:t>
      </w:r>
      <w:r w:rsidRPr="00E52D42">
        <w:t>inversión habrá y por ende mayor rentabilidad en cuanto a puestos de difusión.</w:t>
      </w:r>
    </w:p>
    <w:p w:rsidR="00E70A52" w:rsidRDefault="00E52D42" w:rsidP="00E52D42">
      <w:pPr>
        <w:pStyle w:val="Prrafodelista"/>
        <w:numPr>
          <w:ilvl w:val="0"/>
          <w:numId w:val="1"/>
        </w:numPr>
      </w:pPr>
      <w:r w:rsidRPr="00E52D42">
        <w:t>R</w:t>
      </w:r>
      <w:r w:rsidR="00816CCD" w:rsidRPr="00E52D42">
        <w:t xml:space="preserve">entabilidad </w:t>
      </w:r>
    </w:p>
    <w:p w:rsidR="00E52D42" w:rsidRDefault="00E52D42" w:rsidP="007F5EB8">
      <w:pPr>
        <w:pStyle w:val="Prrafodelista"/>
        <w:jc w:val="both"/>
      </w:pPr>
      <w:r>
        <w:t>Si bien el impacto que genere a simple vista atraiga a mas empresas a invertir en Optical</w:t>
      </w:r>
      <w:r w:rsidR="007F5EB8">
        <w:t xml:space="preserve"> </w:t>
      </w:r>
      <w:r w:rsidR="008E4C25">
        <w:t>Ma</w:t>
      </w:r>
      <w:r>
        <w:t xml:space="preserve">rketing, los distintos estudios que se están llevando a cabo y las consultas a expertos, nos indican que si el producto no demora demasiado su salida como para “Dar el primer Golpe” podría posicionarse como uno de los medios </w:t>
      </w:r>
      <w:r w:rsidR="007F5EB8">
        <w:t>más</w:t>
      </w:r>
      <w:r>
        <w:t xml:space="preserve"> impactantes a nivel local-regional, generando </w:t>
      </w:r>
      <w:r w:rsidR="007F5EB8">
        <w:t>así</w:t>
      </w:r>
      <w:r>
        <w:t xml:space="preserve"> un Retorno de Inversión mucho </w:t>
      </w:r>
      <w:r w:rsidR="007F5EB8">
        <w:t>más</w:t>
      </w:r>
      <w:r>
        <w:t xml:space="preserve"> rápido del esperado,</w:t>
      </w:r>
    </w:p>
    <w:p w:rsidR="00E52D42" w:rsidRPr="00E52D42" w:rsidRDefault="00E52D42" w:rsidP="00E52D42">
      <w:pPr>
        <w:pStyle w:val="Prrafodelista"/>
      </w:pPr>
    </w:p>
    <w:p w:rsidR="008D6C81" w:rsidRDefault="008D6C81"/>
    <w:sectPr w:rsidR="008D6C81" w:rsidSect="00E52D42">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2F0" w:rsidRDefault="005612F0" w:rsidP="00BA19B1">
      <w:pPr>
        <w:spacing w:after="0" w:line="240" w:lineRule="auto"/>
      </w:pPr>
      <w:r>
        <w:separator/>
      </w:r>
    </w:p>
  </w:endnote>
  <w:endnote w:type="continuationSeparator" w:id="1">
    <w:p w:rsidR="005612F0" w:rsidRDefault="005612F0" w:rsidP="00BA1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843"/>
      <w:docPartObj>
        <w:docPartGallery w:val="Page Numbers (Bottom of Page)"/>
        <w:docPartUnique/>
      </w:docPartObj>
    </w:sdtPr>
    <w:sdtContent>
      <w:p w:rsidR="00BA19B1" w:rsidRDefault="00F4099F">
        <w:pPr>
          <w:pStyle w:val="Piedepgina"/>
          <w:jc w:val="right"/>
        </w:pPr>
        <w:fldSimple w:instr=" PAGE   \* MERGEFORMAT ">
          <w:r w:rsidR="00283F77">
            <w:rPr>
              <w:noProof/>
            </w:rPr>
            <w:t>5</w:t>
          </w:r>
        </w:fldSimple>
      </w:p>
    </w:sdtContent>
  </w:sdt>
  <w:p w:rsidR="00BA19B1" w:rsidRDefault="00BA19B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2F0" w:rsidRDefault="005612F0" w:rsidP="00BA19B1">
      <w:pPr>
        <w:spacing w:after="0" w:line="240" w:lineRule="auto"/>
      </w:pPr>
      <w:r>
        <w:separator/>
      </w:r>
    </w:p>
  </w:footnote>
  <w:footnote w:type="continuationSeparator" w:id="1">
    <w:p w:rsidR="005612F0" w:rsidRDefault="005612F0" w:rsidP="00BA1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9B1" w:rsidRDefault="00BA19B1" w:rsidP="00BA19B1">
    <w:pPr>
      <w:spacing w:after="0"/>
      <w:jc w:val="center"/>
      <w:rPr>
        <w:b/>
        <w:bCs/>
        <w:color w:val="808080" w:themeColor="text1" w:themeTint="7F"/>
        <w:sz w:val="28"/>
        <w:szCs w:val="28"/>
      </w:rPr>
    </w:pPr>
    <w:r w:rsidRPr="00BA19B1">
      <w:rPr>
        <w:b/>
        <w:bCs/>
        <w:color w:val="808080" w:themeColor="text1" w:themeTint="7F"/>
        <w:sz w:val="28"/>
        <w:szCs w:val="28"/>
      </w:rPr>
      <w:t>UNIVERSIDAD TECNOLOGICA NACIONAL FACULTAD REGIONAL CORDOBA</w:t>
    </w:r>
  </w:p>
  <w:p w:rsidR="00BA19B1" w:rsidRPr="00BA19B1" w:rsidRDefault="00BA19B1" w:rsidP="00BA19B1">
    <w:pPr>
      <w:spacing w:after="0"/>
      <w:jc w:val="center"/>
      <w:rPr>
        <w:sz w:val="28"/>
        <w:szCs w:val="28"/>
      </w:rPr>
    </w:pPr>
    <w:r>
      <w:rPr>
        <w:b/>
        <w:bCs/>
        <w:color w:val="808080" w:themeColor="text1" w:themeTint="7F"/>
        <w:sz w:val="28"/>
        <w:szCs w:val="28"/>
      </w:rPr>
      <w:t>CATEDRA DE PROYECTO FINAL – INFORME DE IMPACTO AMBIENTAL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5580D"/>
    <w:multiLevelType w:val="hybridMultilevel"/>
    <w:tmpl w:val="6696E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3B74FA"/>
    <w:multiLevelType w:val="hybridMultilevel"/>
    <w:tmpl w:val="19263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52D42"/>
    <w:rsid w:val="001241E3"/>
    <w:rsid w:val="00133BCA"/>
    <w:rsid w:val="00283F77"/>
    <w:rsid w:val="003B0BCB"/>
    <w:rsid w:val="004106AD"/>
    <w:rsid w:val="005612F0"/>
    <w:rsid w:val="007C013A"/>
    <w:rsid w:val="007E5A93"/>
    <w:rsid w:val="007F1BCA"/>
    <w:rsid w:val="007F5EB8"/>
    <w:rsid w:val="00816CCD"/>
    <w:rsid w:val="008D6C81"/>
    <w:rsid w:val="008E4C25"/>
    <w:rsid w:val="00A34819"/>
    <w:rsid w:val="00A67086"/>
    <w:rsid w:val="00B731C3"/>
    <w:rsid w:val="00BA19B1"/>
    <w:rsid w:val="00E52D42"/>
    <w:rsid w:val="00F4099F"/>
    <w:rsid w:val="00F4538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C81"/>
  </w:style>
  <w:style w:type="paragraph" w:styleId="Ttulo1">
    <w:name w:val="heading 1"/>
    <w:basedOn w:val="Normal"/>
    <w:next w:val="Normal"/>
    <w:link w:val="Ttulo1Car"/>
    <w:uiPriority w:val="9"/>
    <w:qFormat/>
    <w:rsid w:val="00E5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52D42"/>
    <w:rPr>
      <w:color w:val="0000FF" w:themeColor="hyperlink"/>
      <w:u w:val="single"/>
    </w:rPr>
  </w:style>
  <w:style w:type="paragraph" w:styleId="Prrafodelista">
    <w:name w:val="List Paragraph"/>
    <w:basedOn w:val="Normal"/>
    <w:uiPriority w:val="34"/>
    <w:qFormat/>
    <w:rsid w:val="00E52D42"/>
    <w:pPr>
      <w:ind w:left="720"/>
      <w:contextualSpacing/>
    </w:pPr>
  </w:style>
  <w:style w:type="character" w:customStyle="1" w:styleId="Ttulo1Car">
    <w:name w:val="Título 1 Car"/>
    <w:basedOn w:val="Fuentedeprrafopredeter"/>
    <w:link w:val="Ttulo1"/>
    <w:uiPriority w:val="9"/>
    <w:rsid w:val="00E52D42"/>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Fuentedeprrafopredeter"/>
    <w:rsid w:val="00E52D42"/>
  </w:style>
  <w:style w:type="paragraph" w:styleId="Textodeglobo">
    <w:name w:val="Balloon Text"/>
    <w:basedOn w:val="Normal"/>
    <w:link w:val="TextodegloboCar"/>
    <w:uiPriority w:val="99"/>
    <w:semiHidden/>
    <w:unhideWhenUsed/>
    <w:rsid w:val="00E52D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2D42"/>
    <w:rPr>
      <w:rFonts w:ascii="Tahoma" w:hAnsi="Tahoma" w:cs="Tahoma"/>
      <w:sz w:val="16"/>
      <w:szCs w:val="16"/>
    </w:rPr>
  </w:style>
  <w:style w:type="paragraph" w:styleId="TtulodeTDC">
    <w:name w:val="TOC Heading"/>
    <w:basedOn w:val="Ttulo1"/>
    <w:next w:val="Normal"/>
    <w:uiPriority w:val="39"/>
    <w:semiHidden/>
    <w:unhideWhenUsed/>
    <w:qFormat/>
    <w:rsid w:val="00E52D42"/>
    <w:pPr>
      <w:outlineLvl w:val="9"/>
    </w:pPr>
  </w:style>
  <w:style w:type="paragraph" w:styleId="TDC1">
    <w:name w:val="toc 1"/>
    <w:basedOn w:val="Normal"/>
    <w:next w:val="Normal"/>
    <w:autoRedefine/>
    <w:uiPriority w:val="39"/>
    <w:unhideWhenUsed/>
    <w:rsid w:val="00E52D42"/>
    <w:pPr>
      <w:spacing w:after="100"/>
    </w:pPr>
  </w:style>
  <w:style w:type="paragraph" w:styleId="TDC2">
    <w:name w:val="toc 2"/>
    <w:basedOn w:val="Normal"/>
    <w:next w:val="Normal"/>
    <w:autoRedefine/>
    <w:uiPriority w:val="39"/>
    <w:unhideWhenUsed/>
    <w:rsid w:val="00E52D42"/>
    <w:pPr>
      <w:spacing w:after="100"/>
      <w:ind w:left="220"/>
    </w:pPr>
  </w:style>
  <w:style w:type="paragraph" w:styleId="Encabezado">
    <w:name w:val="header"/>
    <w:basedOn w:val="Normal"/>
    <w:link w:val="EncabezadoCar"/>
    <w:uiPriority w:val="99"/>
    <w:semiHidden/>
    <w:unhideWhenUsed/>
    <w:rsid w:val="00BA19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A19B1"/>
  </w:style>
  <w:style w:type="paragraph" w:styleId="Piedepgina">
    <w:name w:val="footer"/>
    <w:basedOn w:val="Normal"/>
    <w:link w:val="PiedepginaCar"/>
    <w:uiPriority w:val="99"/>
    <w:unhideWhenUsed/>
    <w:rsid w:val="00BA19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9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A954D-93C8-4E32-BDCD-C649A086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1014</Words>
  <Characters>5580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Informe Impacto Ambiental</vt:lpstr>
    </vt:vector>
  </TitlesOfParts>
  <Company>UNIVERSIDAD TECNOLOGICA NACIONAL FACULTAD REGIONAL CORDOBA</Company>
  <LinksUpToDate>false</LinksUpToDate>
  <CharactersWithSpaces>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Impacto Ambiental</dc:title>
  <dc:creator>Kapica Carlos</dc:creator>
  <cp:lastModifiedBy>Kapica</cp:lastModifiedBy>
  <cp:revision>5</cp:revision>
  <dcterms:created xsi:type="dcterms:W3CDTF">2012-09-04T21:20:00Z</dcterms:created>
  <dcterms:modified xsi:type="dcterms:W3CDTF">2013-12-08T18:26:00Z</dcterms:modified>
</cp:coreProperties>
</file>