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pPr>
            <w:ind w:left="720"/>
          </w:pPr>
          <w:r>
            <w:t xml:space="preserve">Document Information</w:t>
            <w:rPr>
              <w:sz w:val="20"/>
            </w:rPr>
          </w:r>
        </w:p>
        <w:p>
          <w:pPr>
            <w:ind w:left="720"/>
          </w:pPr>
          <w:r>
            <w:t xml:space="preserve">Overall Score</w:t>
            <w:rPr>
              <w:sz w:val="20"/>
            </w:rPr>
          </w:r>
        </w:p>
        <w:p>
          <w:pPr>
            <w:ind w:left="720"/>
          </w:pPr>
          <w:r>
            <w:t xml:space="preserve">Dimension Scores</w:t>
            <w:rPr>
              <w:sz w:val="20"/>
            </w:rPr>
          </w:r>
        </w:p>
        <w:p>
          <w:pPr>
            <w:ind w:left="1440"/>
          </w:pPr>
          <w:r>
            <w:t xml:space="preserve">1. Executive Readability — 4 / 5</w:t>
            <w:rPr>
              <w:sz w:val="20"/>
            </w:rPr>
          </w:r>
        </w:p>
        <w:p>
          <w:pPr>
            <w:ind w:left="1440"/>
          </w:pPr>
          <w:r>
            <w:t xml:space="preserve">2. Technical Credibility — 4 / 5</w:t>
            <w:rPr>
              <w:sz w:val="20"/>
            </w:rPr>
          </w:r>
        </w:p>
        <w:p>
          <w:pPr>
            <w:ind w:left="1440"/>
          </w:pPr>
          <w:r>
            <w:t xml:space="preserve">3. Requirement Coverage — 4 / 5</w:t>
            <w:rPr>
              <w:sz w:val="20"/>
            </w:rPr>
          </w:r>
        </w:p>
        <w:p>
          <w:pPr>
            <w:ind w:left="1440"/>
          </w:pPr>
          <w:r>
            <w:t xml:space="preserve">4. Honesty &amp; Transparency — 3 / 5</w:t>
            <w:rPr>
              <w:sz w:val="20"/>
            </w:rPr>
          </w:r>
        </w:p>
        <w:p>
          <w:pPr>
            <w:ind w:left="1440"/>
          </w:pPr>
          <w:r>
            <w:t xml:space="preserve">5. Document Flow &amp; Structure — 4 / 5</w:t>
            <w:rPr>
              <w:sz w:val="20"/>
            </w:rPr>
          </w:r>
        </w:p>
        <w:p>
          <w:pPr>
            <w:ind w:left="1440"/>
          </w:pPr>
          <w:r>
            <w:t xml:space="preserve">6. Writing Quality — 3 / 5</w:t>
            <w:rPr>
              <w:sz w:val="20"/>
            </w:rPr>
          </w:r>
        </w:p>
        <w:p>
          <w:pPr>
            <w:ind w:left="1440"/>
          </w:pPr>
          <w:r>
            <w:t xml:space="preserve">7. Client-Centricity — 3 / 5</w:t>
            <w:rPr>
              <w:sz w:val="20"/>
            </w:rPr>
          </w:r>
        </w:p>
        <w:p>
          <w:pPr>
            <w:ind w:left="1440"/>
          </w:pPr>
          <w:r>
            <w:t xml:space="preserve">8. Visual Communication — 4 / 5</w:t>
            <w:rPr>
              <w:sz w:val="20"/>
            </w:rPr>
          </w:r>
        </w:p>
        <w:p>
          <w:pPr>
            <w:ind w:left="1440"/>
          </w:pPr>
          <w:r>
            <w:t xml:space="preserve">9. IP &amp; Confidentiality — 2 / 5</w:t>
            <w:rPr>
              <w:sz w:val="20"/>
            </w:rPr>
          </w:r>
        </w:p>
        <w:p>
          <w:pPr>
            <w:ind w:left="1440"/>
          </w:pPr>
          <w:r>
            <w:t xml:space="preserve">10. Competitive Differentiation — 3 / 5</w:t>
            <w:rPr>
              <w:sz w:val="20"/>
            </w:rPr>
          </w:r>
        </w:p>
        <w:p>
          <w:pPr>
            <w:ind w:left="720"/>
          </w:pPr>
          <w:r>
            <w:t xml:space="preserve">Client Evaluation Criteria Alignment</w:t>
            <w:rPr>
              <w:sz w:val="20"/>
            </w:rPr>
          </w:r>
        </w:p>
        <w:p>
          <w:pPr>
            <w:ind w:left="720"/>
          </w:pPr>
          <w:r>
            <w:t xml:space="preserve">Top 3 Strengths</w:t>
            <w:rPr>
              <w:sz w:val="20"/>
            </w:rPr>
          </w:r>
        </w:p>
        <w:p>
          <w:pPr>
            <w:ind w:left="720"/>
          </w:pPr>
          <w:r>
            <w:t xml:space="preserve">Top 5 Critical Issues (Ranked by Impact)</w:t>
            <w:rPr>
              <w:sz w:val="20"/>
            </w:rPr>
          </w:r>
        </w:p>
        <w:p>
          <w:pPr>
            <w:ind w:left="1440"/>
          </w:pPr>
          <w:r>
            <w:t xml:space="preserve">Issue 1: IP Violations — Internal Tool Names Exposed (Critical)</w:t>
            <w:rPr>
              <w:sz w:val="20"/>
            </w:rPr>
          </w:r>
        </w:p>
        <w:p>
          <w:pPr>
            <w:ind w:left="1440"/>
          </w:pPr>
          <w:r>
            <w:t xml:space="preserve">Issue 2: `[TO VERIFY]` Marker Left in Document (Critical)</w:t>
            <w:rPr>
              <w:sz w:val="20"/>
            </w:rPr>
          </w:r>
        </w:p>
        <w:p>
          <w:pPr>
            <w:ind w:left="1440"/>
          </w:pPr>
          <w:r>
            <w:t xml:space="preserve">Issue 3: Duplicate Implementation Sections (Major)</w:t>
            <w:rPr>
              <w:sz w:val="20"/>
            </w:rPr>
          </w:r>
        </w:p>
        <w:p>
          <w:pPr>
            <w:ind w:left="1440"/>
          </w:pPr>
          <w:r>
            <w:t xml:space="preserve">Issue 4: All-Green Functional Fit Table Strains Credibility (Major)</w:t>
            <w:rPr>
              <w:sz w:val="20"/>
            </w:rPr>
          </w:r>
        </w:p>
        <w:p>
          <w:pPr>
            <w:ind w:left="1440"/>
          </w:pPr>
          <w:r>
            <w:t xml:space="preserve">Issue 5: Compliance Module Count Inconsistency (Major)</w:t>
            <w:rPr>
              <w:sz w:val="20"/>
            </w:rPr>
          </w:r>
        </w:p>
        <w:p>
          <w:pPr>
            <w:ind w:left="720"/>
          </w:pPr>
          <w:r>
            <w:t xml:space="preserve">Section-by-Section Feedback</w:t>
            <w:rPr>
              <w:sz w:val="20"/>
            </w:rPr>
          </w:r>
        </w:p>
        <w:p>
          <w:pPr>
            <w:ind w:left="1440"/>
          </w:pPr>
          <w:r>
            <w:t xml:space="preserve">Section: Executive Summary</w:t>
            <w:rPr>
              <w:sz w:val="20"/>
            </w:rPr>
          </w:r>
        </w:p>
        <w:p>
          <w:pPr>
            <w:ind w:left="1440"/>
          </w:pPr>
          <w:r>
            <w:t xml:space="preserve">Section: About SettleMint</w:t>
            <w:rPr>
              <w:sz w:val="20"/>
            </w:rPr>
          </w:r>
        </w:p>
        <w:p>
          <w:pPr>
            <w:ind w:left="1440"/>
          </w:pPr>
          <w:r>
            <w:t xml:space="preserve">Section: About DALP</w:t>
            <w:rPr>
              <w:sz w:val="20"/>
            </w:rPr>
          </w:r>
        </w:p>
        <w:p>
          <w:pPr>
            <w:ind w:left="1440"/>
          </w:pPr>
          <w:r>
            <w:t xml:space="preserve">Section: Customer References</w:t>
            <w:rPr>
              <w:sz w:val="20"/>
            </w:rPr>
          </w:r>
        </w:p>
        <w:p>
          <w:pPr>
            <w:ind w:left="1440"/>
          </w:pPr>
          <w:r>
            <w:t xml:space="preserve">Section: Understanding of Requirements</w:t>
            <w:rPr>
              <w:sz w:val="20"/>
            </w:rPr>
          </w:r>
        </w:p>
        <w:p>
          <w:pPr>
            <w:ind w:left="1440"/>
          </w:pPr>
          <w:r>
            <w:t xml:space="preserve">Section: Proposed Solution</w:t>
            <w:rPr>
              <w:sz w:val="20"/>
            </w:rPr>
          </w:r>
        </w:p>
        <w:p>
          <w:pPr>
            <w:ind w:left="1440"/>
          </w:pPr>
          <w:r>
            <w:t xml:space="preserve">Section: Technical Architecture</w:t>
            <w:rPr>
              <w:sz w:val="20"/>
            </w:rPr>
          </w:r>
        </w:p>
        <w:p>
          <w:pPr>
            <w:ind w:left="1440"/>
          </w:pPr>
          <w:r>
            <w:t xml:space="preserve">Section: Security</w:t>
            <w:rPr>
              <w:sz w:val="20"/>
            </w:rPr>
          </w:r>
        </w:p>
        <w:p>
          <w:pPr>
            <w:ind w:left="1440"/>
          </w:pPr>
          <w:r>
            <w:t xml:space="preserve">Section: Implementation and Delivery / Project Implementation and Delivery</w:t>
            <w:rPr>
              <w:sz w:val="20"/>
            </w:rPr>
          </w:r>
        </w:p>
        <w:p>
          <w:pPr>
            <w:ind w:left="1440"/>
          </w:pPr>
          <w:r>
            <w:t xml:space="preserve">Section: Deployment</w:t>
            <w:rPr>
              <w:sz w:val="20"/>
            </w:rPr>
          </w:r>
        </w:p>
        <w:p>
          <w:pPr>
            <w:ind w:left="1440"/>
          </w:pPr>
          <w:r>
            <w:t xml:space="preserve">Section: Support and SLA / Support Appendix</w:t>
            <w:rPr>
              <w:sz w:val="20"/>
            </w:rPr>
          </w:r>
        </w:p>
        <w:p>
          <w:pPr>
            <w:ind w:left="1440"/>
          </w:pPr>
          <w:r>
            <w:t xml:space="preserve">Section: Risk Management</w:t>
            <w:rPr>
              <w:sz w:val="20"/>
            </w:rPr>
          </w:r>
        </w:p>
        <w:p>
          <w:pPr>
            <w:ind w:left="1440"/>
          </w:pPr>
          <w:r>
            <w:t xml:space="preserve">Section: Compliance Architecture</w:t>
            <w:rPr>
              <w:sz w:val="20"/>
            </w:rPr>
          </w:r>
        </w:p>
        <w:p>
          <w:pPr>
            <w:ind w:left="1440"/>
          </w:pPr>
          <w:r>
            <w:t xml:space="preserve">Section: Writer's Checklist</w:t>
            <w:rPr>
              <w:sz w:val="20"/>
            </w:rPr>
          </w:r>
        </w:p>
        <w:p>
          <w:pPr>
            <w:ind w:left="720"/>
          </w:pPr>
          <w:r>
            <w:t xml:space="preserve">IP Exposure Audit</w:t>
            <w:rPr>
              <w:sz w:val="20"/>
            </w:rPr>
          </w:r>
        </w:p>
        <w:p>
          <w:pPr>
            <w:ind w:left="720"/>
          </w:pPr>
          <w:r>
            <w:t xml:space="preserve">Readability Assessment</w:t>
            <w:rPr>
              <w:sz w:val="20"/>
            </w:rPr>
          </w:r>
        </w:p>
        <w:p>
          <w:pPr>
            <w:ind w:left="720"/>
          </w:pPr>
          <w:r>
            <w:t xml:space="preserve">Verdict</w:t>
            <w:rPr>
              <w:sz w:val="20"/>
            </w:rPr>
          </w:r>
        </w:p>
        <w:p>
          <w:pPr>
            <w:ind w:left="1440"/>
          </w:pPr>
          <w:r>
            <w:t xml:space="preserve">Would you shortlist this vendor?</w:t>
            <w:rPr>
              <w:sz w:val="20"/>
            </w:rPr>
          </w:r>
        </w:p>
        <w:p>
          <w:pPr>
            <w:ind w:left="1440"/>
          </w:pPr>
          <w:r>
            <w:t xml:space="preserve">Reasoning</w:t>
            <w:rPr>
              <w:sz w:val="20"/>
            </w:rPr>
          </w:r>
        </w:p>
        <w:p>
          <w:pPr>
            <w:ind w:left="720"/>
          </w:pPr>
          <w:r>
            <w:t xml:space="preserve">Revision Priority</w:t>
            <w:rPr>
              <w:sz w:val="20"/>
            </w:rPr>
          </w:r>
        </w:p>
        <w:p>
          <w:pPr>
            <w:ind w:left="720"/>
          </w:pPr>
          <w:r>
            <w:t xml:space="preserve">TOP 10 Most Impactful Fixes (Priority Order)</w:t>
            <w:rPr>
              <w:sz w:val="20"/>
            </w:rPr>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Document Information</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Field</w:t>
            </w:r>
          </w:p>
        </w:tc>
        <w:tc>
          <w:tcPr>
            <w:tcW w:type="dxa" w:w="4873"/>
            <w:shd w:fill="000099" w:val="clear"/>
          </w:tcPr>
          <w:p>
            <w:r>
              <w:rPr>
                <w:b/>
                <w:color w:val="FFFFFF"/>
              </w:rPr>
            </w:r>
            <w:r>
              <w:rPr>
                <w:rFonts w:ascii="Figtree" w:hAnsi="Figtree"/>
                <w:b/>
                <w:i w:val="0"/>
                <w:color w:val="FFFFFF"/>
                <w:sz w:val="22"/>
              </w:rPr>
              <w:t>Value</w:t>
            </w:r>
          </w:p>
        </w:tc>
      </w:tr>
      <w:tr>
        <w:tc>
          <w:tcPr>
            <w:tcW w:type="dxa" w:w="4873"/>
          </w:tcPr>
          <w:p>
            <w:r/>
            <w:r>
              <w:rPr>
                <w:rFonts w:ascii="Figtree" w:hAnsi="Figtree"/>
                <w:b/>
                <w:i w:val="0"/>
                <w:sz w:val="22"/>
              </w:rPr>
              <w:t>Document Title</w:t>
            </w:r>
          </w:p>
        </w:tc>
        <w:tc>
          <w:tcPr>
            <w:tcW w:type="dxa" w:w="4873"/>
          </w:tcPr>
          <w:p>
            <w:r/>
            <w:r>
              <w:rPr>
                <w:rFonts w:ascii="Figtree" w:hAnsi="Figtree"/>
                <w:b w:val="0"/>
                <w:i w:val="0"/>
                <w:sz w:val="22"/>
              </w:rPr>
              <w:t>ENBD Technical Proposal</w:t>
            </w:r>
          </w:p>
        </w:tc>
      </w:tr>
      <w:tr>
        <w:tc>
          <w:tcPr>
            <w:tcW w:type="dxa" w:w="4873"/>
          </w:tcPr>
          <w:p>
            <w:r/>
            <w:r>
              <w:rPr>
                <w:rFonts w:ascii="Figtree" w:hAnsi="Figtree"/>
                <w:b/>
                <w:i w:val="0"/>
                <w:sz w:val="22"/>
              </w:rPr>
              <w:t>Version</w:t>
            </w:r>
          </w:p>
        </w:tc>
        <w:tc>
          <w:tcPr>
            <w:tcW w:type="dxa" w:w="4873"/>
          </w:tcPr>
          <w:p>
            <w:r/>
            <w:r>
              <w:rPr>
                <w:rFonts w:ascii="Figtree" w:hAnsi="Figtree"/>
                <w:b w:val="0"/>
                <w:i w:val="0"/>
                <w:sz w:val="22"/>
              </w:rPr>
              <w:t>Draft 1</w:t>
            </w:r>
          </w:p>
        </w:tc>
      </w:tr>
      <w:tr>
        <w:tc>
          <w:tcPr>
            <w:tcW w:type="dxa" w:w="4873"/>
          </w:tcPr>
          <w:p>
            <w:r/>
            <w:r>
              <w:rPr>
                <w:rFonts w:ascii="Figtree" w:hAnsi="Figtree"/>
                <w:b/>
                <w:i w:val="0"/>
                <w:sz w:val="22"/>
              </w:rPr>
              <w:t>Client / RFI/RFP</w:t>
            </w:r>
          </w:p>
        </w:tc>
        <w:tc>
          <w:tcPr>
            <w:tcW w:type="dxa" w:w="4873"/>
          </w:tcPr>
          <w:p>
            <w:r/>
            <w:r>
              <w:rPr>
                <w:rFonts w:ascii="Figtree" w:hAnsi="Figtree"/>
                <w:b w:val="0"/>
                <w:i w:val="0"/>
                <w:sz w:val="22"/>
              </w:rPr>
              <w:t>Emirates NBD — Tokenization Platform, Stablecoin Issuance, Digital Asset Custody</w:t>
            </w:r>
          </w:p>
        </w:tc>
      </w:tr>
      <w:tr>
        <w:tc>
          <w:tcPr>
            <w:tcW w:type="dxa" w:w="4873"/>
          </w:tcPr>
          <w:p>
            <w:r/>
            <w:r>
              <w:rPr>
                <w:rFonts w:ascii="Figtree" w:hAnsi="Figtree"/>
                <w:b/>
                <w:i w:val="0"/>
                <w:sz w:val="22"/>
              </w:rPr>
              <w:t>Date Reviewed</w:t>
            </w:r>
          </w:p>
        </w:tc>
        <w:tc>
          <w:tcPr>
            <w:tcW w:type="dxa" w:w="4873"/>
          </w:tcPr>
          <w:p>
            <w:r/>
            <w:r>
              <w:rPr>
                <w:rFonts w:ascii="Figtree" w:hAnsi="Figtree"/>
                <w:b w:val="0"/>
                <w:i w:val="0"/>
                <w:sz w:val="22"/>
              </w:rPr>
              <w:t>2026-03-15</w:t>
            </w:r>
          </w:p>
        </w:tc>
      </w:tr>
      <w:tr>
        <w:tc>
          <w:tcPr>
            <w:tcW w:type="dxa" w:w="4873"/>
          </w:tcPr>
          <w:p>
            <w:r/>
            <w:r>
              <w:rPr>
                <w:rFonts w:ascii="Figtree" w:hAnsi="Figtree"/>
                <w:b/>
                <w:i w:val="0"/>
                <w:sz w:val="22"/>
              </w:rPr>
              <w:t>Reviewed By</w:t>
            </w:r>
          </w:p>
        </w:tc>
        <w:tc>
          <w:tcPr>
            <w:tcW w:type="dxa" w:w="4873"/>
          </w:tcPr>
          <w:p>
            <w:r/>
            <w:r>
              <w:rPr>
                <w:rFonts w:ascii="Figtree" w:hAnsi="Figtree"/>
                <w:b w:val="0"/>
                <w:i w:val="0"/>
                <w:sz w:val="22"/>
              </w:rPr>
              <w:t>Proposal Reviewer Agent (proposal-checker)</w:t>
            </w:r>
          </w:p>
        </w:tc>
      </w:tr>
      <w:tr>
        <w:tc>
          <w:tcPr>
            <w:tcW w:type="dxa" w:w="4873"/>
          </w:tcPr>
          <w:p>
            <w:r/>
            <w:r>
              <w:rPr>
                <w:rFonts w:ascii="Figtree" w:hAnsi="Figtree"/>
                <w:b/>
                <w:i w:val="0"/>
                <w:sz w:val="22"/>
              </w:rPr>
              <w:t>Original RFI/RFP Available</w:t>
            </w:r>
          </w:p>
        </w:tc>
        <w:tc>
          <w:tcPr>
            <w:tcW w:type="dxa" w:w="4873"/>
          </w:tcPr>
          <w:p>
            <w:r/>
            <w:r>
              <w:rPr>
                <w:rFonts w:ascii="Figtree" w:hAnsi="Figtree"/>
                <w:b w:val="0"/>
                <w:i w:val="0"/>
                <w:sz w:val="22"/>
              </w:rPr>
              <w:t>No (post-demo proposal; no formal RFP document provided)</w:t>
            </w:r>
          </w:p>
        </w:tc>
      </w:tr>
    </w:tbl>
    <w:p>
      <w:r>
        <w:br w:type="page"/>
      </w:r>
    </w:p>
    <w:p>
      <w:pPr>
        <w:pStyle w:val="H2"/>
        <w:numPr>
          <w:ilvl w:val="1"/>
          <w:numId w:val="1"/>
        </w:numPr>
      </w:pPr>
      <w:r>
        <w:t>Overall Score</w:t>
      </w:r>
    </w:p>
    <w:p>
      <w:r>
        <w:rPr>
          <w:rFonts w:ascii="Figtree" w:hAnsi="Figtree"/>
          <w:b/>
          <w:i w:val="0"/>
          <w:sz w:val="22"/>
        </w:rPr>
        <w:t>Score: 34 / 50</w:t>
      </w:r>
    </w:p>
    <w:p>
      <w:r>
        <w:rPr>
          <w:rFonts w:ascii="Figtree" w:hAnsi="Figtree"/>
          <w:b w:val="0"/>
          <w:i/>
          <w:sz w:val="22"/>
        </w:rPr>
        <w:t>One-line summary:</w:t>
      </w:r>
    </w:p>
    <w:p>
      <w:r>
        <w:rPr>
          <w:rFonts w:ascii="Figtree" w:hAnsi="Figtree"/>
          <w:b w:val="0"/>
          <w:i w:val="0"/>
          <w:sz w:val="22"/>
        </w:rPr>
        <w:t>&gt; A competent, well-structured proposal with strong technical depth and clean IP discipline, undermined by significant internal-term leaks in the observability stack, repetitive content, buried differentiation, and a `[TO VERIFY]` marker left in the submission draft.</w:t>
      </w:r>
    </w:p>
    <w:p>
      <w:r>
        <w:br w:type="page"/>
      </w:r>
    </w:p>
    <w:p>
      <w:pPr>
        <w:pStyle w:val="H2"/>
        <w:numPr>
          <w:ilvl w:val="1"/>
          <w:numId w:val="1"/>
        </w:numPr>
      </w:pPr>
      <w:r>
        <w:t>Dimension Scores</w:t>
      </w:r>
    </w:p>
    <w:p>
      <w:pPr>
        <w:pStyle w:val="H3"/>
        <w:numPr>
          <w:ilvl w:val="2"/>
          <w:numId w:val="1"/>
        </w:numPr>
      </w:pPr>
      <w:r>
        <w:t>1. Executive Readability — 4 / 5</w:t>
      </w:r>
    </w:p>
    <w:p>
      <w:r>
        <w:rPr>
          <w:rFonts w:ascii="Figtree" w:hAnsi="Figtree"/>
          <w:b w:val="0"/>
          <w:i w:val="0"/>
          <w:sz w:val="22"/>
        </w:rPr>
        <w:t>&gt; The executive summary opens on the client's context and objectives before introducing SettleMint, which is the right move. The value proposition is clear: unified platform, three requirement domains, regional proof. The summary runs slightly long (roughly 3 pages with the reference table) but remains accessible to a business sponsor. The "Why SettleMint and DALP" subsection is the strongest part, with specific regional references and a clear three-pillar framing. Minor weakness: the opening paragraph of "Client Context and Objectives" reads more like paraphrased requirement text than strategic framing of the decision stakes.</w:t>
      </w:r>
    </w:p>
    <w:p>
      <w:pPr>
        <w:pStyle w:val="H3"/>
        <w:numPr>
          <w:ilvl w:val="2"/>
          <w:numId w:val="1"/>
        </w:numPr>
      </w:pPr>
      <w:r>
        <w:t>2. Technical Credibility — 4 / 5</w:t>
      </w:r>
    </w:p>
    <w:p>
      <w:r>
        <w:rPr>
          <w:rFonts w:ascii="Figtree" w:hAnsi="Figtree"/>
          <w:b w:val="0"/>
          <w:i w:val="0"/>
          <w:sz w:val="22"/>
        </w:rPr>
        <w:t>&gt; The proposal demonstrates genuine technical depth. The four-layer architecture is clearly described with specific components, data flows, and integration points. The smart contract layer description (SMART Protocol, DALPAsset, SMARTConfigurable, UUPS proxy pattern, CREATE2 addressing) is notably specific and credible. Performance benchmarks are absent, which is the primary gap: no throughput numbers, no latency figures, no test conditions. The transaction processing description (nonce coordination, dead-letter rescue, 11-state lifecycle) signals real production experience. The compliance module catalog with type IDs and sequential AND evaluation is excellent technical evidence. Slightly weakened by the naming of internal constructs (DALPAsset, SMARTConfigurable) without clarifying whether these are client-facing product terms or internal implementation names.</w:t>
      </w:r>
    </w:p>
    <w:p>
      <w:pPr>
        <w:pStyle w:val="H3"/>
        <w:numPr>
          <w:ilvl w:val="2"/>
          <w:numId w:val="1"/>
        </w:numPr>
      </w:pPr>
      <w:r>
        <w:t>3. Requirement Coverage — 4 / 5</w:t>
      </w:r>
    </w:p>
    <w:p>
      <w:r>
        <w:rPr>
          <w:rFonts w:ascii="Figtree" w:hAnsi="Figtree"/>
          <w:b w:val="0"/>
          <w:i w:val="0"/>
          <w:sz w:val="22"/>
        </w:rPr>
        <w:t>&gt; Coverage is strong across all three requirement domains. The Functional Fit Table provides clear status mapping. All major capability areas (multi-asset tokenization, stablecoin lifecycle, custody integration, compliance, settlement, corporate actions, APIs, deployment, white-label, Arabic support) receive dedicated treatment. The proposal anticipates follow-up questions in areas like custody provider selection and compliance template extensibility. Weakness: since no formal RFP is available, the proposal cannot be tested against explicit evaluation criteria. The proposal assumes its own requirement framing, which is appropriate for a post-demo submission but means coverage completeness cannot be independently verified. Some requirement areas (reporting capabilities, regulatory reporting formats, reconciliation workflows) receive lighter treatment than others.</w:t>
      </w:r>
    </w:p>
    <w:p>
      <w:pPr>
        <w:pStyle w:val="H3"/>
        <w:numPr>
          <w:ilvl w:val="2"/>
          <w:numId w:val="1"/>
        </w:numPr>
      </w:pPr>
      <w:r>
        <w:t>4. Honesty &amp; Transparency — 3 / 5</w:t>
      </w:r>
    </w:p>
    <w:p>
      <w:r>
        <w:rPr>
          <w:rFonts w:ascii="Figtree" w:hAnsi="Figtree"/>
          <w:b w:val="0"/>
          <w:i w:val="0"/>
          <w:sz w:val="22"/>
        </w:rPr>
        <w:t>&gt; The proposal states five response principles including "Operational realism" and "Show everything," which is a promising signal. However, the execution is uneven. There are no explicit "Partial" or "No" entries in the Functional Fit Table. Everything reads as "Full." For a platform covering this breadth, that strains credibility. The `[TO VERIFY]` marker in the Saudi Arabia reference (line 210) is a critical editorial failure that signals incomplete verification and would be embarrassing in a client submission. Roadmap items are not clearly identified anywhere. The proposal says it will distinguish current capability from roadmap but then never actually flags anything as roadmap. The stablecoin section claims DALP "already manages stablecoins including USDC, USDT" but the nature of this management (native issuance vs. integration vs. representation) is not clarified. The compliance module count shifts between "18 compliance module types" and "12 concrete compliance module types" without reconciliation.</w:t>
      </w:r>
    </w:p>
    <w:p>
      <w:pPr>
        <w:pStyle w:val="H3"/>
        <w:numPr>
          <w:ilvl w:val="2"/>
          <w:numId w:val="1"/>
        </w:numPr>
      </w:pPr>
      <w:r>
        <w:t>5. Document Flow &amp; Structure — 4 / 5</w:t>
      </w:r>
    </w:p>
    <w:p>
      <w:r>
        <w:rPr>
          <w:rFonts w:ascii="Figtree" w:hAnsi="Figtree"/>
          <w:b w:val="0"/>
          <w:i w:val="0"/>
          <w:sz w:val="22"/>
        </w:rPr>
        <w:t>&gt; The document follows a logical arc: Executive Summary, About SettleMint, About DALP, References, Requirements Understanding, Proposed Solution, Architecture, Security, Implementation, Deployment, Support, Risk, Compliance Architecture, Implementation (again), Support Appendix. The flow is generally strong with clear section boundaries. Two structural issues: (1) Implementation content appears twice (sections "Implementation and Delivery" and "Project Implementation and Delivery") with significant overlap; (2) the Compliance Architecture section appears after Risk Management, which breaks the natural flow from Solution to Architecture to Compliance to Implementation. The TOC would reveal this ordering issue. Section headings are descriptive and serve as effective retrieval cues. Cross-references are minimal but the document is navigable.</w:t>
      </w:r>
    </w:p>
    <w:p>
      <w:pPr>
        <w:pStyle w:val="H3"/>
        <w:numPr>
          <w:ilvl w:val="2"/>
          <w:numId w:val="1"/>
        </w:numPr>
      </w:pPr>
      <w:r>
        <w:t>6. Writing Quality — 3 / 5</w:t>
      </w:r>
    </w:p>
    <w:p>
      <w:r>
        <w:rPr>
          <w:rFonts w:ascii="Figtree" w:hAnsi="Figtree"/>
          <w:b w:val="0"/>
          <w:i w:val="0"/>
          <w:sz w:val="22"/>
        </w:rPr>
        <w:t>&gt; The prose is clean, professional, and free of AI-tell markers and em/en dashes. Sentence variety is adequate. Active voice dominates. However, the writing is information-dense to the point of being relentless. Multiple sections read as capability inventories rather than persuasive arguments. The "About DALP" section in particular is a 3-page feature tour that rarely connects capabilities to Emirates NBD's specific challenges. Repetition is a significant issue: the same claims (7 asset classes, 18 compliance modules, custody-agnostic, deterministic deployment, atomic settlement) appear in nearly identical wording across Executive Summary, About DALP, Proposed Solution, and Functional Fit Table. The "say it once well, then develop it" principle is violated repeatedly. Voice consistency is good across sections, suggesting disciplined single-author or well-edited multi-author production. Paragraph architecture is competent but rarely excellent: topic sentences exist but implication sentences (why this matters to Emirates NBD) are often missing.</w:t>
      </w:r>
    </w:p>
    <w:p>
      <w:pPr>
        <w:pStyle w:val="H3"/>
        <w:numPr>
          <w:ilvl w:val="2"/>
          <w:numId w:val="1"/>
        </w:numPr>
      </w:pPr>
      <w:r>
        <w:t>7. Client-Centricity — 3 / 5</w:t>
      </w:r>
    </w:p>
    <w:p>
      <w:r>
        <w:rPr>
          <w:rFonts w:ascii="Figtree" w:hAnsi="Figtree"/>
          <w:b w:val="0"/>
          <w:i w:val="0"/>
          <w:sz w:val="22"/>
        </w:rPr>
        <w:t>&gt; Emirates NBD is named throughout and the proposal references VARA, CBUAE, and ADGM specifically. The reference selection (Saudi Arabia RER, ADI Finstreet, Maybank) is well-chosen for Gulf region relevance. The deployment recommendation specifically addresses UAE data residency. However, too much of the document reads as generic DALP product description that happens to mention Emirates NBD. The "About DALP" section (roughly 5 pages) is entirely product-centric with no Emirates NBD framing. The Proposed Solution section improves but still leads with platform capabilities rather than client outcomes. The proposal does not reference specific Emirates NBD business lines, existing systems, or operational challenges beyond generic "core banking." The AED-denominated stablecoin mention is a good tailoring signal but appears only once. Arabic language support is mentioned but not positioned as a differentiator with operational context. A find-and-replace test would pass for approximately 60% of the document.</w:t>
      </w:r>
    </w:p>
    <w:p>
      <w:pPr>
        <w:pStyle w:val="H3"/>
        <w:numPr>
          <w:ilvl w:val="2"/>
          <w:numId w:val="1"/>
        </w:numPr>
      </w:pPr>
      <w:r>
        <w:t>8. Visual Communication — 4 / 5</w:t>
      </w:r>
    </w:p>
    <w:p>
      <w:r>
        <w:rPr>
          <w:rFonts w:ascii="Figtree" w:hAnsi="Figtree"/>
          <w:b w:val="0"/>
          <w:i w:val="0"/>
          <w:sz w:val="22"/>
        </w:rPr>
        <w:t>&gt; The proposal includes 8 Mermaid diagrams and 11 DALP screenshots, providing strong visual density. Diagrams follow a consistent brand colour palette. The architecture diagram, compliance flow, and deployment topology diagrams compress complexity effectively. The screenshots with descriptive captions add concrete product evidence. Weaknesses: most diagrams are simple linear flows rather than complex multi-party interactions that would demonstrate deeper architectural understanding. No client-specific diagram exists (e.g., "Emirates NBD Integration Architecture" showing core banking, SWIFT gateway, custody provider, and DALP touch points). The solution overview diagram (4 boxes with 3 arrows) is too simple to add value. The settlement flow diagram referenced in the text is a screenshot rather than a purpose-built diagram for Emirates NBD's specific settlement scenarios.</w:t>
      </w:r>
    </w:p>
    <w:p>
      <w:pPr>
        <w:pStyle w:val="H3"/>
        <w:numPr>
          <w:ilvl w:val="2"/>
          <w:numId w:val="1"/>
        </w:numPr>
      </w:pPr>
      <w:r>
        <w:t>9. IP &amp; Confidentiality — 2 / 5</w:t>
      </w:r>
    </w:p>
    <w:p>
      <w:r>
        <w:rPr>
          <w:rFonts w:ascii="Figtree" w:hAnsi="Figtree"/>
          <w:b w:val="0"/>
          <w:i w:val="0"/>
          <w:sz w:val="22"/>
        </w:rPr>
        <w:t xml:space="preserve">&gt; </w:t>
      </w:r>
      <w:r>
        <w:rPr>
          <w:rFonts w:ascii="Figtree" w:hAnsi="Figtree"/>
          <w:b/>
          <w:i w:val="0"/>
          <w:sz w:val="22"/>
        </w:rPr>
        <w:t>Multiple Category 1 IP violations detected.</w:t>
      </w:r>
      <w:r>
        <w:rPr>
          <w:rFonts w:ascii="Figtree" w:hAnsi="Figtree"/>
          <w:b w:val="0"/>
          <w:i w:val="0"/>
          <w:sz w:val="22"/>
        </w:rPr>
        <w:t xml:space="preserve"> The proposal names Grafana (5 occurrences), Loki (3 occurrences), VictoriaMetrics (3 occurrences), Tempo (3 occurrences), OpenTelemetry (1 occurrence), Velero (3 occurrences), CloudNativePG (1 occurrence), and Terraform (1 occurrence) by name. These are all internal implementation choices that should use category descriptions per the IP checklist. "Pre-built Grafana dashboards" should be "pre-built monitoring dashboards." "Loki" should be "centralized log aggregation." "VictoriaMetrics" should be "metrics collection." "Tempo" should be "distributed tracing." "Velero" should be "Kubernetes backup and restore." "CloudNativePG" should be "managed PostgreSQL operator." "Terraform" should be omitted or described as "infrastructure-as-code tooling." Additionally, `@settlemint/dalp-sdk` appears 3 times. While this may be a public package name, it reveals the scoped npm namespace. The `[TO VERIFY]` marker is also a metadata/artifact leak (Category 5). </w:t>
      </w:r>
      <w:r>
        <w:rPr>
          <w:rFonts w:ascii="Figtree" w:hAnsi="Figtree"/>
          <w:b/>
          <w:i w:val="0"/>
          <w:sz w:val="22"/>
        </w:rPr>
        <w:t>Auto-cap applied: dimension capped at 2 due to multiple Category 1 term exposures.</w:t>
      </w:r>
    </w:p>
    <w:p>
      <w:pPr>
        <w:pStyle w:val="H3"/>
        <w:numPr>
          <w:ilvl w:val="2"/>
          <w:numId w:val="1"/>
        </w:numPr>
      </w:pPr>
      <w:r>
        <w:t>10. Competitive Differentiation — 3 / 5</w:t>
      </w:r>
    </w:p>
    <w:p>
      <w:r>
        <w:rPr>
          <w:rFonts w:ascii="Figtree" w:hAnsi="Figtree"/>
          <w:b w:val="0"/>
          <w:i w:val="0"/>
          <w:sz w:val="22"/>
        </w:rPr>
        <w:t>&gt; The proposal contains differentiation language in the Executive Summary ("Why SettleMint and DALP") and a Key Differentiators table in the About DALP section. The three-pillar framing (regional proof, full lifecycle coverage, compliance by design) is clear and memorable. However, differentiation is concentrated in two locations rather than woven throughout. The strongest differentiator (regional Gulf deployments at sovereign scale) is well-evidenced but could be sharper: the Saudi Arabia and ADI references are strong but the proposal never explicitly says "no other vendor can show production deployments of this scale in the Gulf." The "Unlike point solutions" framing appears but without comparative mechanism. The Key Differentiators table lists outcomes but several entries (API-first, deployment flexibility, Arabic support) are table-stakes expectations rather than genuine differentiators. The proposal does not address what Emirates NBD would sacrifice by choosing SettleMint (honest trade-off acknowledgment builds trust). Differentiation is stated more than demonstrated.</w:t>
      </w:r>
    </w:p>
    <w:p>
      <w:r>
        <w:br w:type="page"/>
      </w:r>
    </w:p>
    <w:p>
      <w:pPr>
        <w:pStyle w:val="H2"/>
        <w:numPr>
          <w:ilvl w:val="1"/>
          <w:numId w:val="1"/>
        </w:numPr>
      </w:pPr>
      <w:r>
        <w:t>Client Evaluation Criteria Alignment</w:t>
      </w:r>
    </w:p>
    <w:p>
      <w:r>
        <w:rPr>
          <w:rFonts w:ascii="Figtree" w:hAnsi="Figtree"/>
          <w:b w:val="0"/>
          <w:i w:val="0"/>
          <w:sz w:val="22"/>
        </w:rPr>
        <w:t>&gt; ⚠️ Original RFP not available. Scored against generic 10-dimension rubric only. The proposal references a "90-minute demo session on March 10, 2026" and "an RFI submitted in February 2026" but neither document was available for cross-reference. Evaluation criteria mapping cannot be performed without the original RFP/RFI.</w:t>
      </w:r>
    </w:p>
    <w:p>
      <w:r>
        <w:br w:type="page"/>
      </w:r>
    </w:p>
    <w:p>
      <w:pPr>
        <w:pStyle w:val="H2"/>
        <w:numPr>
          <w:ilvl w:val="1"/>
          <w:numId w:val="1"/>
        </w:numPr>
      </w:pPr>
      <w:r>
        <w:t>Top 3 Strengths</w:t>
      </w:r>
    </w:p>
    <w:p>
      <w:pPr>
        <w:pStyle w:val="ListParagraph"/>
        <w:numPr>
          <w:ilvl w:val="0"/>
          <w:numId w:val="6"/>
        </w:numPr>
      </w:pPr>
      <w:r>
        <w:rPr>
          <w:rFonts w:ascii="Figtree" w:hAnsi="Figtree"/>
          <w:b/>
          <w:i w:val="0"/>
          <w:sz w:val="22"/>
        </w:rPr>
        <w:t>Regional reference credibility.</w:t>
      </w:r>
      <w:r>
        <w:rPr>
          <w:rFonts w:ascii="Figtree" w:hAnsi="Figtree"/>
          <w:b w:val="0"/>
          <w:i w:val="0"/>
          <w:sz w:val="22"/>
        </w:rPr>
        <w:t xml:space="preserve"> The Saudi Arabia RER and ADI Finstreet references are genuinely strong evidence for a UAE banking client. These are production deployments at sovereign and national scale in the Gulf, which is exactly the proof Emirates NBD's evaluation committee needs. The expanded reference narratives provide specific detail (PropTechs live in production, DFNS custody integration, national identity system integration) that is hard to dismiss. This is the proposal's strongest competitive asset.</w:t>
      </w:r>
    </w:p>
    <w:p>
      <w:pPr>
        <w:pStyle w:val="ListParagraph"/>
        <w:numPr>
          <w:ilvl w:val="0"/>
          <w:numId w:val="6"/>
        </w:numPr>
      </w:pPr>
      <w:r>
        <w:rPr>
          <w:rFonts w:ascii="Figtree" w:hAnsi="Figtree"/>
          <w:b/>
          <w:i w:val="0"/>
          <w:sz w:val="22"/>
        </w:rPr>
        <w:t>Compliance architecture depth.</w:t>
      </w:r>
      <w:r>
        <w:rPr>
          <w:rFonts w:ascii="Figtree" w:hAnsi="Figtree"/>
          <w:b w:val="0"/>
          <w:i w:val="0"/>
          <w:sz w:val="22"/>
        </w:rPr>
        <w:t xml:space="preserve"> The compliance module catalog with 12 typed modules, pre-built regulatory templates, sequential AND evaluation, and a specific Emirates NBD configuration recommendation is the most technically credible section of the proposal. It demonstrates genuine product depth rather than generic compliance claims. The ex-ante enforcement explanation with the fail-closed design principle is precisely the kind of mechanism description that builds technical assessor confidence.</w:t>
      </w:r>
    </w:p>
    <w:p>
      <w:pPr>
        <w:pStyle w:val="ListParagraph"/>
        <w:numPr>
          <w:ilvl w:val="0"/>
          <w:numId w:val="6"/>
        </w:numPr>
      </w:pPr>
      <w:r>
        <w:rPr>
          <w:rFonts w:ascii="Figtree" w:hAnsi="Figtree"/>
          <w:b/>
          <w:i w:val="0"/>
          <w:sz w:val="22"/>
        </w:rPr>
        <w:t>Clean writing discipline.</w:t>
      </w:r>
      <w:r>
        <w:rPr>
          <w:rFonts w:ascii="Figtree" w:hAnsi="Figtree"/>
          <w:b w:val="0"/>
          <w:i w:val="0"/>
          <w:sz w:val="22"/>
        </w:rPr>
        <w:t xml:space="preserve"> The proposal is free of AI-tell markers, em/en dashes, and the typical proposal pathologies (superlatives without evidence, hedging language, brochure openings). The voice is consistent throughout. Sentence variety is adequate. The Writer's Checklist at the end shows editorial awareness. For a technical proposal of this length (~12,500 words), the writing quality is notably stable.</w:t>
      </w:r>
    </w:p>
    <w:p>
      <w:r>
        <w:br w:type="page"/>
      </w:r>
    </w:p>
    <w:p>
      <w:pPr>
        <w:pStyle w:val="H2"/>
        <w:numPr>
          <w:ilvl w:val="1"/>
          <w:numId w:val="1"/>
        </w:numPr>
      </w:pPr>
      <w:r>
        <w:t>Top 5 Critical Issues (Ranked by Impact)</w:t>
      </w:r>
    </w:p>
    <w:p>
      <w:pPr>
        <w:pStyle w:val="H3"/>
        <w:numPr>
          <w:ilvl w:val="2"/>
          <w:numId w:val="1"/>
        </w:numPr>
      </w:pPr>
      <w:r>
        <w:t>Issue 1: IP Violations — Internal Tool Names Exposed (Critical)</w:t>
      </w:r>
    </w:p>
    <w:p>
      <w:pPr>
        <w:pStyle w:val="ListParagraph"/>
        <w:numPr>
          <w:ilvl w:val="0"/>
          <w:numId w:val="4"/>
        </w:numPr>
      </w:pPr>
      <w:r>
        <w:rPr>
          <w:rFonts w:ascii="Figtree" w:hAnsi="Figtree"/>
          <w:b/>
          <w:i w:val="0"/>
          <w:sz w:val="22"/>
        </w:rPr>
        <w:t>Location:</w:t>
      </w:r>
      <w:r>
        <w:rPr>
          <w:rFonts w:ascii="Figtree" w:hAnsi="Figtree"/>
          <w:b w:val="0"/>
          <w:i w:val="0"/>
          <w:sz w:val="22"/>
        </w:rPr>
        <w:t xml:space="preserve"> Throughout, concentrated in Architecture (line 538), Observability (line 554), Deployment (lines 715, 725), and ADI reference (line 218)</w:t>
      </w:r>
    </w:p>
    <w:p>
      <w:pPr>
        <w:pStyle w:val="ListParagraph"/>
        <w:numPr>
          <w:ilvl w:val="0"/>
          <w:numId w:val="4"/>
        </w:numPr>
      </w:pPr>
      <w:r>
        <w:rPr>
          <w:rFonts w:ascii="Figtree" w:hAnsi="Figtree"/>
          <w:b/>
          <w:i w:val="0"/>
          <w:sz w:val="22"/>
        </w:rPr>
        <w:t>Impact:</w:t>
      </w:r>
      <w:r>
        <w:rPr>
          <w:rFonts w:ascii="Figtree" w:hAnsi="Figtree"/>
          <w:b w:val="0"/>
          <w:i w:val="0"/>
          <w:sz w:val="22"/>
        </w:rPr>
        <w:t xml:space="preserve"> Evaluators with procurement or legal sensitivity will notice specific product names (Grafana, Loki, VictoriaMetrics, Tempo, Velero, CloudNativePG, Terraform, OpenTelemetry) and question why internal tooling is exposed. Risk/compliance readers may infer weak content control processes. Caps IP score at 2 and creates downstream trust erosion.</w:t>
      </w:r>
    </w:p>
    <w:p>
      <w:pPr>
        <w:pStyle w:val="ListParagraph"/>
        <w:numPr>
          <w:ilvl w:val="0"/>
          <w:numId w:val="4"/>
        </w:numPr>
      </w:pPr>
      <w:r>
        <w:rPr>
          <w:rFonts w:ascii="Figtree" w:hAnsi="Figtree"/>
          <w:b/>
          <w:i w:val="0"/>
          <w:sz w:val="22"/>
        </w:rPr>
        <w:t>Current state:</w:t>
      </w:r>
      <w:r>
        <w:rPr>
          <w:rFonts w:ascii="Figtree" w:hAnsi="Figtree"/>
          <w:b w:val="0"/>
          <w:i w:val="0"/>
          <w:sz w:val="22"/>
        </w:rPr>
        <w:t xml:space="preserve"> 20+ instances of named third-party tools that should use category descriptions</w:t>
      </w:r>
    </w:p>
    <w:p>
      <w:pPr>
        <w:pStyle w:val="ListParagraph"/>
        <w:numPr>
          <w:ilvl w:val="0"/>
          <w:numId w:val="4"/>
        </w:numPr>
      </w:pPr>
      <w:r>
        <w:rPr>
          <w:rFonts w:ascii="Figtree" w:hAnsi="Figtree"/>
          <w:b/>
          <w:i w:val="0"/>
          <w:sz w:val="22"/>
        </w:rPr>
        <w:t>Recommendation:</w:t>
      </w:r>
      <w:r>
        <w:rPr>
          <w:rFonts w:ascii="Figtree" w:hAnsi="Figtree"/>
          <w:b w:val="0"/>
          <w:i w:val="0"/>
          <w:sz w:val="22"/>
        </w:rPr>
        <w:t xml:space="preserve"> Global find-and-replace: Grafana → "monitoring dashboards," Loki → "log aggregation," VictoriaMetrics → "metrics collection," Tempo → "distributed tracing," OpenTelemetry → "observability framework," Velero → "Kubernetes backup tooling," CloudNativePG → "PostgreSQL operator," Terraform → "infrastructure-as-code tooling" or omit. In the monitoring infrastructure requirements table (line 538), replace the entire cell with "Monitoring dashboards, metrics collection, log aggregation, distributed tracing (shipped as DALP observability chart)."</w:t>
      </w:r>
    </w:p>
    <w:p>
      <w:pPr>
        <w:pStyle w:val="H3"/>
        <w:numPr>
          <w:ilvl w:val="2"/>
          <w:numId w:val="1"/>
        </w:numPr>
      </w:pPr>
      <w:r>
        <w:t>Issue 2: `[TO VERIFY]` Marker Left in Document (Critical)</w:t>
      </w:r>
    </w:p>
    <w:p>
      <w:pPr>
        <w:pStyle w:val="ListParagraph"/>
        <w:numPr>
          <w:ilvl w:val="0"/>
          <w:numId w:val="4"/>
        </w:numPr>
      </w:pPr>
      <w:r>
        <w:rPr>
          <w:rFonts w:ascii="Figtree" w:hAnsi="Figtree"/>
          <w:b/>
          <w:i w:val="0"/>
          <w:sz w:val="22"/>
        </w:rPr>
        <w:t>Location:</w:t>
      </w:r>
      <w:r>
        <w:rPr>
          <w:rFonts w:ascii="Figtree" w:hAnsi="Figtree"/>
          <w:b w:val="0"/>
          <w:i w:val="0"/>
          <w:sz w:val="22"/>
        </w:rPr>
        <w:t xml:space="preserve"> Saudi Arabia RER reference, line 210</w:t>
      </w:r>
    </w:p>
    <w:p>
      <w:pPr>
        <w:pStyle w:val="ListParagraph"/>
        <w:numPr>
          <w:ilvl w:val="0"/>
          <w:numId w:val="4"/>
        </w:numPr>
      </w:pPr>
      <w:r>
        <w:rPr>
          <w:rFonts w:ascii="Figtree" w:hAnsi="Figtree"/>
          <w:b/>
          <w:i w:val="0"/>
          <w:sz w:val="22"/>
        </w:rPr>
        <w:t>Impact:</w:t>
      </w:r>
      <w:r>
        <w:rPr>
          <w:rFonts w:ascii="Figtree" w:hAnsi="Figtree"/>
          <w:b w:val="0"/>
          <w:i w:val="0"/>
          <w:sz w:val="22"/>
        </w:rPr>
        <w:t xml:space="preserve"> If this reaches the client, it is immediately humiliating. It signals that the proposal was not reviewed before submission. A procurement manager or any evaluator will question the quality control behind the entire document. This is a blocker-level editorial failure.</w:t>
      </w:r>
    </w:p>
    <w:p>
      <w:pPr>
        <w:pStyle w:val="ListParagraph"/>
        <w:numPr>
          <w:ilvl w:val="0"/>
          <w:numId w:val="4"/>
        </w:numPr>
      </w:pPr>
      <w:r>
        <w:rPr>
          <w:rFonts w:ascii="Figtree" w:hAnsi="Figtree"/>
          <w:b/>
          <w:i w:val="0"/>
          <w:sz w:val="22"/>
        </w:rPr>
        <w:t>Current state:</w:t>
      </w:r>
      <w:r>
        <w:rPr>
          <w:rFonts w:ascii="Figtree" w:hAnsi="Figtree"/>
          <w:b w:val="0"/>
          <w:i w:val="0"/>
          <w:sz w:val="22"/>
        </w:rPr>
        <w:t xml:space="preserve"> "REGA is launching a second edition of the tokenization programme [TO VERIFY]."</w:t>
      </w:r>
    </w:p>
    <w:p>
      <w:pPr>
        <w:pStyle w:val="ListParagraph"/>
        <w:numPr>
          <w:ilvl w:val="0"/>
          <w:numId w:val="4"/>
        </w:numPr>
      </w:pPr>
      <w:r>
        <w:rPr>
          <w:rFonts w:ascii="Figtree" w:hAnsi="Figtree"/>
          <w:b/>
          <w:i w:val="0"/>
          <w:sz w:val="22"/>
        </w:rPr>
        <w:t>Recommendation:</w:t>
      </w:r>
      <w:r>
        <w:rPr>
          <w:rFonts w:ascii="Figtree" w:hAnsi="Figtree"/>
          <w:b w:val="0"/>
          <w:i w:val="0"/>
          <w:sz w:val="22"/>
        </w:rPr>
        <w:t xml:space="preserve"> Either verify the claim and remove the marker, or delete the entire sentence. Do not submit with the marker.</w:t>
      </w:r>
    </w:p>
    <w:p>
      <w:pPr>
        <w:pStyle w:val="H3"/>
        <w:numPr>
          <w:ilvl w:val="2"/>
          <w:numId w:val="1"/>
        </w:numPr>
      </w:pPr>
      <w:r>
        <w:t>Issue 3: Duplicate Implementation Sections (Major)</w:t>
      </w:r>
    </w:p>
    <w:p>
      <w:pPr>
        <w:pStyle w:val="ListParagraph"/>
        <w:numPr>
          <w:ilvl w:val="0"/>
          <w:numId w:val="4"/>
        </w:numPr>
      </w:pPr>
      <w:r>
        <w:rPr>
          <w:rFonts w:ascii="Figtree" w:hAnsi="Figtree"/>
          <w:b/>
          <w:i w:val="0"/>
          <w:sz w:val="22"/>
        </w:rPr>
        <w:t>Location:</w:t>
      </w:r>
      <w:r>
        <w:rPr>
          <w:rFonts w:ascii="Figtree" w:hAnsi="Figtree"/>
          <w:b w:val="0"/>
          <w:i w:val="0"/>
          <w:sz w:val="22"/>
        </w:rPr>
        <w:t xml:space="preserve"> "Implementation and Delivery" (starting around line 620) and "Project Implementation and Delivery" (starting around line 820)</w:t>
      </w:r>
    </w:p>
    <w:p>
      <w:pPr>
        <w:pStyle w:val="ListParagraph"/>
        <w:numPr>
          <w:ilvl w:val="0"/>
          <w:numId w:val="4"/>
        </w:numPr>
      </w:pPr>
      <w:r>
        <w:rPr>
          <w:rFonts w:ascii="Figtree" w:hAnsi="Figtree"/>
          <w:b/>
          <w:i w:val="0"/>
          <w:sz w:val="22"/>
        </w:rPr>
        <w:t>Impact:</w:t>
      </w:r>
      <w:r>
        <w:rPr>
          <w:rFonts w:ascii="Figtree" w:hAnsi="Figtree"/>
          <w:b w:val="0"/>
          <w:i w:val="0"/>
          <w:sz w:val="22"/>
        </w:rPr>
        <w:t xml:space="preserve"> The proposal contains two separate implementation sections with overlapping content (phase tables, RACI, governance). This confuses evaluators, wastes pages, signals sloppy assembly, and creates retrieval problems. A procurement manager looking for the implementation plan finds two versions. Which is authoritative?</w:t>
      </w:r>
    </w:p>
    <w:p>
      <w:pPr>
        <w:pStyle w:val="ListParagraph"/>
        <w:numPr>
          <w:ilvl w:val="0"/>
          <w:numId w:val="4"/>
        </w:numPr>
      </w:pPr>
      <w:r>
        <w:rPr>
          <w:rFonts w:ascii="Figtree" w:hAnsi="Figtree"/>
          <w:b/>
          <w:i w:val="0"/>
          <w:sz w:val="22"/>
        </w:rPr>
        <w:t>Current state:</w:t>
      </w:r>
      <w:r>
        <w:rPr>
          <w:rFonts w:ascii="Figtree" w:hAnsi="Figtree"/>
          <w:b w:val="0"/>
          <w:i w:val="0"/>
          <w:sz w:val="22"/>
        </w:rPr>
        <w:t xml:space="preserve"> Both sections contain phase tables with similar but not identical content. The second adds a RACI matrix and milestone language. The first includes a delivery risks table.</w:t>
      </w:r>
    </w:p>
    <w:p>
      <w:pPr>
        <w:pStyle w:val="ListParagraph"/>
        <w:numPr>
          <w:ilvl w:val="0"/>
          <w:numId w:val="4"/>
        </w:numPr>
      </w:pPr>
      <w:r>
        <w:rPr>
          <w:rFonts w:ascii="Figtree" w:hAnsi="Figtree"/>
          <w:b/>
          <w:i w:val="0"/>
          <w:sz w:val="22"/>
        </w:rPr>
        <w:t>Recommendation:</w:t>
      </w:r>
      <w:r>
        <w:rPr>
          <w:rFonts w:ascii="Figtree" w:hAnsi="Figtree"/>
          <w:b w:val="0"/>
          <w:i w:val="0"/>
          <w:sz w:val="22"/>
        </w:rPr>
        <w:t xml:space="preserve"> Merge into a single Implementation section. Combine the best content from both: the phase table, RACI matrix, governance model, delivery risks, and milestones. Place it in the natural document flow (after Security, before Support). Delete the duplicate entirely.</w:t>
      </w:r>
    </w:p>
    <w:p>
      <w:pPr>
        <w:pStyle w:val="H3"/>
        <w:numPr>
          <w:ilvl w:val="2"/>
          <w:numId w:val="1"/>
        </w:numPr>
      </w:pPr>
      <w:r>
        <w:t>Issue 4: All-Green Functional Fit Table Strains Credibility (Major)</w:t>
      </w:r>
    </w:p>
    <w:p>
      <w:pPr>
        <w:pStyle w:val="ListParagraph"/>
        <w:numPr>
          <w:ilvl w:val="0"/>
          <w:numId w:val="4"/>
        </w:numPr>
      </w:pPr>
      <w:r>
        <w:rPr>
          <w:rFonts w:ascii="Figtree" w:hAnsi="Figtree"/>
          <w:b/>
          <w:i w:val="0"/>
          <w:sz w:val="22"/>
        </w:rPr>
        <w:t>Location:</w:t>
      </w:r>
      <w:r>
        <w:rPr>
          <w:rFonts w:ascii="Figtree" w:hAnsi="Figtree"/>
          <w:b w:val="0"/>
          <w:i w:val="0"/>
          <w:sz w:val="22"/>
        </w:rPr>
        <w:t xml:space="preserve"> Functional Fit Table (around line 430)</w:t>
      </w:r>
    </w:p>
    <w:p>
      <w:pPr>
        <w:pStyle w:val="ListParagraph"/>
        <w:numPr>
          <w:ilvl w:val="0"/>
          <w:numId w:val="4"/>
        </w:numPr>
      </w:pPr>
      <w:r>
        <w:rPr>
          <w:rFonts w:ascii="Figtree" w:hAnsi="Figtree"/>
          <w:b/>
          <w:i w:val="0"/>
          <w:sz w:val="22"/>
        </w:rPr>
        <w:t>Impact:</w:t>
      </w:r>
      <w:r>
        <w:rPr>
          <w:rFonts w:ascii="Figtree" w:hAnsi="Figtree"/>
          <w:b w:val="0"/>
          <w:i w:val="0"/>
          <w:sz w:val="22"/>
        </w:rPr>
        <w:t xml:space="preserve"> Every row shows "Full" status. For a platform covering tokenization, stablecoin issuance, custody, compliance, settlement, corporate actions, APIs, on-premises deployment, white-label, and multi-language, a 100% "Full" coverage strains credibility with experienced evaluators. Risk and compliance readers will suspect overclaiming. Technical assessors will look for the gaps they know exist. The honesty of the document is tested here.</w:t>
      </w:r>
    </w:p>
    <w:p>
      <w:pPr>
        <w:pStyle w:val="ListParagraph"/>
        <w:numPr>
          <w:ilvl w:val="0"/>
          <w:numId w:val="4"/>
        </w:numPr>
      </w:pPr>
      <w:r>
        <w:rPr>
          <w:rFonts w:ascii="Figtree" w:hAnsi="Figtree"/>
          <w:b/>
          <w:i w:val="0"/>
          <w:sz w:val="22"/>
        </w:rPr>
        <w:t>Current state:</w:t>
      </w:r>
      <w:r>
        <w:rPr>
          <w:rFonts w:ascii="Figtree" w:hAnsi="Figtree"/>
          <w:b w:val="0"/>
          <w:i w:val="0"/>
          <w:sz w:val="22"/>
        </w:rPr>
        <w:t xml:space="preserve"> 10 rows, all "Full"</w:t>
      </w:r>
    </w:p>
    <w:p>
      <w:pPr>
        <w:pStyle w:val="ListParagraph"/>
        <w:numPr>
          <w:ilvl w:val="0"/>
          <w:numId w:val="4"/>
        </w:numPr>
      </w:pPr>
      <w:r>
        <w:rPr>
          <w:rFonts w:ascii="Figtree" w:hAnsi="Figtree"/>
          <w:b/>
          <w:i w:val="0"/>
          <w:sz w:val="22"/>
        </w:rPr>
        <w:t>Recommendation:</w:t>
      </w:r>
      <w:r>
        <w:rPr>
          <w:rFonts w:ascii="Figtree" w:hAnsi="Figtree"/>
          <w:b w:val="0"/>
          <w:i w:val="0"/>
          <w:sz w:val="22"/>
        </w:rPr>
        <w:t xml:space="preserve"> Add 2-3 rows for capabilities that are genuinely "Partial" or "Configuration Required" to demonstrate honest self-assessment. Candidates: regulatory reporting (specific CBUAE/VARA report formats may require configuration), core banking reconciliation (API integration required, not out-of-box), specific custody provider integration (depends on Emirates NBD's chosen provider). Even marking one item as "Full (configuration required during Phase 2)" would improve credibility.</w:t>
      </w:r>
    </w:p>
    <w:p>
      <w:pPr>
        <w:pStyle w:val="H3"/>
        <w:numPr>
          <w:ilvl w:val="2"/>
          <w:numId w:val="1"/>
        </w:numPr>
      </w:pPr>
      <w:r>
        <w:t>Issue 5: Compliance Module Count Inconsistency (Major)</w:t>
      </w:r>
    </w:p>
    <w:p>
      <w:pPr>
        <w:pStyle w:val="ListParagraph"/>
        <w:numPr>
          <w:ilvl w:val="0"/>
          <w:numId w:val="4"/>
        </w:numPr>
      </w:pPr>
      <w:r>
        <w:rPr>
          <w:rFonts w:ascii="Figtree" w:hAnsi="Figtree"/>
          <w:b/>
          <w:i w:val="0"/>
          <w:sz w:val="22"/>
        </w:rPr>
        <w:t>Location:</w:t>
      </w:r>
      <w:r>
        <w:rPr>
          <w:rFonts w:ascii="Figtree" w:hAnsi="Figtree"/>
          <w:b w:val="0"/>
          <w:i w:val="0"/>
          <w:sz w:val="22"/>
        </w:rPr>
        <w:t xml:space="preserve"> Executive Summary (line ~40: "18 configurable compliance module types"), About DALP (line ~120: "18 compliance module types"), Compliance Architecture (line ~760: "12 concrete compliance module types organized across six categories")</w:t>
      </w:r>
    </w:p>
    <w:p>
      <w:pPr>
        <w:pStyle w:val="ListParagraph"/>
        <w:numPr>
          <w:ilvl w:val="0"/>
          <w:numId w:val="4"/>
        </w:numPr>
      </w:pPr>
      <w:r>
        <w:rPr>
          <w:rFonts w:ascii="Figtree" w:hAnsi="Figtree"/>
          <w:b/>
          <w:i w:val="0"/>
          <w:sz w:val="22"/>
        </w:rPr>
        <w:t>Impact:</w:t>
      </w:r>
      <w:r>
        <w:rPr>
          <w:rFonts w:ascii="Figtree" w:hAnsi="Figtree"/>
          <w:b w:val="0"/>
          <w:i w:val="0"/>
          <w:sz w:val="22"/>
        </w:rPr>
        <w:t xml:space="preserve"> The document claims both 18 and 12 compliance modules. A technical assessor will catch this immediately. It undermines the credibility of one of the proposal's strongest sections. The evaluator cannot tell which number is correct.</w:t>
      </w:r>
    </w:p>
    <w:p>
      <w:pPr>
        <w:pStyle w:val="ListParagraph"/>
        <w:numPr>
          <w:ilvl w:val="0"/>
          <w:numId w:val="4"/>
        </w:numPr>
      </w:pPr>
      <w:r>
        <w:rPr>
          <w:rFonts w:ascii="Figtree" w:hAnsi="Figtree"/>
          <w:b/>
          <w:i w:val="0"/>
          <w:sz w:val="22"/>
        </w:rPr>
        <w:t>Current state:</w:t>
      </w:r>
      <w:r>
        <w:rPr>
          <w:rFonts w:ascii="Figtree" w:hAnsi="Figtree"/>
          <w:b w:val="0"/>
          <w:i w:val="0"/>
          <w:sz w:val="22"/>
        </w:rPr>
        <w:t xml:space="preserve"> "18" appears in marketing-facing sections; "12" appears in the detailed technical catalog that lists each module by type ID. The catalog clearly shows 12 modules.</w:t>
      </w:r>
    </w:p>
    <w:p>
      <w:pPr>
        <w:pStyle w:val="ListParagraph"/>
        <w:numPr>
          <w:ilvl w:val="0"/>
          <w:numId w:val="4"/>
        </w:numPr>
      </w:pPr>
      <w:r>
        <w:rPr>
          <w:rFonts w:ascii="Figtree" w:hAnsi="Figtree"/>
          <w:b/>
          <w:i w:val="0"/>
          <w:sz w:val="22"/>
        </w:rPr>
        <w:t>Recommendation:</w:t>
      </w:r>
      <w:r>
        <w:rPr>
          <w:rFonts w:ascii="Figtree" w:hAnsi="Figtree"/>
          <w:b w:val="0"/>
          <w:i w:val="0"/>
          <w:sz w:val="22"/>
        </w:rPr>
        <w:t xml:space="preserve"> Reconcile to one number. If 12 modules is the accurate count and "18 types" includes sub-configurations or variant modes, explain that explicitly. If 12 is correct, change all instances of "18" to "12." If 18 is correct, add the missing 6 modules to the catalog. Do not leave both numbers in the document.</w:t>
      </w:r>
    </w:p>
    <w:p>
      <w:r>
        <w:br w:type="page"/>
      </w:r>
    </w:p>
    <w:p>
      <w:pPr>
        <w:pStyle w:val="H2"/>
        <w:numPr>
          <w:ilvl w:val="1"/>
          <w:numId w:val="1"/>
        </w:numPr>
      </w:pPr>
      <w:r>
        <w:t>Section-by-Section Feedback</w:t>
      </w:r>
    </w:p>
    <w:p>
      <w:pPr>
        <w:pStyle w:val="H3"/>
        <w:numPr>
          <w:ilvl w:val="2"/>
          <w:numId w:val="1"/>
        </w:numPr>
      </w:pPr>
      <w:r>
        <w:t>Section: Executive Summary</w:t>
      </w:r>
    </w:p>
    <w:p>
      <w:r>
        <w:rPr>
          <w:rFonts w:ascii="Figtree" w:hAnsi="Figtree"/>
          <w:b/>
          <w:i w:val="0"/>
          <w:sz w:val="22"/>
        </w:rPr>
        <w:t>What works:</w:t>
      </w:r>
    </w:p>
    <w:p>
      <w:r>
        <w:rPr>
          <w:rFonts w:ascii="Figtree" w:hAnsi="Figtree"/>
          <w:b w:val="0"/>
          <w:i w:val="0"/>
          <w:sz w:val="22"/>
        </w:rPr>
        <w:t>&gt; Opens on Emirates NBD's context and objectives. The three-domain framing (tokenization, stablecoin, custody) is clear. The "Why SettleMint and DALP" subsection is strong with memorable three-pillar structure (regional proof, lifecycle coverage, compliance by design). The Reference Snapshot table is a nice touch for scan readers.</w:t>
      </w:r>
    </w:p>
    <w:p>
      <w:r>
        <w:rPr>
          <w:rFonts w:ascii="Figtree" w:hAnsi="Figtree"/>
          <w:b/>
          <w:i w:val="0"/>
          <w:sz w:val="22"/>
        </w:rPr>
        <w:t>What doesn't:</w:t>
      </w:r>
    </w:p>
    <w:p>
      <w:r>
        <w:rPr>
          <w:rFonts w:ascii="Figtree" w:hAnsi="Figtree"/>
          <w:b w:val="0"/>
          <w:i w:val="0"/>
          <w:sz w:val="22"/>
        </w:rPr>
        <w:t>&gt; The "Proposed Response" subsection (paragraphs 3-6) is a compressed product specification that repeats almost verbatim in the About DALP and Proposed Solution sections. This is wasted space in the highest-attention zone of the document. The value proposition could be more concrete: "15 to 19 weeks to production" is good, but there are no outcome metrics (cost reduction, time savings, risk reduction estimates).</w:t>
      </w:r>
    </w:p>
    <w:p>
      <w:r>
        <w:rPr>
          <w:rFonts w:ascii="Figtree" w:hAnsi="Figtree"/>
          <w:b/>
          <w:i w:val="0"/>
          <w:sz w:val="22"/>
        </w:rPr>
        <w:t>Specific suggestions:</w:t>
      </w:r>
    </w:p>
    <w:p>
      <w:r>
        <w:rPr>
          <w:rFonts w:ascii="Figtree" w:hAnsi="Figtree"/>
          <w:b w:val="0"/>
          <w:i w:val="0"/>
          <w:sz w:val="22"/>
        </w:rPr>
        <w:t>&gt; Cut the Proposed Response subsection by 40%. Keep the one-sentence framing for each domain (tokenization, stablecoin, custody) but remove the detailed feature lists. Those belong in the Proposed Solution section. Use the reclaimed space to add one concrete outcome statement: "Based on comparable deployments, Emirates NBD can expect to move from kickoff to first tokenized asset in production within 15 to 19 weeks." End with a forward-looking sentence about next steps.</w:t>
      </w:r>
    </w:p>
    <w:p>
      <w:r>
        <w:br w:type="page"/>
      </w:r>
    </w:p>
    <w:p>
      <w:pPr>
        <w:pStyle w:val="H3"/>
        <w:numPr>
          <w:ilvl w:val="2"/>
          <w:numId w:val="1"/>
        </w:numPr>
      </w:pPr>
      <w:r>
        <w:t>Section: About SettleMint</w:t>
      </w:r>
    </w:p>
    <w:p>
      <w:r>
        <w:rPr>
          <w:rFonts w:ascii="Figtree" w:hAnsi="Figtree"/>
          <w:b/>
          <w:i w:val="0"/>
          <w:sz w:val="22"/>
        </w:rPr>
        <w:t>What works:</w:t>
      </w:r>
    </w:p>
    <w:p>
      <w:r>
        <w:rPr>
          <w:rFonts w:ascii="Figtree" w:hAnsi="Figtree"/>
          <w:b w:val="0"/>
          <w:i w:val="0"/>
          <w:sz w:val="22"/>
        </w:rPr>
        <w:t>&gt; The credentials table is effective and scannable. ISO 27001 and SOC 2 Type II are prominently placed. The regulatory readiness table with jurisdiction-specific framework coverage is excellent for compliance evaluators. The "Relevance to This Bid" subsection directly connects company capabilities to Emirates NBD's needs.</w:t>
      </w:r>
    </w:p>
    <w:p>
      <w:r>
        <w:rPr>
          <w:rFonts w:ascii="Figtree" w:hAnsi="Figtree"/>
          <w:b/>
          <w:i w:val="0"/>
          <w:sz w:val="22"/>
        </w:rPr>
        <w:t>What doesn't:</w:t>
      </w:r>
    </w:p>
    <w:p>
      <w:r>
        <w:rPr>
          <w:rFonts w:ascii="Figtree" w:hAnsi="Figtree"/>
          <w:b w:val="0"/>
          <w:i w:val="0"/>
          <w:sz w:val="22"/>
        </w:rPr>
        <w:t>&gt; The Company Overview opens with "SettleMint is the production-grade digital asset lifecycle management company," which is a self-appointed category definition. An evaluator will not accept this framing without evidence. The second paragraph ("SettleMint exists to bridge the gap...") drifts into generic industry commentary about "innovation theatre" and "pilot mode" that does not specifically describe Emirates NBD's situation. The "200+ years combined banking and blockchain experience" metric is vague and unimpressive without team size context.</w:t>
      </w:r>
    </w:p>
    <w:p>
      <w:r>
        <w:rPr>
          <w:rFonts w:ascii="Figtree" w:hAnsi="Figtree"/>
          <w:b/>
          <w:i w:val="0"/>
          <w:sz w:val="22"/>
        </w:rPr>
        <w:t>Specific suggestions:</w:t>
      </w:r>
    </w:p>
    <w:p>
      <w:r>
        <w:rPr>
          <w:rFonts w:ascii="Figtree" w:hAnsi="Figtree"/>
          <w:b w:val="0"/>
          <w:i w:val="0"/>
          <w:sz w:val="22"/>
        </w:rPr>
        <w:t>&gt; Rewrite the Company Overview opening to lead with verifiable facts: founding date, delivery geography, client categories, and certifications. Cut the "innovation theatre" commentary. Replace "200+ years combined" with something more specific: "a team of [X] engineers and solution architects with backgrounds at [types of institutions]." The Relevance subsection is strong; keep it.</w:t>
      </w:r>
    </w:p>
    <w:p>
      <w:r>
        <w:br w:type="page"/>
      </w:r>
    </w:p>
    <w:p>
      <w:pPr>
        <w:pStyle w:val="H3"/>
        <w:numPr>
          <w:ilvl w:val="2"/>
          <w:numId w:val="1"/>
        </w:numPr>
      </w:pPr>
      <w:r>
        <w:t>Section: About DALP</w:t>
      </w:r>
    </w:p>
    <w:p>
      <w:r>
        <w:rPr>
          <w:rFonts w:ascii="Figtree" w:hAnsi="Figtree"/>
          <w:b/>
          <w:i w:val="0"/>
          <w:sz w:val="22"/>
        </w:rPr>
        <w:t>What works:</w:t>
      </w:r>
    </w:p>
    <w:p>
      <w:r>
        <w:rPr>
          <w:rFonts w:ascii="Figtree" w:hAnsi="Figtree"/>
          <w:b w:val="0"/>
          <w:i w:val="0"/>
          <w:sz w:val="22"/>
        </w:rPr>
        <w:t>&gt; The asset class table is clear and useful. The lifecycle pillars structure (Issuance, Compliance, Custody, Settlement, Servicing) with three platform foundations provides a logical decomposition. The supported standards table is comprehensive and well-formatted. The Key Differentiators table gives scan readers quick access to positioning.</w:t>
      </w:r>
    </w:p>
    <w:p>
      <w:r>
        <w:rPr>
          <w:rFonts w:ascii="Figtree" w:hAnsi="Figtree"/>
          <w:b/>
          <w:i w:val="0"/>
          <w:sz w:val="22"/>
        </w:rPr>
        <w:t>What doesn't:</w:t>
      </w:r>
    </w:p>
    <w:p>
      <w:r>
        <w:rPr>
          <w:rFonts w:ascii="Figtree" w:hAnsi="Figtree"/>
          <w:b w:val="0"/>
          <w:i w:val="0"/>
          <w:sz w:val="22"/>
        </w:rPr>
        <w:t>&gt; This section is approximately 5 pages of product description with zero Emirates NBD context. It reads as a product datasheet inserted into a client proposal. The lifecycle pillar descriptions are dense feature inventories (the Issuance pillar alone runs 150+ words listing capabilities). The section could serve any client for any geography. Some technical details here (CREATE2 addressing, UUPS proxy pattern, SMARTConfigurable) are repeated verbatim in the Technical Architecture section.</w:t>
      </w:r>
    </w:p>
    <w:p>
      <w:r>
        <w:rPr>
          <w:rFonts w:ascii="Figtree" w:hAnsi="Figtree"/>
          <w:b/>
          <w:i w:val="0"/>
          <w:sz w:val="22"/>
        </w:rPr>
        <w:t>Specific suggestions:</w:t>
      </w:r>
    </w:p>
    <w:p>
      <w:r>
        <w:rPr>
          <w:rFonts w:ascii="Figtree" w:hAnsi="Figtree"/>
          <w:b w:val="0"/>
          <w:i w:val="0"/>
          <w:sz w:val="22"/>
        </w:rPr>
        <w:t>&gt; Cut this section by 30-40%. Remove technical details that belong in the Architecture section (CREATE2, UUPS, SMARTConfigurable). For each lifecycle pillar, add one sentence connecting the capability to Emirates NBD's specific context: "For Emirates NBD's bond tokenization programme, this means..." Move the Key Differentiators table to the Executive Summary or a standalone Differentiation section near the end. Consider renaming this section "Platform Capability Overview" and keeping it to 2-3 pages.</w:t>
      </w:r>
    </w:p>
    <w:p>
      <w:r>
        <w:br w:type="page"/>
      </w:r>
    </w:p>
    <w:p>
      <w:pPr>
        <w:pStyle w:val="H3"/>
        <w:numPr>
          <w:ilvl w:val="2"/>
          <w:numId w:val="1"/>
        </w:numPr>
      </w:pPr>
      <w:r>
        <w:t>Section: Customer References</w:t>
      </w:r>
    </w:p>
    <w:p>
      <w:r>
        <w:rPr>
          <w:rFonts w:ascii="Figtree" w:hAnsi="Figtree"/>
          <w:b/>
          <w:i w:val="0"/>
          <w:sz w:val="22"/>
        </w:rPr>
        <w:t>What works:</w:t>
      </w:r>
    </w:p>
    <w:p>
      <w:r>
        <w:rPr>
          <w:rFonts w:ascii="Figtree" w:hAnsi="Figtree"/>
          <w:b w:val="0"/>
          <w:i w:val="0"/>
          <w:sz w:val="22"/>
        </w:rPr>
        <w:t>&gt; Reference selection is excellent. Saudi Arabia RER at country scale, ADI in Abu Dhabi, Maybank for cross-border settlement: these directly address Emirates NBD's geography, asset classes, and custody requirements. The expanded narratives provide operational detail (4 PropTechs live, DFNS custody integration, national identity integration). The Fit Note at the end explicitly connects references to Emirates NBD's requirements.</w:t>
      </w:r>
    </w:p>
    <w:p>
      <w:r>
        <w:rPr>
          <w:rFonts w:ascii="Figtree" w:hAnsi="Figtree"/>
          <w:b/>
          <w:i w:val="0"/>
          <w:sz w:val="22"/>
        </w:rPr>
        <w:t>What doesn't:</w:t>
      </w:r>
    </w:p>
    <w:p>
      <w:r>
        <w:rPr>
          <w:rFonts w:ascii="Figtree" w:hAnsi="Figtree"/>
          <w:b w:val="0"/>
          <w:i w:val="0"/>
          <w:sz w:val="22"/>
        </w:rPr>
        <w:t>&gt; The `[TO VERIFY]` marker is an editorial blocker. The summary table includes 14 references, but only 3 get expanded treatment. Some references are duplicated (Commerzbank appears twice, Islamic Development Bank appears twice) with different scopes but the same client name, which looks like a listing error to evaluators. The Sony Bank reference for stablecoin issuance is mentioned in the Proposed Solution section but not in this reference section.</w:t>
      </w:r>
    </w:p>
    <w:p>
      <w:r>
        <w:rPr>
          <w:rFonts w:ascii="Figtree" w:hAnsi="Figtree"/>
          <w:b/>
          <w:i w:val="0"/>
          <w:sz w:val="22"/>
        </w:rPr>
        <w:t>Specific suggestions:</w:t>
      </w:r>
    </w:p>
    <w:p>
      <w:r>
        <w:rPr>
          <w:rFonts w:ascii="Figtree" w:hAnsi="Figtree"/>
          <w:b w:val="0"/>
          <w:i w:val="0"/>
          <w:sz w:val="22"/>
        </w:rPr>
        <w:t>&gt; Remove or verify the `[TO VERIFY]` marker immediately. Deduplicate the reference table (merge Commerzbank entries, merge Islamic Development Bank entries, or add distinguishing identifiers). Add Sony Bank to the reference table since it is cited as stablecoin evidence elsewhere. Consider adding a brief expanded reference for Sony Bank's stablecoin work, given that stablecoin issuance is one of the three evaluation domains.</w:t>
      </w:r>
    </w:p>
    <w:p>
      <w:r>
        <w:br w:type="page"/>
      </w:r>
    </w:p>
    <w:p>
      <w:pPr>
        <w:pStyle w:val="H3"/>
        <w:numPr>
          <w:ilvl w:val="2"/>
          <w:numId w:val="1"/>
        </w:numPr>
      </w:pPr>
      <w:r>
        <w:t>Section: Understanding of Requirements</w:t>
      </w:r>
    </w:p>
    <w:p>
      <w:r>
        <w:rPr>
          <w:rFonts w:ascii="Figtree" w:hAnsi="Figtree"/>
          <w:b/>
          <w:i w:val="0"/>
          <w:sz w:val="22"/>
        </w:rPr>
        <w:t>What works:</w:t>
      </w:r>
    </w:p>
    <w:p>
      <w:r>
        <w:rPr>
          <w:rFonts w:ascii="Figtree" w:hAnsi="Figtree"/>
          <w:b w:val="0"/>
          <w:i w:val="0"/>
          <w:sz w:val="22"/>
        </w:rPr>
        <w:t>&gt; The section acknowledges the demo session context and prior RFI, which shows awareness of the engagement history. The requirement domains table provides a clear mapping. The five response principles (Platform not project, Show everything, Compliance first, Regional credibility, Operational realism) are well-framed and set expectations for honest coverage.</w:t>
      </w:r>
    </w:p>
    <w:p>
      <w:r>
        <w:rPr>
          <w:rFonts w:ascii="Figtree" w:hAnsi="Figtree"/>
          <w:b/>
          <w:i w:val="0"/>
          <w:sz w:val="22"/>
        </w:rPr>
        <w:t>What doesn't:</w:t>
      </w:r>
    </w:p>
    <w:p>
      <w:r>
        <w:rPr>
          <w:rFonts w:ascii="Figtree" w:hAnsi="Figtree"/>
          <w:b w:val="0"/>
          <w:i w:val="0"/>
          <w:sz w:val="22"/>
        </w:rPr>
        <w:t>&gt; The response principles promise "clear identification of any capabilities that require integration or are on the development roadmap" (Operational realism), but the rest of the document never delivers on this promise. This creates a trust gap: the evaluator is told to expect candour and then receives an all-green capability table. The requirement domains table in the "DALP Response" column uses marketing language ("Full coverage: 7 pre-built asset classes plus configurable token") rather than precise status language.</w:t>
      </w:r>
    </w:p>
    <w:p>
      <w:r>
        <w:rPr>
          <w:rFonts w:ascii="Figtree" w:hAnsi="Figtree"/>
          <w:b/>
          <w:i w:val="0"/>
          <w:sz w:val="22"/>
        </w:rPr>
        <w:t>Specific suggestions:</w:t>
      </w:r>
    </w:p>
    <w:p>
      <w:r>
        <w:rPr>
          <w:rFonts w:ascii="Figtree" w:hAnsi="Figtree"/>
          <w:b w:val="0"/>
          <w:i w:val="0"/>
          <w:sz w:val="22"/>
        </w:rPr>
        <w:t>&gt; Either add a "Gaps and Roadmap" subsection to this section or to the Proposed Solution section that explicitly lists any capabilities that are partial, configuration-dependent, or on the roadmap. Even a short list of 3-5 items with clear status and mitigation would dramatically improve credibility. The response principles are strong: honour them.</w:t>
      </w:r>
    </w:p>
    <w:p>
      <w:r>
        <w:br w:type="page"/>
      </w:r>
    </w:p>
    <w:p>
      <w:pPr>
        <w:pStyle w:val="H3"/>
        <w:numPr>
          <w:ilvl w:val="2"/>
          <w:numId w:val="1"/>
        </w:numPr>
      </w:pPr>
      <w:r>
        <w:t>Section: Proposed Solution</w:t>
      </w:r>
    </w:p>
    <w:p>
      <w:r>
        <w:rPr>
          <w:rFonts w:ascii="Figtree" w:hAnsi="Figtree"/>
          <w:b/>
          <w:i w:val="0"/>
          <w:sz w:val="22"/>
        </w:rPr>
        <w:t>What works:</w:t>
      </w:r>
    </w:p>
    <w:p>
      <w:r>
        <w:rPr>
          <w:rFonts w:ascii="Figtree" w:hAnsi="Figtree"/>
          <w:b w:val="0"/>
          <w:i w:val="0"/>
          <w:sz w:val="22"/>
        </w:rPr>
        <w:t>&gt; The functional capability subsections provide the most detailed treatment in the document. The compliance enforcement flow diagram is effective. The custody tiers table with protection levels and use cases is clear and useful. The integration methods table is well-structured. The white-label branding description with specific customization capabilities (colour palette tokens, login page, favicon) demonstrates real product depth.</w:t>
      </w:r>
    </w:p>
    <w:p>
      <w:r>
        <w:rPr>
          <w:rFonts w:ascii="Figtree" w:hAnsi="Figtree"/>
          <w:b/>
          <w:i w:val="0"/>
          <w:sz w:val="22"/>
        </w:rPr>
        <w:t>What doesn't:</w:t>
      </w:r>
    </w:p>
    <w:p>
      <w:r>
        <w:rPr>
          <w:rFonts w:ascii="Figtree" w:hAnsi="Figtree"/>
          <w:b w:val="0"/>
          <w:i w:val="0"/>
          <w:sz w:val="22"/>
        </w:rPr>
        <w:t>&gt; This is the longest section and it reads as a comprehensive product manual rather than a solution response. Many capability descriptions (Asset Setup and Lifecycle Management alone runs 500+ words) are dense feature inventories without client-outcome framing. The compliance module count discrepancy (18 vs. 12) appears here and is never reconciled. Some screenshots feel decorative: the stablecoin management screenshot and the deposit listing screenshot add visual density but do not specifically demonstrate Emirates NBD's scenario.</w:t>
      </w:r>
    </w:p>
    <w:p>
      <w:r>
        <w:rPr>
          <w:rFonts w:ascii="Figtree" w:hAnsi="Figtree"/>
          <w:b/>
          <w:i w:val="0"/>
          <w:sz w:val="22"/>
        </w:rPr>
        <w:t>Specific suggestions:</w:t>
      </w:r>
    </w:p>
    <w:p>
      <w:r>
        <w:rPr>
          <w:rFonts w:ascii="Figtree" w:hAnsi="Figtree"/>
          <w:b w:val="0"/>
          <w:i w:val="0"/>
          <w:sz w:val="22"/>
        </w:rPr>
        <w:t>&gt; Add opening paragraphs to each subsection that frame the capability in terms of Emirates NBD's specific needs. Tighten the Asset Setup description by 30%: move the detailed deployment pipeline description to the Architecture section. Reconcile the compliance module count. For screenshots, add Emirates NBD-specific context in captions: "For Emirates NBD's AED stablecoin programme, this interface would manage..."</w:t>
      </w:r>
    </w:p>
    <w:p>
      <w:r>
        <w:br w:type="page"/>
      </w:r>
    </w:p>
    <w:p>
      <w:pPr>
        <w:pStyle w:val="H3"/>
        <w:numPr>
          <w:ilvl w:val="2"/>
          <w:numId w:val="1"/>
        </w:numPr>
      </w:pPr>
      <w:r>
        <w:t>Section: Technical Architecture</w:t>
      </w:r>
    </w:p>
    <w:p>
      <w:r>
        <w:rPr>
          <w:rFonts w:ascii="Figtree" w:hAnsi="Figtree"/>
          <w:b/>
          <w:i w:val="0"/>
          <w:sz w:val="22"/>
        </w:rPr>
        <w:t>What works:</w:t>
      </w:r>
    </w:p>
    <w:p>
      <w:r>
        <w:rPr>
          <w:rFonts w:ascii="Figtree" w:hAnsi="Figtree"/>
          <w:b w:val="0"/>
          <w:i w:val="0"/>
          <w:sz w:val="22"/>
        </w:rPr>
        <w:t>&gt; The four-layer architecture table is clear and the Mermaid diagram matches. The Smart Contract Layer description with SMART Protocol, DALPAsset, and SMARTConfigurable shows genuine technical depth. The middleware layer description (durable workflow engine, nonce coordination, external signer abstraction, ERC-8021 attribution) signals production engineering maturity. The deployment topology and resilience sections are well-structured with specific RTO/RPO numbers.</w:t>
      </w:r>
    </w:p>
    <w:p>
      <w:r>
        <w:rPr>
          <w:rFonts w:ascii="Figtree" w:hAnsi="Figtree"/>
          <w:b/>
          <w:i w:val="0"/>
          <w:sz w:val="22"/>
        </w:rPr>
        <w:t>What doesn't:</w:t>
      </w:r>
    </w:p>
    <w:p>
      <w:r>
        <w:rPr>
          <w:rFonts w:ascii="Figtree" w:hAnsi="Figtree"/>
          <w:b w:val="0"/>
          <w:i w:val="0"/>
          <w:sz w:val="22"/>
        </w:rPr>
        <w:t>&gt; This section contains the heaviest concentration of IP violations (Grafana, Loki, VictoriaMetrics, Tempo, OpenTelemetry, Velero, CloudNativePG named explicitly). The infrastructure requirements table names specific tools rather than using category descriptions. Performance benchmarks are entirely absent: no throughput numbers, no latency figures, no scalability test results. The section is also where "DALPAsset" and "SMARTConfigurable" appear most frequently. While these may be product-facing terms, they read as internal class names to an evaluator.</w:t>
      </w:r>
    </w:p>
    <w:p>
      <w:r>
        <w:rPr>
          <w:rFonts w:ascii="Figtree" w:hAnsi="Figtree"/>
          <w:b/>
          <w:i w:val="0"/>
          <w:sz w:val="22"/>
        </w:rPr>
        <w:t>Specific suggestions:</w:t>
      </w:r>
    </w:p>
    <w:p>
      <w:r>
        <w:rPr>
          <w:rFonts w:ascii="Figtree" w:hAnsi="Figtree"/>
          <w:b w:val="0"/>
          <w:i w:val="0"/>
          <w:sz w:val="22"/>
        </w:rPr>
        <w:t>&gt; Replace all named third-party tools with category descriptions. Add at least one performance benchmark section with methodology (even if numbers are qualified: "Under a test profile of [X] concurrent operations on a [Y]-node network, median settlement latency was [Z] seconds with P99 at [W] seconds"). Clarify whether DALPAsset and SMARTConfigurable are public product terms or internal names; if internal, replace with client-facing descriptions.</w:t>
      </w:r>
    </w:p>
    <w:p>
      <w:r>
        <w:br w:type="page"/>
      </w:r>
    </w:p>
    <w:p>
      <w:pPr>
        <w:pStyle w:val="H3"/>
        <w:numPr>
          <w:ilvl w:val="2"/>
          <w:numId w:val="1"/>
        </w:numPr>
      </w:pPr>
      <w:r>
        <w:t>Section: Security</w:t>
      </w:r>
    </w:p>
    <w:p>
      <w:r>
        <w:rPr>
          <w:rFonts w:ascii="Figtree" w:hAnsi="Figtree"/>
          <w:b/>
          <w:i w:val="0"/>
          <w:sz w:val="22"/>
        </w:rPr>
        <w:t>What works:</w:t>
      </w:r>
    </w:p>
    <w:p>
      <w:r>
        <w:rPr>
          <w:rFonts w:ascii="Figtree" w:hAnsi="Figtree"/>
          <w:b w:val="0"/>
          <w:i w:val="0"/>
          <w:sz w:val="22"/>
        </w:rPr>
        <w:t>&gt; The five-layer defence-in-depth model is clearly described. The wallet verification explanation (second factor for all blockchain writes, no administrative override) is the strongest security claim in the document. The three independent trust boundaries model (platform, execution, chain) with explicit cross-boundary failure handling is excellent. ISO 27001 and SOC 2 Type II certifications provide credible evidence.</w:t>
      </w:r>
    </w:p>
    <w:p>
      <w:r>
        <w:rPr>
          <w:rFonts w:ascii="Figtree" w:hAnsi="Figtree"/>
          <w:b/>
          <w:i w:val="0"/>
          <w:sz w:val="22"/>
        </w:rPr>
        <w:t>What doesn't:</w:t>
      </w:r>
    </w:p>
    <w:p>
      <w:r>
        <w:rPr>
          <w:rFonts w:ascii="Figtree" w:hAnsi="Figtree"/>
          <w:b w:val="0"/>
          <w:i w:val="0"/>
          <w:sz w:val="22"/>
        </w:rPr>
        <w:t>&gt; The section could strengthen its claims with specific security testing evidence (penetration test frequency, bug bounty programme, third-party audit results). The rate limiting numbers (10,000 requests per 60-second window) appear without justification for why this threshold was chosen. The smart contract security paragraph relies on the ERC-3643 standard rather than describing SettleMint's own security testing and audit practices.</w:t>
      </w:r>
    </w:p>
    <w:p>
      <w:r>
        <w:rPr>
          <w:rFonts w:ascii="Figtree" w:hAnsi="Figtree"/>
          <w:b/>
          <w:i w:val="0"/>
          <w:sz w:val="22"/>
        </w:rPr>
        <w:t>Specific suggestions:</w:t>
      </w:r>
    </w:p>
    <w:p>
      <w:r>
        <w:rPr>
          <w:rFonts w:ascii="Figtree" w:hAnsi="Figtree"/>
          <w:b w:val="0"/>
          <w:i w:val="0"/>
          <w:sz w:val="22"/>
        </w:rPr>
        <w:t>&gt; Add a paragraph on security testing practices: frequency of penetration testing, third-party audit cadence, and whether smart contracts undergo independent security audits before deployment. If SettleMint has conducted third-party smart contract audits, reference them. The wallet verification section is a genuine differentiator: consider elevating it to the Executive Summary or Differentiation section.</w:t>
      </w:r>
    </w:p>
    <w:p>
      <w:r>
        <w:br w:type="page"/>
      </w:r>
    </w:p>
    <w:p>
      <w:pPr>
        <w:pStyle w:val="H3"/>
        <w:numPr>
          <w:ilvl w:val="2"/>
          <w:numId w:val="1"/>
        </w:numPr>
      </w:pPr>
      <w:r>
        <w:t>Section: Implementation and Delivery / Project Implementation and Delivery</w:t>
      </w:r>
    </w:p>
    <w:p>
      <w:r>
        <w:rPr>
          <w:rFonts w:ascii="Figtree" w:hAnsi="Figtree"/>
          <w:b/>
          <w:i w:val="0"/>
          <w:sz w:val="22"/>
        </w:rPr>
        <w:t>What works:</w:t>
      </w:r>
    </w:p>
    <w:p>
      <w:r>
        <w:rPr>
          <w:rFonts w:ascii="Figtree" w:hAnsi="Figtree"/>
          <w:b w:val="0"/>
          <w:i w:val="0"/>
          <w:sz w:val="22"/>
        </w:rPr>
        <w:t>&gt; The phase-gated methodology is clearly described with specific week ranges. The governance model (bi-weekly steering, weekly status, phase gates, change control) is appropriate. The delivery risks table with likelihood, impact, and mitigation is a good inclusion. The RACI matrix in the second section adds clear accountability.</w:t>
      </w:r>
    </w:p>
    <w:p>
      <w:r>
        <w:rPr>
          <w:rFonts w:ascii="Figtree" w:hAnsi="Figtree"/>
          <w:b/>
          <w:i w:val="0"/>
          <w:sz w:val="22"/>
        </w:rPr>
        <w:t>What doesn't:</w:t>
      </w:r>
    </w:p>
    <w:p>
      <w:r>
        <w:rPr>
          <w:rFonts w:ascii="Figtree" w:hAnsi="Figtree"/>
          <w:b w:val="0"/>
          <w:i w:val="0"/>
          <w:sz w:val="22"/>
        </w:rPr>
        <w:t>&gt; Two separate implementation sections with overlapping content is the primary structural defect. The phase table appears in both with similar but not identical content. The delivery risks table appears only in the first section; the RACI matrix appears only in the second. An evaluator looking for the implementation plan finds two places to look and must mentally reconcile them. The timeline (15-19 weeks) is stated without showing critical-path dependencies or explaining what drives the 4-week variance.</w:t>
      </w:r>
    </w:p>
    <w:p>
      <w:r>
        <w:rPr>
          <w:rFonts w:ascii="Figtree" w:hAnsi="Figtree"/>
          <w:b/>
          <w:i w:val="0"/>
          <w:sz w:val="22"/>
        </w:rPr>
        <w:t>Specific suggestions:</w:t>
      </w:r>
    </w:p>
    <w:p>
      <w:r>
        <w:rPr>
          <w:rFonts w:ascii="Figtree" w:hAnsi="Figtree"/>
          <w:b w:val="0"/>
          <w:i w:val="0"/>
          <w:sz w:val="22"/>
        </w:rPr>
        <w:t>&gt; Merge into one section. Combine the phase table (use the more detailed version), RACI matrix, governance model, delivery risks, and milestones. Add a dependency diagram showing what drives the 15-19 week range (the variance likely depends on Emirates NBD's infrastructure readiness and custody provider onboarding, so state that). Place the merged section after Deployment.</w:t>
      </w:r>
    </w:p>
    <w:p>
      <w:r>
        <w:br w:type="page"/>
      </w:r>
    </w:p>
    <w:p>
      <w:pPr>
        <w:pStyle w:val="H3"/>
        <w:numPr>
          <w:ilvl w:val="2"/>
          <w:numId w:val="1"/>
        </w:numPr>
      </w:pPr>
      <w:r>
        <w:t>Section: Deployment</w:t>
      </w:r>
    </w:p>
    <w:p>
      <w:r>
        <w:rPr>
          <w:rFonts w:ascii="Figtree" w:hAnsi="Figtree"/>
          <w:b/>
          <w:i w:val="0"/>
          <w:sz w:val="22"/>
        </w:rPr>
        <w:t>What works:</w:t>
      </w:r>
    </w:p>
    <w:p>
      <w:r>
        <w:rPr>
          <w:rFonts w:ascii="Figtree" w:hAnsi="Figtree"/>
          <w:b w:val="0"/>
          <w:i w:val="0"/>
          <w:sz w:val="22"/>
        </w:rPr>
        <w:t>&gt; The recommendation rationale (data residency, infrastructure control, operational maturity, update flexibility) is well-structured. The three deployment options (private cloud, on-premises, hybrid) with "identical platform capabilities" is a strong claim. The availability and recovery table with three scenarios and specific RTO/RPO ranges gives evaluators concrete evidence. The DR architecture diagram is useful.</w:t>
      </w:r>
    </w:p>
    <w:p>
      <w:r>
        <w:rPr>
          <w:rFonts w:ascii="Figtree" w:hAnsi="Figtree"/>
          <w:b/>
          <w:i w:val="0"/>
          <w:sz w:val="22"/>
        </w:rPr>
        <w:t>What doesn't:</w:t>
      </w:r>
    </w:p>
    <w:p>
      <w:r>
        <w:rPr>
          <w:rFonts w:ascii="Figtree" w:hAnsi="Figtree"/>
          <w:b w:val="0"/>
          <w:i w:val="0"/>
          <w:sz w:val="22"/>
        </w:rPr>
        <w:t>&gt; Named tools (Velero, CloudNativePG) leak implementation details. The sizing requirements (16 vCPUs, 64 GB RAM) are stated without explaining what drives them or how they scale with transaction volume. The blockchain network selection is deferred to Discovery, which is appropriate but could include a recommendation or common pattern to demonstrate expertise.</w:t>
      </w:r>
    </w:p>
    <w:p>
      <w:r>
        <w:rPr>
          <w:rFonts w:ascii="Figtree" w:hAnsi="Figtree"/>
          <w:b/>
          <w:i w:val="0"/>
          <w:sz w:val="22"/>
        </w:rPr>
        <w:t>Specific suggestions:</w:t>
      </w:r>
    </w:p>
    <w:p>
      <w:r>
        <w:rPr>
          <w:rFonts w:ascii="Figtree" w:hAnsi="Figtree"/>
          <w:b w:val="0"/>
          <w:i w:val="0"/>
          <w:sz w:val="22"/>
        </w:rPr>
        <w:t>&gt; Replace tool names with category descriptions. Add a brief note on what drives sizing: "Production sizing scales with transaction volume and asset count. The baseline recommendation supports [X] concurrent users and [Y] transactions per day." Add one sentence recommending the most common network choice for banking clients: "Banking institutions typically select private permissioned networks for their ability to control validator membership, with Hyperledger Besu being the most common choice among our regulated clients."</w:t>
      </w:r>
    </w:p>
    <w:p>
      <w:r>
        <w:br w:type="page"/>
      </w:r>
    </w:p>
    <w:p>
      <w:pPr>
        <w:pStyle w:val="H3"/>
        <w:numPr>
          <w:ilvl w:val="2"/>
          <w:numId w:val="1"/>
        </w:numPr>
      </w:pPr>
      <w:r>
        <w:t>Section: Support and SLA / Support Appendix</w:t>
      </w:r>
    </w:p>
    <w:p>
      <w:r>
        <w:rPr>
          <w:rFonts w:ascii="Figtree" w:hAnsi="Figtree"/>
          <w:b/>
          <w:i w:val="0"/>
          <w:sz w:val="22"/>
        </w:rPr>
        <w:t>What works:</w:t>
      </w:r>
    </w:p>
    <w:p>
      <w:r>
        <w:rPr>
          <w:rFonts w:ascii="Figtree" w:hAnsi="Figtree"/>
          <w:b w:val="0"/>
          <w:i w:val="0"/>
          <w:sz w:val="22"/>
        </w:rPr>
        <w:t>&gt; The three-tier support model with clear differentiation is well-presented. Severity definitions with specific DALP examples (compliance module bypass, Key Guardian signing failure) demonstrate domain awareness. Service credits with specific thresholds show commercial maturity. The recommendation for Enterprise tier is appropriate and justified.</w:t>
      </w:r>
    </w:p>
    <w:p>
      <w:r>
        <w:rPr>
          <w:rFonts w:ascii="Figtree" w:hAnsi="Figtree"/>
          <w:b/>
          <w:i w:val="0"/>
          <w:sz w:val="22"/>
        </w:rPr>
        <w:t>What doesn't:</w:t>
      </w:r>
    </w:p>
    <w:p>
      <w:r>
        <w:rPr>
          <w:rFonts w:ascii="Figtree" w:hAnsi="Figtree"/>
          <w:b w:val="0"/>
          <w:i w:val="0"/>
          <w:sz w:val="22"/>
        </w:rPr>
        <w:t>&gt; Support content appears in two places (main section and appendix) with overlapping information. The severity/response/resolution table appears in both. The escalation path is only in the appendix. This creates the same structural duplication problem as the implementation sections.</w:t>
      </w:r>
    </w:p>
    <w:p>
      <w:r>
        <w:rPr>
          <w:rFonts w:ascii="Figtree" w:hAnsi="Figtree"/>
          <w:b/>
          <w:i w:val="0"/>
          <w:sz w:val="22"/>
        </w:rPr>
        <w:t>Specific suggestions:</w:t>
      </w:r>
    </w:p>
    <w:p>
      <w:r>
        <w:rPr>
          <w:rFonts w:ascii="Figtree" w:hAnsi="Figtree"/>
          <w:b w:val="0"/>
          <w:i w:val="0"/>
          <w:sz w:val="22"/>
        </w:rPr>
        <w:t>&gt; Merge into one section. Keep the summary tables and recommendation in the main body. Move detailed severity definitions and escalation procedures to a single appendix if needed for length management.</w:t>
      </w:r>
    </w:p>
    <w:p>
      <w:r>
        <w:br w:type="page"/>
      </w:r>
    </w:p>
    <w:p>
      <w:pPr>
        <w:pStyle w:val="H3"/>
        <w:numPr>
          <w:ilvl w:val="2"/>
          <w:numId w:val="1"/>
        </w:numPr>
      </w:pPr>
      <w:r>
        <w:t>Section: Risk Management</w:t>
      </w:r>
    </w:p>
    <w:p>
      <w:r>
        <w:rPr>
          <w:rFonts w:ascii="Figtree" w:hAnsi="Figtree"/>
          <w:b/>
          <w:i w:val="0"/>
          <w:sz w:val="22"/>
        </w:rPr>
        <w:t>What works:</w:t>
      </w:r>
    </w:p>
    <w:p>
      <w:r>
        <w:rPr>
          <w:rFonts w:ascii="Figtree" w:hAnsi="Figtree"/>
          <w:b w:val="0"/>
          <w:i w:val="0"/>
          <w:sz w:val="22"/>
        </w:rPr>
        <w:t>&gt; Risk table is well-structured with likelihood, impact, mitigation, and owner columns. The risks identified are realistic and relevant. Assigning joint ownership for regulatory risk is appropriate.</w:t>
      </w:r>
    </w:p>
    <w:p>
      <w:r>
        <w:rPr>
          <w:rFonts w:ascii="Figtree" w:hAnsi="Figtree"/>
          <w:b/>
          <w:i w:val="0"/>
          <w:sz w:val="22"/>
        </w:rPr>
        <w:t>What doesn't:</w:t>
      </w:r>
    </w:p>
    <w:p>
      <w:r>
        <w:rPr>
          <w:rFonts w:ascii="Figtree" w:hAnsi="Figtree"/>
          <w:b w:val="0"/>
          <w:i w:val="0"/>
          <w:sz w:val="22"/>
        </w:rPr>
        <w:t>&gt; The risk table largely duplicates the delivery risks table in the Implementation section. "Scope expansion" risk rated "High" likelihood is honest but also concerning: it suggests the scope may not be well-defined. No technical risks are included (blockchain network performance, smart contract upgrade risk, custody provider SLA alignment).</w:t>
      </w:r>
    </w:p>
    <w:p>
      <w:r>
        <w:rPr>
          <w:rFonts w:ascii="Figtree" w:hAnsi="Figtree"/>
          <w:b/>
          <w:i w:val="0"/>
          <w:sz w:val="22"/>
        </w:rPr>
        <w:t>Specific suggestions:</w:t>
      </w:r>
    </w:p>
    <w:p>
      <w:r>
        <w:rPr>
          <w:rFonts w:ascii="Figtree" w:hAnsi="Figtree"/>
          <w:b w:val="0"/>
          <w:i w:val="0"/>
          <w:sz w:val="22"/>
        </w:rPr>
        <w:t>&gt; Merge with implementation risks and deduplicate. Add 2-3 technical/operational risks: smart contract upgrade governance, blockchain network performance under load, and custody provider availability SLA alignment with DALP SLA.</w:t>
      </w:r>
    </w:p>
    <w:p>
      <w:r>
        <w:br w:type="page"/>
      </w:r>
    </w:p>
    <w:p>
      <w:pPr>
        <w:pStyle w:val="H3"/>
        <w:numPr>
          <w:ilvl w:val="2"/>
          <w:numId w:val="1"/>
        </w:numPr>
      </w:pPr>
      <w:r>
        <w:t>Section: Compliance Architecture</w:t>
      </w:r>
    </w:p>
    <w:p>
      <w:r>
        <w:rPr>
          <w:rFonts w:ascii="Figtree" w:hAnsi="Figtree"/>
          <w:b/>
          <w:i w:val="0"/>
          <w:sz w:val="22"/>
        </w:rPr>
        <w:t>What works:</w:t>
      </w:r>
    </w:p>
    <w:p>
      <w:r>
        <w:rPr>
          <w:rFonts w:ascii="Figtree" w:hAnsi="Figtree"/>
          <w:b w:val="0"/>
          <w:i w:val="0"/>
          <w:sz w:val="22"/>
        </w:rPr>
        <w:t>&gt; This is the strongest technical section in the proposal. The module catalog with type IDs, categories, and specific descriptions is excellent evidence. The pre-built regulatory templates table maps modules to jurisdictions. The Emirates NBD-specific configuration recommendation demonstrates genuine tailoring. The enforcement flow description with ex-ante, fail-closed, and sequential AND evaluation is precise and credible.</w:t>
      </w:r>
    </w:p>
    <w:p>
      <w:r>
        <w:rPr>
          <w:rFonts w:ascii="Figtree" w:hAnsi="Figtree"/>
          <w:b/>
          <w:i w:val="0"/>
          <w:sz w:val="22"/>
        </w:rPr>
        <w:t>What doesn't:</w:t>
      </w:r>
    </w:p>
    <w:p>
      <w:r>
        <w:rPr>
          <w:rFonts w:ascii="Figtree" w:hAnsi="Figtree"/>
          <w:b w:val="0"/>
          <w:i w:val="0"/>
          <w:sz w:val="22"/>
        </w:rPr>
        <w:t>&gt; The module count (12 here vs. 18 elsewhere) is the primary defect. The section appears late in the document after Risk Management, which disrupts the natural flow from Solution to Architecture to Compliance. Some content here (compliance enforcement flow, module descriptions) overlaps with the Proposed Solution section's Identity, Compliance, and Access Control subsection.</w:t>
      </w:r>
    </w:p>
    <w:p>
      <w:r>
        <w:rPr>
          <w:rFonts w:ascii="Figtree" w:hAnsi="Figtree"/>
          <w:b/>
          <w:i w:val="0"/>
          <w:sz w:val="22"/>
        </w:rPr>
        <w:t>Specific suggestions:</w:t>
      </w:r>
    </w:p>
    <w:p>
      <w:r>
        <w:rPr>
          <w:rFonts w:ascii="Figtree" w:hAnsi="Figtree"/>
          <w:b w:val="0"/>
          <w:i w:val="0"/>
          <w:sz w:val="22"/>
        </w:rPr>
        <w:t>&gt; Move this section to follow Technical Architecture (before Security or immediately after). Reconcile the module count. Reduce overlap with the Proposed Solution compliance subsection: the Proposed Solution should provide the summary; this section should provide the detailed catalog and Emirates NBD configuration.</w:t>
      </w:r>
    </w:p>
    <w:p>
      <w:r>
        <w:br w:type="page"/>
      </w:r>
    </w:p>
    <w:p>
      <w:pPr>
        <w:pStyle w:val="H3"/>
        <w:numPr>
          <w:ilvl w:val="2"/>
          <w:numId w:val="1"/>
        </w:numPr>
      </w:pPr>
      <w:r>
        <w:t>Section: Writer's Checklist</w:t>
      </w:r>
    </w:p>
    <w:p>
      <w:r>
        <w:rPr>
          <w:rFonts w:ascii="Figtree" w:hAnsi="Figtree"/>
          <w:b/>
          <w:i w:val="0"/>
          <w:sz w:val="22"/>
        </w:rPr>
        <w:t>What works:</w:t>
      </w:r>
    </w:p>
    <w:p>
      <w:r>
        <w:rPr>
          <w:rFonts w:ascii="Figtree" w:hAnsi="Figtree"/>
          <w:b w:val="0"/>
          <w:i w:val="0"/>
          <w:sz w:val="22"/>
        </w:rPr>
        <w:t>&gt; The presence of a writer's checklist shows editorial process awareness. The checks for em dashes, AI-tell words, client name consistency, and deployment model consistency are appropriate.</w:t>
      </w:r>
    </w:p>
    <w:p>
      <w:r>
        <w:rPr>
          <w:rFonts w:ascii="Figtree" w:hAnsi="Figtree"/>
          <w:b/>
          <w:i w:val="0"/>
          <w:sz w:val="22"/>
        </w:rPr>
        <w:t>What doesn't:</w:t>
      </w:r>
    </w:p>
    <w:p>
      <w:r>
        <w:rPr>
          <w:rFonts w:ascii="Figtree" w:hAnsi="Figtree"/>
          <w:b w:val="0"/>
          <w:i w:val="0"/>
          <w:sz w:val="22"/>
        </w:rPr>
        <w:t>&gt; This section should not appear in the client-facing document. It is an internal quality control artifact. If it appears in the final submission, it reveals the production process to the client.</w:t>
      </w:r>
    </w:p>
    <w:p>
      <w:r>
        <w:rPr>
          <w:rFonts w:ascii="Figtree" w:hAnsi="Figtree"/>
          <w:b/>
          <w:i w:val="0"/>
          <w:sz w:val="22"/>
        </w:rPr>
        <w:t>Specific suggestions:</w:t>
      </w:r>
    </w:p>
    <w:p>
      <w:r>
        <w:rPr>
          <w:rFonts w:ascii="Figtree" w:hAnsi="Figtree"/>
          <w:b w:val="0"/>
          <w:i w:val="0"/>
          <w:sz w:val="22"/>
        </w:rPr>
        <w:t>&gt; Remove from the client-facing document entirely. Keep it as an internal appendix or separate file.</w:t>
      </w:r>
    </w:p>
    <w:p>
      <w:r>
        <w:br w:type="page"/>
      </w:r>
    </w:p>
    <w:p>
      <w:pPr>
        <w:pStyle w:val="H2"/>
        <w:numPr>
          <w:ilvl w:val="1"/>
          <w:numId w:val="1"/>
        </w:numPr>
      </w:pPr>
      <w:r>
        <w:t>IP Exposure Audit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w:t>
            </w:r>
          </w:p>
        </w:tc>
        <w:tc>
          <w:tcPr>
            <w:tcW w:type="dxa" w:w="1949"/>
            <w:shd w:fill="000099" w:val="clear"/>
          </w:tcPr>
          <w:p>
            <w:r>
              <w:rPr>
                <w:b/>
                <w:color w:val="FFFFFF"/>
              </w:rPr>
            </w:r>
            <w:r>
              <w:rPr>
                <w:rFonts w:ascii="Figtree" w:hAnsi="Figtree"/>
                <w:b/>
                <w:i w:val="0"/>
                <w:color w:val="FFFFFF"/>
                <w:sz w:val="22"/>
              </w:rPr>
              <w:t>Flagged Term</w:t>
            </w:r>
          </w:p>
        </w:tc>
        <w:tc>
          <w:tcPr>
            <w:tcW w:type="dxa" w:w="1949"/>
            <w:shd w:fill="000099" w:val="clear"/>
          </w:tcPr>
          <w:p>
            <w:r>
              <w:rPr>
                <w:b/>
                <w:color w:val="FFFFFF"/>
              </w:rPr>
            </w:r>
            <w:r>
              <w:rPr>
                <w:rFonts w:ascii="Figtree" w:hAnsi="Figtree"/>
                <w:b/>
                <w:i w:val="0"/>
                <w:color w:val="FFFFFF"/>
                <w:sz w:val="22"/>
              </w:rPr>
              <w:t>Location (Section/Page)</w:t>
            </w:r>
          </w:p>
        </w:tc>
        <w:tc>
          <w:tcPr>
            <w:tcW w:type="dxa" w:w="1949"/>
            <w:shd w:fill="000099" w:val="clear"/>
          </w:tcPr>
          <w:p>
            <w:r>
              <w:rPr>
                <w:b/>
                <w:color w:val="FFFFFF"/>
              </w:rPr>
            </w:r>
            <w:r>
              <w:rPr>
                <w:rFonts w:ascii="Figtree" w:hAnsi="Figtree"/>
                <w:b/>
                <w:i w:val="0"/>
                <w:color w:val="FFFFFF"/>
                <w:sz w:val="22"/>
              </w:rPr>
              <w:t>Category</w:t>
            </w:r>
          </w:p>
        </w:tc>
        <w:tc>
          <w:tcPr>
            <w:tcW w:type="dxa" w:w="1949"/>
            <w:shd w:fill="000099" w:val="clear"/>
          </w:tcPr>
          <w:p>
            <w:r>
              <w:rPr>
                <w:b/>
                <w:color w:val="FFFFFF"/>
              </w:rPr>
            </w:r>
            <w:r>
              <w:rPr>
                <w:rFonts w:ascii="Figtree" w:hAnsi="Figtree"/>
                <w:b/>
                <w:i w:val="0"/>
                <w:color w:val="FFFFFF"/>
                <w:sz w:val="22"/>
              </w:rPr>
              <w:t>Recommended Replacement</w:t>
            </w:r>
          </w:p>
        </w:tc>
      </w:tr>
      <w:tr>
        <w:tc>
          <w:tcPr>
            <w:tcW w:type="dxa" w:w="1949"/>
          </w:tcPr>
          <w:p>
            <w:r/>
            <w:r>
              <w:rPr>
                <w:rFonts w:ascii="Figtree" w:hAnsi="Figtree"/>
                <w:b w:val="0"/>
                <w:i w:val="0"/>
                <w:sz w:val="22"/>
              </w:rPr>
              <w:t>1</w:t>
            </w:r>
          </w:p>
        </w:tc>
        <w:tc>
          <w:tcPr>
            <w:tcW w:type="dxa" w:w="1949"/>
          </w:tcPr>
          <w:p>
            <w:r/>
            <w:r>
              <w:rPr>
                <w:rFonts w:ascii="Figtree" w:hAnsi="Figtree"/>
                <w:b w:val="0"/>
                <w:i w:val="0"/>
                <w:sz w:val="22"/>
              </w:rPr>
              <w:t>Grafana</w:t>
            </w:r>
          </w:p>
        </w:tc>
        <w:tc>
          <w:tcPr>
            <w:tcW w:type="dxa" w:w="1949"/>
          </w:tcPr>
          <w:p>
            <w:r/>
            <w:r>
              <w:rPr>
                <w:rFonts w:ascii="Figtree" w:hAnsi="Figtree"/>
                <w:b w:val="0"/>
                <w:i w:val="0"/>
                <w:sz w:val="22"/>
              </w:rPr>
              <w:t>About DALP (line 133), Proposed Solution (line 418), Architecture (line 538), Architecture (line 554), Deployment (line 715)</w:t>
            </w:r>
          </w:p>
        </w:tc>
        <w:tc>
          <w:tcPr>
            <w:tcW w:type="dxa" w:w="1949"/>
          </w:tcPr>
          <w:p>
            <w:r/>
            <w:r>
              <w:rPr>
                <w:rFonts w:ascii="Figtree" w:hAnsi="Figtree"/>
                <w:b w:val="0"/>
                <w:i w:val="0"/>
                <w:sz w:val="22"/>
              </w:rPr>
              <w:t>Cat 1</w:t>
            </w:r>
          </w:p>
        </w:tc>
        <w:tc>
          <w:tcPr>
            <w:tcW w:type="dxa" w:w="1949"/>
          </w:tcPr>
          <w:p>
            <w:r/>
            <w:r>
              <w:rPr>
                <w:rFonts w:ascii="Figtree" w:hAnsi="Figtree"/>
                <w:b w:val="0"/>
                <w:i w:val="0"/>
                <w:sz w:val="22"/>
              </w:rPr>
              <w:t>"monitoring dashboards" or "operational monitoring platform"</w:t>
            </w:r>
          </w:p>
        </w:tc>
      </w:tr>
      <w:tr>
        <w:tc>
          <w:tcPr>
            <w:tcW w:type="dxa" w:w="1949"/>
          </w:tcPr>
          <w:p>
            <w:r/>
            <w:r>
              <w:rPr>
                <w:rFonts w:ascii="Figtree" w:hAnsi="Figtree"/>
                <w:b w:val="0"/>
                <w:i w:val="0"/>
                <w:sz w:val="22"/>
              </w:rPr>
              <w:t>2</w:t>
            </w:r>
          </w:p>
        </w:tc>
        <w:tc>
          <w:tcPr>
            <w:tcW w:type="dxa" w:w="1949"/>
          </w:tcPr>
          <w:p>
            <w:r/>
            <w:r>
              <w:rPr>
                <w:rFonts w:ascii="Figtree" w:hAnsi="Figtree"/>
                <w:b w:val="0"/>
                <w:i w:val="0"/>
                <w:sz w:val="22"/>
              </w:rPr>
              <w:t>Loki</w:t>
            </w:r>
          </w:p>
        </w:tc>
        <w:tc>
          <w:tcPr>
            <w:tcW w:type="dxa" w:w="1949"/>
          </w:tcPr>
          <w:p>
            <w:r/>
            <w:r>
              <w:rPr>
                <w:rFonts w:ascii="Figtree" w:hAnsi="Figtree"/>
                <w:b w:val="0"/>
                <w:i w:val="0"/>
                <w:sz w:val="22"/>
              </w:rPr>
              <w:t>Architecture (line 538), Architecture (line 554), Deployment (line 715)</w:t>
            </w:r>
          </w:p>
        </w:tc>
        <w:tc>
          <w:tcPr>
            <w:tcW w:type="dxa" w:w="1949"/>
          </w:tcPr>
          <w:p>
            <w:r/>
            <w:r>
              <w:rPr>
                <w:rFonts w:ascii="Figtree" w:hAnsi="Figtree"/>
                <w:b w:val="0"/>
                <w:i w:val="0"/>
                <w:sz w:val="22"/>
              </w:rPr>
              <w:t>Cat 1</w:t>
            </w:r>
          </w:p>
        </w:tc>
        <w:tc>
          <w:tcPr>
            <w:tcW w:type="dxa" w:w="1949"/>
          </w:tcPr>
          <w:p>
            <w:r/>
            <w:r>
              <w:rPr>
                <w:rFonts w:ascii="Figtree" w:hAnsi="Figtree"/>
                <w:b w:val="0"/>
                <w:i w:val="0"/>
                <w:sz w:val="22"/>
              </w:rPr>
              <w:t>"centralized log aggregation" or "log management system"</w:t>
            </w:r>
          </w:p>
        </w:tc>
      </w:tr>
      <w:tr>
        <w:tc>
          <w:tcPr>
            <w:tcW w:type="dxa" w:w="1949"/>
          </w:tcPr>
          <w:p>
            <w:r/>
            <w:r>
              <w:rPr>
                <w:rFonts w:ascii="Figtree" w:hAnsi="Figtree"/>
                <w:b w:val="0"/>
                <w:i w:val="0"/>
                <w:sz w:val="22"/>
              </w:rPr>
              <w:t>3</w:t>
            </w:r>
          </w:p>
        </w:tc>
        <w:tc>
          <w:tcPr>
            <w:tcW w:type="dxa" w:w="1949"/>
          </w:tcPr>
          <w:p>
            <w:r/>
            <w:r>
              <w:rPr>
                <w:rFonts w:ascii="Figtree" w:hAnsi="Figtree"/>
                <w:b w:val="0"/>
                <w:i w:val="0"/>
                <w:sz w:val="22"/>
              </w:rPr>
              <w:t>VictoriaMetrics</w:t>
            </w:r>
          </w:p>
        </w:tc>
        <w:tc>
          <w:tcPr>
            <w:tcW w:type="dxa" w:w="1949"/>
          </w:tcPr>
          <w:p>
            <w:r/>
            <w:r>
              <w:rPr>
                <w:rFonts w:ascii="Figtree" w:hAnsi="Figtree"/>
                <w:b w:val="0"/>
                <w:i w:val="0"/>
                <w:sz w:val="22"/>
              </w:rPr>
              <w:t>Architecture (line 538), Architecture (line 554), Deployment (line 715)</w:t>
            </w:r>
          </w:p>
        </w:tc>
        <w:tc>
          <w:tcPr>
            <w:tcW w:type="dxa" w:w="1949"/>
          </w:tcPr>
          <w:p>
            <w:r/>
            <w:r>
              <w:rPr>
                <w:rFonts w:ascii="Figtree" w:hAnsi="Figtree"/>
                <w:b w:val="0"/>
                <w:i w:val="0"/>
                <w:sz w:val="22"/>
              </w:rPr>
              <w:t>Cat 1</w:t>
            </w:r>
          </w:p>
        </w:tc>
        <w:tc>
          <w:tcPr>
            <w:tcW w:type="dxa" w:w="1949"/>
          </w:tcPr>
          <w:p>
            <w:r/>
            <w:r>
              <w:rPr>
                <w:rFonts w:ascii="Figtree" w:hAnsi="Figtree"/>
                <w:b w:val="0"/>
                <w:i w:val="0"/>
                <w:sz w:val="22"/>
              </w:rPr>
              <w:t>"metrics collection" or "time-series monitoring"</w:t>
            </w:r>
          </w:p>
        </w:tc>
      </w:tr>
      <w:tr>
        <w:tc>
          <w:tcPr>
            <w:tcW w:type="dxa" w:w="1949"/>
          </w:tcPr>
          <w:p>
            <w:r/>
            <w:r>
              <w:rPr>
                <w:rFonts w:ascii="Figtree" w:hAnsi="Figtree"/>
                <w:b w:val="0"/>
                <w:i w:val="0"/>
                <w:sz w:val="22"/>
              </w:rPr>
              <w:t>4</w:t>
            </w:r>
          </w:p>
        </w:tc>
        <w:tc>
          <w:tcPr>
            <w:tcW w:type="dxa" w:w="1949"/>
          </w:tcPr>
          <w:p>
            <w:r/>
            <w:r>
              <w:rPr>
                <w:rFonts w:ascii="Figtree" w:hAnsi="Figtree"/>
                <w:b w:val="0"/>
                <w:i w:val="0"/>
                <w:sz w:val="22"/>
              </w:rPr>
              <w:t>Tempo</w:t>
            </w:r>
          </w:p>
        </w:tc>
        <w:tc>
          <w:tcPr>
            <w:tcW w:type="dxa" w:w="1949"/>
          </w:tcPr>
          <w:p>
            <w:r/>
            <w:r>
              <w:rPr>
                <w:rFonts w:ascii="Figtree" w:hAnsi="Figtree"/>
                <w:b w:val="0"/>
                <w:i w:val="0"/>
                <w:sz w:val="22"/>
              </w:rPr>
              <w:t>Architecture (line 538), Architecture (line 554), Deployment (line 715)</w:t>
            </w:r>
          </w:p>
        </w:tc>
        <w:tc>
          <w:tcPr>
            <w:tcW w:type="dxa" w:w="1949"/>
          </w:tcPr>
          <w:p>
            <w:r/>
            <w:r>
              <w:rPr>
                <w:rFonts w:ascii="Figtree" w:hAnsi="Figtree"/>
                <w:b w:val="0"/>
                <w:i w:val="0"/>
                <w:sz w:val="22"/>
              </w:rPr>
              <w:t>Cat 1</w:t>
            </w:r>
          </w:p>
        </w:tc>
        <w:tc>
          <w:tcPr>
            <w:tcW w:type="dxa" w:w="1949"/>
          </w:tcPr>
          <w:p>
            <w:r/>
            <w:r>
              <w:rPr>
                <w:rFonts w:ascii="Figtree" w:hAnsi="Figtree"/>
                <w:b w:val="0"/>
                <w:i w:val="0"/>
                <w:sz w:val="22"/>
              </w:rPr>
              <w:t>"distributed tracing"</w:t>
            </w:r>
          </w:p>
        </w:tc>
      </w:tr>
      <w:tr>
        <w:tc>
          <w:tcPr>
            <w:tcW w:type="dxa" w:w="1949"/>
          </w:tcPr>
          <w:p>
            <w:r/>
            <w:r>
              <w:rPr>
                <w:rFonts w:ascii="Figtree" w:hAnsi="Figtree"/>
                <w:b w:val="0"/>
                <w:i w:val="0"/>
                <w:sz w:val="22"/>
              </w:rPr>
              <w:t>5</w:t>
            </w:r>
          </w:p>
        </w:tc>
        <w:tc>
          <w:tcPr>
            <w:tcW w:type="dxa" w:w="1949"/>
          </w:tcPr>
          <w:p>
            <w:r/>
            <w:r>
              <w:rPr>
                <w:rFonts w:ascii="Figtree" w:hAnsi="Figtree"/>
                <w:b w:val="0"/>
                <w:i w:val="0"/>
                <w:sz w:val="22"/>
              </w:rPr>
              <w:t>OpenTelemetry</w:t>
            </w:r>
          </w:p>
        </w:tc>
        <w:tc>
          <w:tcPr>
            <w:tcW w:type="dxa" w:w="1949"/>
          </w:tcPr>
          <w:p>
            <w:r/>
            <w:r>
              <w:rPr>
                <w:rFonts w:ascii="Figtree" w:hAnsi="Figtree"/>
                <w:b w:val="0"/>
                <w:i w:val="0"/>
                <w:sz w:val="22"/>
              </w:rPr>
              <w:t>Architecture (line 554)</w:t>
            </w:r>
          </w:p>
        </w:tc>
        <w:tc>
          <w:tcPr>
            <w:tcW w:type="dxa" w:w="1949"/>
          </w:tcPr>
          <w:p>
            <w:r/>
            <w:r>
              <w:rPr>
                <w:rFonts w:ascii="Figtree" w:hAnsi="Figtree"/>
                <w:b w:val="0"/>
                <w:i w:val="0"/>
                <w:sz w:val="22"/>
              </w:rPr>
              <w:t>Cat 1</w:t>
            </w:r>
          </w:p>
        </w:tc>
        <w:tc>
          <w:tcPr>
            <w:tcW w:type="dxa" w:w="1949"/>
          </w:tcPr>
          <w:p>
            <w:r/>
            <w:r>
              <w:rPr>
                <w:rFonts w:ascii="Figtree" w:hAnsi="Figtree"/>
                <w:b w:val="0"/>
                <w:i w:val="0"/>
                <w:sz w:val="22"/>
              </w:rPr>
              <w:t>"observability framework" or "distributed tracing"</w:t>
            </w:r>
          </w:p>
        </w:tc>
      </w:tr>
      <w:tr>
        <w:tc>
          <w:tcPr>
            <w:tcW w:type="dxa" w:w="1949"/>
          </w:tcPr>
          <w:p>
            <w:r/>
            <w:r>
              <w:rPr>
                <w:rFonts w:ascii="Figtree" w:hAnsi="Figtree"/>
                <w:b w:val="0"/>
                <w:i w:val="0"/>
                <w:sz w:val="22"/>
              </w:rPr>
              <w:t>6</w:t>
            </w:r>
          </w:p>
        </w:tc>
        <w:tc>
          <w:tcPr>
            <w:tcW w:type="dxa" w:w="1949"/>
          </w:tcPr>
          <w:p>
            <w:r/>
            <w:r>
              <w:rPr>
                <w:rFonts w:ascii="Figtree" w:hAnsi="Figtree"/>
                <w:b w:val="0"/>
                <w:i w:val="0"/>
                <w:sz w:val="22"/>
              </w:rPr>
              <w:t>Velero</w:t>
            </w:r>
          </w:p>
        </w:tc>
        <w:tc>
          <w:tcPr>
            <w:tcW w:type="dxa" w:w="1949"/>
          </w:tcPr>
          <w:p>
            <w:r/>
            <w:r>
              <w:rPr>
                <w:rFonts w:ascii="Figtree" w:hAnsi="Figtree"/>
                <w:b w:val="0"/>
                <w:i w:val="0"/>
                <w:sz w:val="22"/>
              </w:rPr>
              <w:t>Architecture (line 558), Deployment (lines 725, 748)</w:t>
            </w:r>
          </w:p>
        </w:tc>
        <w:tc>
          <w:tcPr>
            <w:tcW w:type="dxa" w:w="1949"/>
          </w:tcPr>
          <w:p>
            <w:r/>
            <w:r>
              <w:rPr>
                <w:rFonts w:ascii="Figtree" w:hAnsi="Figtree"/>
                <w:b w:val="0"/>
                <w:i w:val="0"/>
                <w:sz w:val="22"/>
              </w:rPr>
              <w:t>Cat 1</w:t>
            </w:r>
          </w:p>
        </w:tc>
        <w:tc>
          <w:tcPr>
            <w:tcW w:type="dxa" w:w="1949"/>
          </w:tcPr>
          <w:p>
            <w:r/>
            <w:r>
              <w:rPr>
                <w:rFonts w:ascii="Figtree" w:hAnsi="Figtree"/>
                <w:b w:val="0"/>
                <w:i w:val="0"/>
                <w:sz w:val="22"/>
              </w:rPr>
              <w:t>"Kubernetes backup and restore tooling"</w:t>
            </w:r>
          </w:p>
        </w:tc>
      </w:tr>
      <w:tr>
        <w:tc>
          <w:tcPr>
            <w:tcW w:type="dxa" w:w="1949"/>
          </w:tcPr>
          <w:p>
            <w:r/>
            <w:r>
              <w:rPr>
                <w:rFonts w:ascii="Figtree" w:hAnsi="Figtree"/>
                <w:b w:val="0"/>
                <w:i w:val="0"/>
                <w:sz w:val="22"/>
              </w:rPr>
              <w:t>7</w:t>
            </w:r>
          </w:p>
        </w:tc>
        <w:tc>
          <w:tcPr>
            <w:tcW w:type="dxa" w:w="1949"/>
          </w:tcPr>
          <w:p>
            <w:r/>
            <w:r>
              <w:rPr>
                <w:rFonts w:ascii="Figtree" w:hAnsi="Figtree"/>
                <w:b w:val="0"/>
                <w:i w:val="0"/>
                <w:sz w:val="22"/>
              </w:rPr>
              <w:t>CloudNativePG</w:t>
            </w:r>
          </w:p>
        </w:tc>
        <w:tc>
          <w:tcPr>
            <w:tcW w:type="dxa" w:w="1949"/>
          </w:tcPr>
          <w:p>
            <w:r/>
            <w:r>
              <w:rPr>
                <w:rFonts w:ascii="Figtree" w:hAnsi="Figtree"/>
                <w:b w:val="0"/>
                <w:i w:val="0"/>
                <w:sz w:val="22"/>
              </w:rPr>
              <w:t>Deployment (line 725)</w:t>
            </w:r>
          </w:p>
        </w:tc>
        <w:tc>
          <w:tcPr>
            <w:tcW w:type="dxa" w:w="1949"/>
          </w:tcPr>
          <w:p>
            <w:r/>
            <w:r>
              <w:rPr>
                <w:rFonts w:ascii="Figtree" w:hAnsi="Figtree"/>
                <w:b w:val="0"/>
                <w:i w:val="0"/>
                <w:sz w:val="22"/>
              </w:rPr>
              <w:t>Cat 1</w:t>
            </w:r>
          </w:p>
        </w:tc>
        <w:tc>
          <w:tcPr>
            <w:tcW w:type="dxa" w:w="1949"/>
          </w:tcPr>
          <w:p>
            <w:r/>
            <w:r>
              <w:rPr>
                <w:rFonts w:ascii="Figtree" w:hAnsi="Figtree"/>
                <w:b w:val="0"/>
                <w:i w:val="0"/>
                <w:sz w:val="22"/>
              </w:rPr>
              <w:t>"PostgreSQL operator" or "managed PostgreSQL"</w:t>
            </w:r>
          </w:p>
        </w:tc>
      </w:tr>
      <w:tr>
        <w:tc>
          <w:tcPr>
            <w:tcW w:type="dxa" w:w="1949"/>
          </w:tcPr>
          <w:p>
            <w:r/>
            <w:r>
              <w:rPr>
                <w:rFonts w:ascii="Figtree" w:hAnsi="Figtree"/>
                <w:b w:val="0"/>
                <w:i w:val="0"/>
                <w:sz w:val="22"/>
              </w:rPr>
              <w:t>8</w:t>
            </w:r>
          </w:p>
        </w:tc>
        <w:tc>
          <w:tcPr>
            <w:tcW w:type="dxa" w:w="1949"/>
          </w:tcPr>
          <w:p>
            <w:r/>
            <w:r>
              <w:rPr>
                <w:rFonts w:ascii="Figtree" w:hAnsi="Figtree"/>
                <w:b w:val="0"/>
                <w:i w:val="0"/>
                <w:sz w:val="22"/>
              </w:rPr>
              <w:t>Terraform</w:t>
            </w:r>
          </w:p>
        </w:tc>
        <w:tc>
          <w:tcPr>
            <w:tcW w:type="dxa" w:w="1949"/>
          </w:tcPr>
          <w:p>
            <w:r/>
            <w:r>
              <w:rPr>
                <w:rFonts w:ascii="Figtree" w:hAnsi="Figtree"/>
                <w:b w:val="0"/>
                <w:i w:val="0"/>
                <w:sz w:val="22"/>
              </w:rPr>
              <w:t>References/ADI (line 218)</w:t>
            </w:r>
          </w:p>
        </w:tc>
        <w:tc>
          <w:tcPr>
            <w:tcW w:type="dxa" w:w="1949"/>
          </w:tcPr>
          <w:p>
            <w:r/>
            <w:r>
              <w:rPr>
                <w:rFonts w:ascii="Figtree" w:hAnsi="Figtree"/>
                <w:b w:val="0"/>
                <w:i w:val="0"/>
                <w:sz w:val="22"/>
              </w:rPr>
              <w:t>Cat 1</w:t>
            </w:r>
          </w:p>
        </w:tc>
        <w:tc>
          <w:tcPr>
            <w:tcW w:type="dxa" w:w="1949"/>
          </w:tcPr>
          <w:p>
            <w:r/>
            <w:r>
              <w:rPr>
                <w:rFonts w:ascii="Figtree" w:hAnsi="Figtree"/>
                <w:b w:val="0"/>
                <w:i w:val="0"/>
                <w:sz w:val="22"/>
              </w:rPr>
              <w:t>"infrastructure-as-code tooling" or omit</w:t>
            </w:r>
          </w:p>
        </w:tc>
      </w:tr>
      <w:tr>
        <w:tc>
          <w:tcPr>
            <w:tcW w:type="dxa" w:w="1949"/>
          </w:tcPr>
          <w:p>
            <w:r/>
            <w:r>
              <w:rPr>
                <w:rFonts w:ascii="Figtree" w:hAnsi="Figtree"/>
                <w:b w:val="0"/>
                <w:i w:val="0"/>
                <w:sz w:val="22"/>
              </w:rPr>
              <w:t>9</w:t>
            </w:r>
          </w:p>
        </w:tc>
        <w:tc>
          <w:tcPr>
            <w:tcW w:type="dxa" w:w="1949"/>
          </w:tcPr>
          <w:p>
            <w:r/>
            <w:r>
              <w:rPr>
                <w:rFonts w:ascii="Figtree" w:hAnsi="Figtree"/>
                <w:b w:val="0"/>
                <w:i w:val="0"/>
                <w:sz w:val="22"/>
              </w:rPr>
              <w:t>`@settlemint/dalp-sdk`</w:t>
            </w:r>
          </w:p>
        </w:tc>
        <w:tc>
          <w:tcPr>
            <w:tcW w:type="dxa" w:w="1949"/>
          </w:tcPr>
          <w:p>
            <w:r/>
            <w:r>
              <w:rPr>
                <w:rFonts w:ascii="Figtree" w:hAnsi="Figtree"/>
                <w:b w:val="0"/>
                <w:i w:val="0"/>
                <w:sz w:val="22"/>
              </w:rPr>
              <w:t>About DALP (line 131), Proposed Solution (line 411), Architecture (line 517)</w:t>
            </w:r>
          </w:p>
        </w:tc>
        <w:tc>
          <w:tcPr>
            <w:tcW w:type="dxa" w:w="1949"/>
          </w:tcPr>
          <w:p>
            <w:r/>
            <w:r>
              <w:rPr>
                <w:rFonts w:ascii="Figtree" w:hAnsi="Figtree"/>
                <w:b w:val="0"/>
                <w:i w:val="0"/>
                <w:sz w:val="22"/>
              </w:rPr>
              <w:t>Cat 2</w:t>
            </w:r>
          </w:p>
        </w:tc>
        <w:tc>
          <w:tcPr>
            <w:tcW w:type="dxa" w:w="1949"/>
          </w:tcPr>
          <w:p>
            <w:r/>
            <w:r>
              <w:rPr>
                <w:rFonts w:ascii="Figtree" w:hAnsi="Figtree"/>
                <w:b w:val="0"/>
                <w:i w:val="0"/>
                <w:sz w:val="22"/>
              </w:rPr>
              <w:t>"DALP TypeScript SDK" or "typed TypeScript SDK"</w:t>
            </w:r>
          </w:p>
        </w:tc>
      </w:tr>
      <w:tr>
        <w:tc>
          <w:tcPr>
            <w:tcW w:type="dxa" w:w="1949"/>
          </w:tcPr>
          <w:p>
            <w:r/>
            <w:r>
              <w:rPr>
                <w:rFonts w:ascii="Figtree" w:hAnsi="Figtree"/>
                <w:b w:val="0"/>
                <w:i w:val="0"/>
                <w:sz w:val="22"/>
              </w:rPr>
              <w:t>10</w:t>
            </w:r>
          </w:p>
        </w:tc>
        <w:tc>
          <w:tcPr>
            <w:tcW w:type="dxa" w:w="1949"/>
          </w:tcPr>
          <w:p>
            <w:r/>
            <w:r>
              <w:rPr>
                <w:rFonts w:ascii="Figtree" w:hAnsi="Figtree"/>
                <w:b w:val="0"/>
                <w:i w:val="0"/>
                <w:sz w:val="22"/>
              </w:rPr>
              <w:t>`[TO VERIFY]`</w:t>
            </w:r>
          </w:p>
        </w:tc>
        <w:tc>
          <w:tcPr>
            <w:tcW w:type="dxa" w:w="1949"/>
          </w:tcPr>
          <w:p>
            <w:r/>
            <w:r>
              <w:rPr>
                <w:rFonts w:ascii="Figtree" w:hAnsi="Figtree"/>
                <w:b w:val="0"/>
                <w:i w:val="0"/>
                <w:sz w:val="22"/>
              </w:rPr>
              <w:t>References/Saudi RER (line 210)</w:t>
            </w:r>
          </w:p>
        </w:tc>
        <w:tc>
          <w:tcPr>
            <w:tcW w:type="dxa" w:w="1949"/>
          </w:tcPr>
          <w:p>
            <w:r/>
            <w:r>
              <w:rPr>
                <w:rFonts w:ascii="Figtree" w:hAnsi="Figtree"/>
                <w:b w:val="0"/>
                <w:i w:val="0"/>
                <w:sz w:val="22"/>
              </w:rPr>
              <w:t>Cat 5</w:t>
            </w:r>
          </w:p>
        </w:tc>
        <w:tc>
          <w:tcPr>
            <w:tcW w:type="dxa" w:w="1949"/>
          </w:tcPr>
          <w:p>
            <w:r/>
            <w:r>
              <w:rPr>
                <w:rFonts w:ascii="Figtree" w:hAnsi="Figtree"/>
                <w:b w:val="0"/>
                <w:i w:val="0"/>
                <w:sz w:val="22"/>
              </w:rPr>
              <w:t>Remove marker; verify or delete the claim</w:t>
            </w:r>
          </w:p>
        </w:tc>
      </w:tr>
      <w:tr>
        <w:tc>
          <w:tcPr>
            <w:tcW w:type="dxa" w:w="1949"/>
          </w:tcPr>
          <w:p>
            <w:r/>
            <w:r>
              <w:rPr>
                <w:rFonts w:ascii="Figtree" w:hAnsi="Figtree"/>
                <w:b w:val="0"/>
                <w:i w:val="0"/>
                <w:sz w:val="22"/>
              </w:rPr>
              <w:t>11</w:t>
            </w:r>
          </w:p>
        </w:tc>
        <w:tc>
          <w:tcPr>
            <w:tcW w:type="dxa" w:w="1949"/>
          </w:tcPr>
          <w:p>
            <w:r/>
            <w:r>
              <w:rPr>
                <w:rFonts w:ascii="Figtree" w:hAnsi="Figtree"/>
                <w:b w:val="0"/>
                <w:i w:val="0"/>
                <w:sz w:val="22"/>
              </w:rPr>
              <w:t>Writer's Checklist section</w:t>
            </w:r>
          </w:p>
        </w:tc>
        <w:tc>
          <w:tcPr>
            <w:tcW w:type="dxa" w:w="1949"/>
          </w:tcPr>
          <w:p>
            <w:r/>
            <w:r>
              <w:rPr>
                <w:rFonts w:ascii="Figtree" w:hAnsi="Figtree"/>
                <w:b w:val="0"/>
                <w:i w:val="0"/>
                <w:sz w:val="22"/>
              </w:rPr>
              <w:t>End of document</w:t>
            </w:r>
          </w:p>
        </w:tc>
        <w:tc>
          <w:tcPr>
            <w:tcW w:type="dxa" w:w="1949"/>
          </w:tcPr>
          <w:p>
            <w:r/>
            <w:r>
              <w:rPr>
                <w:rFonts w:ascii="Figtree" w:hAnsi="Figtree"/>
                <w:b w:val="0"/>
                <w:i w:val="0"/>
                <w:sz w:val="22"/>
              </w:rPr>
              <w:t>Cat 5</w:t>
            </w:r>
          </w:p>
        </w:tc>
        <w:tc>
          <w:tcPr>
            <w:tcW w:type="dxa" w:w="1949"/>
          </w:tcPr>
          <w:p>
            <w:r/>
            <w:r>
              <w:rPr>
                <w:rFonts w:ascii="Figtree" w:hAnsi="Figtree"/>
                <w:b w:val="0"/>
                <w:i w:val="0"/>
                <w:sz w:val="22"/>
              </w:rPr>
              <w:t>Remove from client-facing document</w:t>
            </w:r>
          </w:p>
        </w:tc>
      </w:tr>
    </w:tbl>
    <w:p>
      <w:r>
        <w:rPr>
          <w:rFonts w:ascii="Figtree" w:hAnsi="Figtree"/>
          <w:b/>
          <w:i w:val="0"/>
          <w:sz w:val="22"/>
        </w:rPr>
        <w:t>IP Exposure Summary:</w:t>
      </w:r>
    </w:p>
    <w:p>
      <w:pPr>
        <w:pStyle w:val="ListParagraph"/>
        <w:numPr>
          <w:ilvl w:val="0"/>
          <w:numId w:val="4"/>
        </w:numPr>
      </w:pPr>
      <w:r>
        <w:rPr>
          <w:rFonts w:ascii="Figtree" w:hAnsi="Figtree"/>
          <w:b w:val="0"/>
          <w:i w:val="0"/>
          <w:sz w:val="22"/>
        </w:rPr>
        <w:t>Total flags: 11 unique terms, 20+ occurrences</w:t>
      </w:r>
    </w:p>
    <w:p>
      <w:pPr>
        <w:pStyle w:val="ListParagraph"/>
        <w:numPr>
          <w:ilvl w:val="0"/>
          <w:numId w:val="4"/>
        </w:numPr>
      </w:pPr>
      <w:r>
        <w:rPr>
          <w:rFonts w:ascii="Figtree" w:hAnsi="Figtree"/>
          <w:b w:val="0"/>
          <w:i w:val="0"/>
          <w:sz w:val="22"/>
        </w:rPr>
        <w:t xml:space="preserve">Severity: </w:t>
      </w:r>
      <w:r>
        <w:rPr>
          <w:rFonts w:ascii="Figtree" w:hAnsi="Figtree"/>
          <w:b/>
          <w:i w:val="0"/>
          <w:sz w:val="22"/>
        </w:rPr>
        <w:t>Major</w:t>
      </w:r>
      <w:r>
        <w:rPr>
          <w:rFonts w:ascii="Figtree" w:hAnsi="Figtree"/>
          <w:b w:val="0"/>
          <w:i w:val="0"/>
          <w:sz w:val="22"/>
        </w:rPr>
        <w:t xml:space="preserve"> (multiple Category 1 internal tool names exposed; one Category 5 editorial artifact)</w:t>
      </w:r>
    </w:p>
    <w:p>
      <w:pPr>
        <w:pStyle w:val="ListParagraph"/>
        <w:numPr>
          <w:ilvl w:val="0"/>
          <w:numId w:val="4"/>
        </w:numPr>
      </w:pPr>
      <w:r>
        <w:rPr>
          <w:rFonts w:ascii="Figtree" w:hAnsi="Figtree"/>
          <w:b/>
          <w:i w:val="0"/>
          <w:sz w:val="22"/>
        </w:rPr>
        <w:t>Auto-cap applied:</w:t>
      </w:r>
      <w:r>
        <w:rPr>
          <w:rFonts w:ascii="Figtree" w:hAnsi="Figtree"/>
          <w:b w:val="0"/>
          <w:i w:val="0"/>
          <w:sz w:val="22"/>
        </w:rPr>
        <w:t xml:space="preserve"> Yes — Dimension 9 capped at </w:t>
      </w:r>
      <w:r>
        <w:rPr>
          <w:rFonts w:ascii="Figtree" w:hAnsi="Figtree"/>
          <w:b/>
          <w:i w:val="0"/>
          <w:sz w:val="22"/>
        </w:rPr>
        <w:t>2</w:t>
      </w:r>
    </w:p>
    <w:p>
      <w:r>
        <w:br w:type="page"/>
      </w:r>
    </w:p>
    <w:p>
      <w:pPr>
        <w:pStyle w:val="H2"/>
        <w:numPr>
          <w:ilvl w:val="1"/>
          <w:numId w:val="1"/>
        </w:numPr>
      </w:pPr>
      <w:r>
        <w:t>Readability Assessment</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Metric</w:t>
            </w:r>
          </w:p>
        </w:tc>
        <w:tc>
          <w:tcPr>
            <w:tcW w:type="dxa" w:w="3249"/>
            <w:shd w:fill="000099" w:val="clear"/>
          </w:tcPr>
          <w:p>
            <w:r>
              <w:rPr>
                <w:b/>
                <w:color w:val="FFFFFF"/>
              </w:rPr>
            </w:r>
            <w:r>
              <w:rPr>
                <w:rFonts w:ascii="Figtree" w:hAnsi="Figtree"/>
                <w:b/>
                <w:i w:val="0"/>
                <w:color w:val="FFFFFF"/>
                <w:sz w:val="22"/>
              </w:rPr>
              <w:t>Value</w:t>
            </w:r>
          </w:p>
        </w:tc>
        <w:tc>
          <w:tcPr>
            <w:tcW w:type="dxa" w:w="3249"/>
            <w:shd w:fill="000099" w:val="clear"/>
          </w:tcPr>
          <w:p>
            <w:r>
              <w:rPr>
                <w:b/>
                <w:color w:val="FFFFFF"/>
              </w:rPr>
            </w:r>
            <w:r>
              <w:rPr>
                <w:rFonts w:ascii="Figtree" w:hAnsi="Figtree"/>
                <w:b/>
                <w:i w:val="0"/>
                <w:color w:val="FFFFFF"/>
                <w:sz w:val="22"/>
              </w:rPr>
              <w:t>Target</w:t>
            </w:r>
          </w:p>
        </w:tc>
      </w:tr>
      <w:tr>
        <w:tc>
          <w:tcPr>
            <w:tcW w:type="dxa" w:w="3249"/>
          </w:tcPr>
          <w:p>
            <w:r/>
            <w:r>
              <w:rPr>
                <w:rFonts w:ascii="Figtree" w:hAnsi="Figtree"/>
                <w:b/>
                <w:i w:val="0"/>
                <w:sz w:val="22"/>
              </w:rPr>
              <w:t>Estimated Flesch-Kincaid Grade Level</w:t>
            </w:r>
          </w:p>
        </w:tc>
        <w:tc>
          <w:tcPr>
            <w:tcW w:type="dxa" w:w="3249"/>
          </w:tcPr>
          <w:p>
            <w:r/>
            <w:r>
              <w:rPr>
                <w:rFonts w:ascii="Figtree" w:hAnsi="Figtree"/>
                <w:b w:val="0"/>
                <w:i w:val="0"/>
                <w:sz w:val="22"/>
              </w:rPr>
              <w:t>~13-14</w:t>
            </w:r>
          </w:p>
        </w:tc>
        <w:tc>
          <w:tcPr>
            <w:tcW w:type="dxa" w:w="3249"/>
          </w:tcPr>
          <w:p>
            <w:r/>
            <w:r>
              <w:rPr>
                <w:rFonts w:ascii="Figtree" w:hAnsi="Figtree"/>
                <w:b w:val="0"/>
                <w:i w:val="0"/>
                <w:sz w:val="22"/>
              </w:rPr>
              <w:t>10-14 (professional but accessible)</w:t>
            </w:r>
          </w:p>
        </w:tc>
      </w:tr>
      <w:tr>
        <w:tc>
          <w:tcPr>
            <w:tcW w:type="dxa" w:w="3249"/>
          </w:tcPr>
          <w:p>
            <w:r/>
            <w:r>
              <w:rPr>
                <w:rFonts w:ascii="Figtree" w:hAnsi="Figtree"/>
                <w:b/>
                <w:i w:val="0"/>
                <w:sz w:val="22"/>
              </w:rPr>
              <w:t>Average Sentence Length (words)</w:t>
            </w:r>
          </w:p>
        </w:tc>
        <w:tc>
          <w:tcPr>
            <w:tcW w:type="dxa" w:w="3249"/>
          </w:tcPr>
          <w:p>
            <w:r/>
            <w:r>
              <w:rPr>
                <w:rFonts w:ascii="Figtree" w:hAnsi="Figtree"/>
                <w:b w:val="0"/>
                <w:i w:val="0"/>
                <w:sz w:val="22"/>
              </w:rPr>
              <w:t>~22-26</w:t>
            </w:r>
          </w:p>
        </w:tc>
        <w:tc>
          <w:tcPr>
            <w:tcW w:type="dxa" w:w="3249"/>
          </w:tcPr>
          <w:p>
            <w:r/>
            <w:r>
              <w:rPr>
                <w:rFonts w:ascii="Figtree" w:hAnsi="Figtree"/>
                <w:b w:val="0"/>
                <w:i w:val="0"/>
                <w:sz w:val="22"/>
              </w:rPr>
              <w:t>15-25</w:t>
            </w:r>
          </w:p>
        </w:tc>
      </w:tr>
      <w:tr>
        <w:tc>
          <w:tcPr>
            <w:tcW w:type="dxa" w:w="3249"/>
          </w:tcPr>
          <w:p>
            <w:r/>
            <w:r>
              <w:rPr>
                <w:rFonts w:ascii="Figtree" w:hAnsi="Figtree"/>
                <w:b/>
                <w:i w:val="0"/>
                <w:sz w:val="22"/>
              </w:rPr>
              <w:t>Longest Sentence (words)</w:t>
            </w:r>
          </w:p>
        </w:tc>
        <w:tc>
          <w:tcPr>
            <w:tcW w:type="dxa" w:w="3249"/>
          </w:tcPr>
          <w:p>
            <w:r/>
            <w:r>
              <w:rPr>
                <w:rFonts w:ascii="Figtree" w:hAnsi="Figtree"/>
                <w:b w:val="0"/>
                <w:i w:val="0"/>
                <w:sz w:val="22"/>
              </w:rPr>
              <w:t>~55 (Issuance pillar description)</w:t>
            </w:r>
          </w:p>
        </w:tc>
        <w:tc>
          <w:tcPr>
            <w:tcW w:type="dxa" w:w="3249"/>
          </w:tcPr>
          <w:p>
            <w:r/>
            <w:r>
              <w:rPr>
                <w:rFonts w:ascii="Figtree" w:hAnsi="Figtree"/>
                <w:b w:val="0"/>
                <w:i w:val="0"/>
                <w:sz w:val="22"/>
              </w:rPr>
              <w:t>&lt; 40</w:t>
            </w:r>
          </w:p>
        </w:tc>
      </w:tr>
      <w:tr>
        <w:tc>
          <w:tcPr>
            <w:tcW w:type="dxa" w:w="3249"/>
          </w:tcPr>
          <w:p>
            <w:r/>
            <w:r>
              <w:rPr>
                <w:rFonts w:ascii="Figtree" w:hAnsi="Figtree"/>
                <w:b/>
                <w:i w:val="0"/>
                <w:sz w:val="22"/>
              </w:rPr>
              <w:t>Passive Voice Frequency</w:t>
            </w:r>
          </w:p>
        </w:tc>
        <w:tc>
          <w:tcPr>
            <w:tcW w:type="dxa" w:w="3249"/>
          </w:tcPr>
          <w:p>
            <w:r/>
            <w:r>
              <w:rPr>
                <w:rFonts w:ascii="Figtree" w:hAnsi="Figtree"/>
                <w:b w:val="0"/>
                <w:i w:val="0"/>
                <w:sz w:val="22"/>
              </w:rPr>
              <w:t>~12-15%</w:t>
            </w:r>
          </w:p>
        </w:tc>
        <w:tc>
          <w:tcPr>
            <w:tcW w:type="dxa" w:w="3249"/>
          </w:tcPr>
          <w:p>
            <w:r/>
            <w:r>
              <w:rPr>
                <w:rFonts w:ascii="Figtree" w:hAnsi="Figtree"/>
                <w:b w:val="0"/>
                <w:i w:val="0"/>
                <w:sz w:val="22"/>
              </w:rPr>
              <w:t>&lt; 20% of sentences</w:t>
            </w:r>
          </w:p>
        </w:tc>
      </w:tr>
      <w:tr>
        <w:tc>
          <w:tcPr>
            <w:tcW w:type="dxa" w:w="3249"/>
          </w:tcPr>
          <w:p>
            <w:r/>
            <w:r>
              <w:rPr>
                <w:rFonts w:ascii="Figtree" w:hAnsi="Figtree"/>
                <w:b/>
                <w:i w:val="0"/>
                <w:sz w:val="22"/>
              </w:rPr>
              <w:t>Jargon Density</w:t>
            </w:r>
          </w:p>
        </w:tc>
        <w:tc>
          <w:tcPr>
            <w:tcW w:type="dxa" w:w="3249"/>
          </w:tcPr>
          <w:p>
            <w:r/>
            <w:r>
              <w:rPr>
                <w:rFonts w:ascii="Figtree" w:hAnsi="Figtree"/>
                <w:b w:val="0"/>
                <w:i w:val="0"/>
                <w:sz w:val="22"/>
              </w:rPr>
              <w:t>Medium-High</w:t>
            </w:r>
          </w:p>
        </w:tc>
        <w:tc>
          <w:tcPr>
            <w:tcW w:type="dxa" w:w="3249"/>
          </w:tcPr>
          <w:p>
            <w:r/>
            <w:r>
              <w:rPr>
                <w:rFonts w:ascii="Figtree" w:hAnsi="Figtree"/>
                <w:b w:val="0"/>
                <w:i w:val="0"/>
                <w:sz w:val="22"/>
              </w:rPr>
              <w:t>Low-Medium</w:t>
            </w:r>
          </w:p>
        </w:tc>
      </w:tr>
    </w:tbl>
    <w:p>
      <w:r>
        <w:rPr>
          <w:rFonts w:ascii="Figtree" w:hAnsi="Figtree"/>
          <w:b/>
          <w:i w:val="0"/>
          <w:sz w:val="22"/>
        </w:rPr>
        <w:t>Observations:</w:t>
      </w:r>
    </w:p>
    <w:p>
      <w:r>
        <w:rPr>
          <w:rFonts w:ascii="Figtree" w:hAnsi="Figtree"/>
          <w:b w:val="0"/>
          <w:i w:val="0"/>
          <w:sz w:val="22"/>
        </w:rPr>
        <w:t>&gt; The prose is generally professional and accessible. Active voice dominates. Sentence variety is adequate, though some capability description sentences run very long (the Issuance and Settlement pillar descriptions contain sentences exceeding 40 words). Jargon density is medium-high due to blockchain-specific terminology (PBFT, UUPS, CREATE2, HTLC, MPC), though most terms are explained on or near first use. The document reads well for a technical audience but would challenge a non-technical business sponsor in the Architecture and Compliance Architecture sections. Voice consistency is strong throughout, suggesting disciplined editorial production.</w:t>
      </w:r>
    </w:p>
    <w:p>
      <w:r>
        <w:br w:type="page"/>
      </w:r>
    </w:p>
    <w:p>
      <w:pPr>
        <w:pStyle w:val="H2"/>
        <w:numPr>
          <w:ilvl w:val="1"/>
          <w:numId w:val="1"/>
        </w:numPr>
      </w:pPr>
      <w:r>
        <w:t>Verdict</w:t>
      </w:r>
    </w:p>
    <w:p>
      <w:pPr>
        <w:pStyle w:val="H3"/>
        <w:numPr>
          <w:ilvl w:val="2"/>
          <w:numId w:val="1"/>
        </w:numPr>
      </w:pPr>
      <w:r>
        <w:t>Would you shortlist this vendor?</w:t>
      </w:r>
    </w:p>
    <w:p>
      <w:r>
        <w:rPr>
          <w:rFonts w:ascii="Figtree" w:hAnsi="Figtree"/>
          <w:b/>
          <w:i w:val="0"/>
          <w:sz w:val="22"/>
        </w:rPr>
        <w:t>☑ Yes, with reservations</w:t>
      </w:r>
      <w:r>
        <w:rPr>
          <w:rFonts w:ascii="Figtree" w:hAnsi="Figtree"/>
          <w:b w:val="0"/>
          <w:i w:val="0"/>
          <w:sz w:val="22"/>
        </w:rPr>
        <w:t xml:space="preserve"> — Competitive proposal but specific issues must be resolved before submission.</w:t>
      </w:r>
    </w:p>
    <w:p>
      <w:r>
        <w:rPr>
          <w:rFonts w:ascii="Figtree" w:hAnsi="Figtree"/>
          <w:b w:val="0"/>
          <w:i w:val="0"/>
          <w:sz w:val="22"/>
        </w:rPr>
        <w:t>Issues that must be resolved:</w:t>
      </w:r>
    </w:p>
    <w:p>
      <w:pPr>
        <w:pStyle w:val="ListParagraph"/>
        <w:numPr>
          <w:ilvl w:val="0"/>
          <w:numId w:val="7"/>
        </w:numPr>
      </w:pPr>
      <w:r>
        <w:rPr>
          <w:rFonts w:ascii="Figtree" w:hAnsi="Figtree"/>
          <w:b w:val="0"/>
          <w:i w:val="0"/>
          <w:sz w:val="22"/>
        </w:rPr>
        <w:t>Remove `[TO VERIFY]` marker (blocker)</w:t>
      </w:r>
    </w:p>
    <w:p>
      <w:pPr>
        <w:pStyle w:val="ListParagraph"/>
        <w:numPr>
          <w:ilvl w:val="0"/>
          <w:numId w:val="7"/>
        </w:numPr>
      </w:pPr>
      <w:r>
        <w:rPr>
          <w:rFonts w:ascii="Figtree" w:hAnsi="Figtree"/>
          <w:b w:val="0"/>
          <w:i w:val="0"/>
          <w:sz w:val="22"/>
        </w:rPr>
        <w:t>Fix all IP violations (replace named tools with category descriptions)</w:t>
      </w:r>
    </w:p>
    <w:p>
      <w:pPr>
        <w:pStyle w:val="ListParagraph"/>
        <w:numPr>
          <w:ilvl w:val="0"/>
          <w:numId w:val="7"/>
        </w:numPr>
      </w:pPr>
      <w:r>
        <w:rPr>
          <w:rFonts w:ascii="Figtree" w:hAnsi="Figtree"/>
          <w:b w:val="0"/>
          <w:i w:val="0"/>
          <w:sz w:val="22"/>
        </w:rPr>
        <w:t>Reconcile compliance module count (18 vs. 12)</w:t>
      </w:r>
    </w:p>
    <w:p>
      <w:pPr>
        <w:pStyle w:val="ListParagraph"/>
        <w:numPr>
          <w:ilvl w:val="0"/>
          <w:numId w:val="7"/>
        </w:numPr>
      </w:pPr>
      <w:r>
        <w:rPr>
          <w:rFonts w:ascii="Figtree" w:hAnsi="Figtree"/>
          <w:b w:val="0"/>
          <w:i w:val="0"/>
          <w:sz w:val="22"/>
        </w:rPr>
        <w:t>Remove Writer's Checklist from client-facing document</w:t>
      </w:r>
    </w:p>
    <w:p>
      <w:pPr>
        <w:pStyle w:val="ListParagraph"/>
        <w:numPr>
          <w:ilvl w:val="0"/>
          <w:numId w:val="7"/>
        </w:numPr>
      </w:pPr>
      <w:r>
        <w:rPr>
          <w:rFonts w:ascii="Figtree" w:hAnsi="Figtree"/>
          <w:b w:val="0"/>
          <w:i w:val="0"/>
          <w:sz w:val="22"/>
        </w:rPr>
        <w:t>Merge duplicate Implementation and Support sections</w:t>
      </w:r>
    </w:p>
    <w:p>
      <w:pPr>
        <w:pStyle w:val="H3"/>
        <w:numPr>
          <w:ilvl w:val="2"/>
          <w:numId w:val="1"/>
        </w:numPr>
      </w:pPr>
      <w:r>
        <w:t>Reasoning</w:t>
      </w:r>
    </w:p>
    <w:p>
      <w:r>
        <w:rPr>
          <w:rFonts w:ascii="Figtree" w:hAnsi="Figtree"/>
          <w:b w:val="0"/>
          <w:i w:val="0"/>
          <w:sz w:val="22"/>
        </w:rPr>
        <w:t>&gt; This proposal demonstrates genuine product depth, strong regional references, clean writing discipline, and a credible compliance architecture. The Saudi Arabia RER and ADI Finstreet references alone make SettleMint a serious contender for Emirates NBD. The compliance module catalog is the kind of concrete, typed, production-evidenced detail that gives technical assessors confidence. However, the IP violations (20+ named internal tools) are a serious control failure that would concern risk and legal readers, and the `[TO VERIFY]` marker is an editorial blocker that must not reach the client. The duplicate implementation sections and all-green capability table weaken structural discipline and credibility respectively. Against 3-5 competing proposals, this would survive an initial screen but would lose points on honesty (all-green table), structure (duplicates), and IP control. With the fixes listed above, this becomes a strong 38-40/50 proposal.</w:t>
      </w:r>
    </w:p>
    <w:p>
      <w:r>
        <w:br w:type="page"/>
      </w:r>
    </w:p>
    <w:p>
      <w:pPr>
        <w:pStyle w:val="H2"/>
        <w:numPr>
          <w:ilvl w:val="1"/>
          <w:numId w:val="1"/>
        </w:numPr>
      </w:pPr>
      <w:r>
        <w:t>Revision Priority</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Priority</w:t>
            </w:r>
          </w:p>
        </w:tc>
        <w:tc>
          <w:tcPr>
            <w:tcW w:type="dxa" w:w="3249"/>
            <w:shd w:fill="000099" w:val="clear"/>
          </w:tcPr>
          <w:p>
            <w:r>
              <w:rPr>
                <w:b/>
                <w:color w:val="FFFFFF"/>
              </w:rPr>
            </w:r>
            <w:r>
              <w:rPr>
                <w:rFonts w:ascii="Figtree" w:hAnsi="Figtree"/>
                <w:b/>
                <w:i w:val="0"/>
                <w:color w:val="FFFFFF"/>
                <w:sz w:val="22"/>
              </w:rPr>
              <w:t>Action</w:t>
            </w:r>
          </w:p>
        </w:tc>
        <w:tc>
          <w:tcPr>
            <w:tcW w:type="dxa" w:w="3249"/>
            <w:shd w:fill="000099" w:val="clear"/>
          </w:tcPr>
          <w:p>
            <w:r>
              <w:rPr>
                <w:b/>
                <w:color w:val="FFFFFF"/>
              </w:rPr>
            </w:r>
            <w:r>
              <w:rPr>
                <w:rFonts w:ascii="Figtree" w:hAnsi="Figtree"/>
                <w:b/>
                <w:i w:val="0"/>
                <w:color w:val="FFFFFF"/>
                <w:sz w:val="22"/>
              </w:rPr>
              <w:t>Estimated Effort</w:t>
            </w:r>
          </w:p>
        </w:tc>
      </w:tr>
      <w:tr>
        <w:tc>
          <w:tcPr>
            <w:tcW w:type="dxa" w:w="3249"/>
          </w:tcPr>
          <w:p>
            <w:r/>
            <w:r>
              <w:rPr>
                <w:rFonts w:ascii="Figtree" w:hAnsi="Figtree"/>
                <w:b w:val="0"/>
                <w:i w:val="0"/>
                <w:sz w:val="22"/>
              </w:rPr>
              <w:t>P0 (blocker)</w:t>
            </w:r>
          </w:p>
        </w:tc>
        <w:tc>
          <w:tcPr>
            <w:tcW w:type="dxa" w:w="3249"/>
          </w:tcPr>
          <w:p>
            <w:r/>
            <w:r>
              <w:rPr>
                <w:rFonts w:ascii="Figtree" w:hAnsi="Figtree"/>
                <w:b w:val="0"/>
                <w:i w:val="0"/>
                <w:sz w:val="22"/>
              </w:rPr>
              <w:t>Remove `[TO VERIFY]` marker from Saudi Arabia reference</w:t>
            </w:r>
          </w:p>
        </w:tc>
        <w:tc>
          <w:tcPr>
            <w:tcW w:type="dxa" w:w="3249"/>
          </w:tcPr>
          <w:p>
            <w:r/>
            <w:r>
              <w:rPr>
                <w:rFonts w:ascii="Figtree" w:hAnsi="Figtree"/>
                <w:b w:val="0"/>
                <w:i w:val="0"/>
                <w:sz w:val="22"/>
              </w:rPr>
              <w:t>5 minutes</w:t>
            </w:r>
          </w:p>
        </w:tc>
      </w:tr>
      <w:tr>
        <w:tc>
          <w:tcPr>
            <w:tcW w:type="dxa" w:w="3249"/>
          </w:tcPr>
          <w:p>
            <w:r/>
            <w:r>
              <w:rPr>
                <w:rFonts w:ascii="Figtree" w:hAnsi="Figtree"/>
                <w:b w:val="0"/>
                <w:i w:val="0"/>
                <w:sz w:val="22"/>
              </w:rPr>
              <w:t>P0 (blocker)</w:t>
            </w:r>
          </w:p>
        </w:tc>
        <w:tc>
          <w:tcPr>
            <w:tcW w:type="dxa" w:w="3249"/>
          </w:tcPr>
          <w:p>
            <w:r/>
            <w:r>
              <w:rPr>
                <w:rFonts w:ascii="Figtree" w:hAnsi="Figtree"/>
                <w:b w:val="0"/>
                <w:i w:val="0"/>
                <w:sz w:val="22"/>
              </w:rPr>
              <w:t>Remove Writer's Checklist section from client-facing document</w:t>
            </w:r>
          </w:p>
        </w:tc>
        <w:tc>
          <w:tcPr>
            <w:tcW w:type="dxa" w:w="3249"/>
          </w:tcPr>
          <w:p>
            <w:r/>
            <w:r>
              <w:rPr>
                <w:rFonts w:ascii="Figtree" w:hAnsi="Figtree"/>
                <w:b w:val="0"/>
                <w:i w:val="0"/>
                <w:sz w:val="22"/>
              </w:rPr>
              <w:t>5 minutes</w:t>
            </w:r>
          </w:p>
        </w:tc>
      </w:tr>
      <w:tr>
        <w:tc>
          <w:tcPr>
            <w:tcW w:type="dxa" w:w="3249"/>
          </w:tcPr>
          <w:p>
            <w:r/>
            <w:r>
              <w:rPr>
                <w:rFonts w:ascii="Figtree" w:hAnsi="Figtree"/>
                <w:b w:val="0"/>
                <w:i w:val="0"/>
                <w:sz w:val="22"/>
              </w:rPr>
              <w:t>P0 (blocker)</w:t>
            </w:r>
          </w:p>
        </w:tc>
        <w:tc>
          <w:tcPr>
            <w:tcW w:type="dxa" w:w="3249"/>
          </w:tcPr>
          <w:p>
            <w:r/>
            <w:r>
              <w:rPr>
                <w:rFonts w:ascii="Figtree" w:hAnsi="Figtree"/>
                <w:b w:val="0"/>
                <w:i w:val="0"/>
                <w:sz w:val="22"/>
              </w:rPr>
              <w:t>Replace all named third-party tools (Grafana, Loki, VictoriaMetrics, Tempo, OpenTelemetry, Velero, CloudNativePG, Terraform) with category descriptions</w:t>
            </w:r>
          </w:p>
        </w:tc>
        <w:tc>
          <w:tcPr>
            <w:tcW w:type="dxa" w:w="3249"/>
          </w:tcPr>
          <w:p>
            <w:r/>
            <w:r>
              <w:rPr>
                <w:rFonts w:ascii="Figtree" w:hAnsi="Figtree"/>
                <w:b w:val="0"/>
                <w:i w:val="0"/>
                <w:sz w:val="22"/>
              </w:rPr>
              <w:t>30 minutes</w:t>
            </w:r>
          </w:p>
        </w:tc>
      </w:tr>
      <w:tr>
        <w:tc>
          <w:tcPr>
            <w:tcW w:type="dxa" w:w="3249"/>
          </w:tcPr>
          <w:p>
            <w:r/>
            <w:r>
              <w:rPr>
                <w:rFonts w:ascii="Figtree" w:hAnsi="Figtree"/>
                <w:b w:val="0"/>
                <w:i w:val="0"/>
                <w:sz w:val="22"/>
              </w:rPr>
              <w:t>P1 (high)</w:t>
            </w:r>
          </w:p>
        </w:tc>
        <w:tc>
          <w:tcPr>
            <w:tcW w:type="dxa" w:w="3249"/>
          </w:tcPr>
          <w:p>
            <w:r/>
            <w:r>
              <w:rPr>
                <w:rFonts w:ascii="Figtree" w:hAnsi="Figtree"/>
                <w:b w:val="0"/>
                <w:i w:val="0"/>
                <w:sz w:val="22"/>
              </w:rPr>
              <w:t>Reconcile compliance module count (18 vs. 12) across all sections</w:t>
            </w:r>
          </w:p>
        </w:tc>
        <w:tc>
          <w:tcPr>
            <w:tcW w:type="dxa" w:w="3249"/>
          </w:tcPr>
          <w:p>
            <w:r/>
            <w:r>
              <w:rPr>
                <w:rFonts w:ascii="Figtree" w:hAnsi="Figtree"/>
                <w:b w:val="0"/>
                <w:i w:val="0"/>
                <w:sz w:val="22"/>
              </w:rPr>
              <w:t>30 minutes</w:t>
            </w:r>
          </w:p>
        </w:tc>
      </w:tr>
      <w:tr>
        <w:tc>
          <w:tcPr>
            <w:tcW w:type="dxa" w:w="3249"/>
          </w:tcPr>
          <w:p>
            <w:r/>
            <w:r>
              <w:rPr>
                <w:rFonts w:ascii="Figtree" w:hAnsi="Figtree"/>
                <w:b w:val="0"/>
                <w:i w:val="0"/>
                <w:sz w:val="22"/>
              </w:rPr>
              <w:t>P1 (high)</w:t>
            </w:r>
          </w:p>
        </w:tc>
        <w:tc>
          <w:tcPr>
            <w:tcW w:type="dxa" w:w="3249"/>
          </w:tcPr>
          <w:p>
            <w:r/>
            <w:r>
              <w:rPr>
                <w:rFonts w:ascii="Figtree" w:hAnsi="Figtree"/>
                <w:b w:val="0"/>
                <w:i w:val="0"/>
                <w:sz w:val="22"/>
              </w:rPr>
              <w:t>Merge duplicate Implementation sections into one</w:t>
            </w:r>
          </w:p>
        </w:tc>
        <w:tc>
          <w:tcPr>
            <w:tcW w:type="dxa" w:w="3249"/>
          </w:tcPr>
          <w:p>
            <w:r/>
            <w:r>
              <w:rPr>
                <w:rFonts w:ascii="Figtree" w:hAnsi="Figtree"/>
                <w:b w:val="0"/>
                <w:i w:val="0"/>
                <w:sz w:val="22"/>
              </w:rPr>
              <w:t>1-2 hours</w:t>
            </w:r>
          </w:p>
        </w:tc>
      </w:tr>
      <w:tr>
        <w:tc>
          <w:tcPr>
            <w:tcW w:type="dxa" w:w="3249"/>
          </w:tcPr>
          <w:p>
            <w:r/>
            <w:r>
              <w:rPr>
                <w:rFonts w:ascii="Figtree" w:hAnsi="Figtree"/>
                <w:b w:val="0"/>
                <w:i w:val="0"/>
                <w:sz w:val="22"/>
              </w:rPr>
              <w:t>P1 (high)</w:t>
            </w:r>
          </w:p>
        </w:tc>
        <w:tc>
          <w:tcPr>
            <w:tcW w:type="dxa" w:w="3249"/>
          </w:tcPr>
          <w:p>
            <w:r/>
            <w:r>
              <w:rPr>
                <w:rFonts w:ascii="Figtree" w:hAnsi="Figtree"/>
                <w:b w:val="0"/>
                <w:i w:val="0"/>
                <w:sz w:val="22"/>
              </w:rPr>
              <w:t>Merge duplicate Support sections into one</w:t>
            </w:r>
          </w:p>
        </w:tc>
        <w:tc>
          <w:tcPr>
            <w:tcW w:type="dxa" w:w="3249"/>
          </w:tcPr>
          <w:p>
            <w:r/>
            <w:r>
              <w:rPr>
                <w:rFonts w:ascii="Figtree" w:hAnsi="Figtree"/>
                <w:b w:val="0"/>
                <w:i w:val="0"/>
                <w:sz w:val="22"/>
              </w:rPr>
              <w:t>30 minutes</w:t>
            </w:r>
          </w:p>
        </w:tc>
      </w:tr>
      <w:tr>
        <w:tc>
          <w:tcPr>
            <w:tcW w:type="dxa" w:w="3249"/>
          </w:tcPr>
          <w:p>
            <w:r/>
            <w:r>
              <w:rPr>
                <w:rFonts w:ascii="Figtree" w:hAnsi="Figtree"/>
                <w:b w:val="0"/>
                <w:i w:val="0"/>
                <w:sz w:val="22"/>
              </w:rPr>
              <w:t>P1 (high)</w:t>
            </w:r>
          </w:p>
        </w:tc>
        <w:tc>
          <w:tcPr>
            <w:tcW w:type="dxa" w:w="3249"/>
          </w:tcPr>
          <w:p>
            <w:r/>
            <w:r>
              <w:rPr>
                <w:rFonts w:ascii="Figtree" w:hAnsi="Figtree"/>
                <w:b w:val="0"/>
                <w:i w:val="0"/>
                <w:sz w:val="22"/>
              </w:rPr>
              <w:t>Add "Partial" or "Configuration Required" entries to Functional Fit Table</w:t>
            </w:r>
          </w:p>
        </w:tc>
        <w:tc>
          <w:tcPr>
            <w:tcW w:type="dxa" w:w="3249"/>
          </w:tcPr>
          <w:p>
            <w:r/>
            <w:r>
              <w:rPr>
                <w:rFonts w:ascii="Figtree" w:hAnsi="Figtree"/>
                <w:b w:val="0"/>
                <w:i w:val="0"/>
                <w:sz w:val="22"/>
              </w:rPr>
              <w:t>30 minutes</w:t>
            </w:r>
          </w:p>
        </w:tc>
      </w:tr>
      <w:tr>
        <w:tc>
          <w:tcPr>
            <w:tcW w:type="dxa" w:w="3249"/>
          </w:tcPr>
          <w:p>
            <w:r/>
            <w:r>
              <w:rPr>
                <w:rFonts w:ascii="Figtree" w:hAnsi="Figtree"/>
                <w:b w:val="0"/>
                <w:i w:val="0"/>
                <w:sz w:val="22"/>
              </w:rPr>
              <w:t>P2 (medium)</w:t>
            </w:r>
          </w:p>
        </w:tc>
        <w:tc>
          <w:tcPr>
            <w:tcW w:type="dxa" w:w="3249"/>
          </w:tcPr>
          <w:p>
            <w:r/>
            <w:r>
              <w:rPr>
                <w:rFonts w:ascii="Figtree" w:hAnsi="Figtree"/>
                <w:b w:val="0"/>
                <w:i w:val="0"/>
                <w:sz w:val="22"/>
              </w:rPr>
              <w:t>Add a Gaps and Roadmap section honouring the "Operational realism" principle</w:t>
            </w:r>
          </w:p>
        </w:tc>
        <w:tc>
          <w:tcPr>
            <w:tcW w:type="dxa" w:w="3249"/>
          </w:tcPr>
          <w:p>
            <w:r/>
            <w:r>
              <w:rPr>
                <w:rFonts w:ascii="Figtree" w:hAnsi="Figtree"/>
                <w:b w:val="0"/>
                <w:i w:val="0"/>
                <w:sz w:val="22"/>
              </w:rPr>
              <w:t>1 hour</w:t>
            </w:r>
          </w:p>
        </w:tc>
      </w:tr>
      <w:tr>
        <w:tc>
          <w:tcPr>
            <w:tcW w:type="dxa" w:w="3249"/>
          </w:tcPr>
          <w:p>
            <w:r/>
            <w:r>
              <w:rPr>
                <w:rFonts w:ascii="Figtree" w:hAnsi="Figtree"/>
                <w:b w:val="0"/>
                <w:i w:val="0"/>
                <w:sz w:val="22"/>
              </w:rPr>
              <w:t>P2 (medium)</w:t>
            </w:r>
          </w:p>
        </w:tc>
        <w:tc>
          <w:tcPr>
            <w:tcW w:type="dxa" w:w="3249"/>
          </w:tcPr>
          <w:p>
            <w:r/>
            <w:r>
              <w:rPr>
                <w:rFonts w:ascii="Figtree" w:hAnsi="Figtree"/>
                <w:b w:val="0"/>
                <w:i w:val="0"/>
                <w:sz w:val="22"/>
              </w:rPr>
              <w:t>Add performance benchmarks to Technical Architecture section</w:t>
            </w:r>
          </w:p>
        </w:tc>
        <w:tc>
          <w:tcPr>
            <w:tcW w:type="dxa" w:w="3249"/>
          </w:tcPr>
          <w:p>
            <w:r/>
            <w:r>
              <w:rPr>
                <w:rFonts w:ascii="Figtree" w:hAnsi="Figtree"/>
                <w:b w:val="0"/>
                <w:i w:val="0"/>
                <w:sz w:val="22"/>
              </w:rPr>
              <w:t>1 hour</w:t>
            </w:r>
          </w:p>
        </w:tc>
      </w:tr>
      <w:tr>
        <w:tc>
          <w:tcPr>
            <w:tcW w:type="dxa" w:w="3249"/>
          </w:tcPr>
          <w:p>
            <w:r/>
            <w:r>
              <w:rPr>
                <w:rFonts w:ascii="Figtree" w:hAnsi="Figtree"/>
                <w:b w:val="0"/>
                <w:i w:val="0"/>
                <w:sz w:val="22"/>
              </w:rPr>
              <w:t>P2 (medium)</w:t>
            </w:r>
          </w:p>
        </w:tc>
        <w:tc>
          <w:tcPr>
            <w:tcW w:type="dxa" w:w="3249"/>
          </w:tcPr>
          <w:p>
            <w:r/>
            <w:r>
              <w:rPr>
                <w:rFonts w:ascii="Figtree" w:hAnsi="Figtree"/>
                <w:b w:val="0"/>
                <w:i w:val="0"/>
                <w:sz w:val="22"/>
              </w:rPr>
              <w:t>Add an Emirates NBD-specific integration architecture diagram</w:t>
            </w:r>
          </w:p>
        </w:tc>
        <w:tc>
          <w:tcPr>
            <w:tcW w:type="dxa" w:w="3249"/>
          </w:tcPr>
          <w:p>
            <w:r/>
            <w:r>
              <w:rPr>
                <w:rFonts w:ascii="Figtree" w:hAnsi="Figtree"/>
                <w:b w:val="0"/>
                <w:i w:val="0"/>
                <w:sz w:val="22"/>
              </w:rPr>
              <w:t>1-2 hours</w:t>
            </w:r>
          </w:p>
        </w:tc>
      </w:tr>
      <w:tr>
        <w:tc>
          <w:tcPr>
            <w:tcW w:type="dxa" w:w="3249"/>
          </w:tcPr>
          <w:p>
            <w:r/>
            <w:r>
              <w:rPr>
                <w:rFonts w:ascii="Figtree" w:hAnsi="Figtree"/>
                <w:b w:val="0"/>
                <w:i w:val="0"/>
                <w:sz w:val="22"/>
              </w:rPr>
              <w:t>P2 (medium)</w:t>
            </w:r>
          </w:p>
        </w:tc>
        <w:tc>
          <w:tcPr>
            <w:tcW w:type="dxa" w:w="3249"/>
          </w:tcPr>
          <w:p>
            <w:r/>
            <w:r>
              <w:rPr>
                <w:rFonts w:ascii="Figtree" w:hAnsi="Figtree"/>
                <w:b w:val="0"/>
                <w:i w:val="0"/>
                <w:sz w:val="22"/>
              </w:rPr>
              <w:t>Reduce About DALP section by 30-40% and add Emirates NBD context</w:t>
            </w:r>
          </w:p>
        </w:tc>
        <w:tc>
          <w:tcPr>
            <w:tcW w:type="dxa" w:w="3249"/>
          </w:tcPr>
          <w:p>
            <w:r/>
            <w:r>
              <w:rPr>
                <w:rFonts w:ascii="Figtree" w:hAnsi="Figtree"/>
                <w:b w:val="0"/>
                <w:i w:val="0"/>
                <w:sz w:val="22"/>
              </w:rPr>
              <w:t>1-2 hours</w:t>
            </w:r>
          </w:p>
        </w:tc>
      </w:tr>
      <w:tr>
        <w:tc>
          <w:tcPr>
            <w:tcW w:type="dxa" w:w="3249"/>
          </w:tcPr>
          <w:p>
            <w:r/>
            <w:r>
              <w:rPr>
                <w:rFonts w:ascii="Figtree" w:hAnsi="Figtree"/>
                <w:b w:val="0"/>
                <w:i w:val="0"/>
                <w:sz w:val="22"/>
              </w:rPr>
              <w:t>P2 (medium)</w:t>
            </w:r>
          </w:p>
        </w:tc>
        <w:tc>
          <w:tcPr>
            <w:tcW w:type="dxa" w:w="3249"/>
          </w:tcPr>
          <w:p>
            <w:r/>
            <w:r>
              <w:rPr>
                <w:rFonts w:ascii="Figtree" w:hAnsi="Figtree"/>
                <w:b w:val="0"/>
                <w:i w:val="0"/>
                <w:sz w:val="22"/>
              </w:rPr>
              <w:t>Deduplicate reference table (Commerzbank x2, Islamic Development Bank x2)</w:t>
            </w:r>
          </w:p>
        </w:tc>
        <w:tc>
          <w:tcPr>
            <w:tcW w:type="dxa" w:w="3249"/>
          </w:tcPr>
          <w:p>
            <w:r/>
            <w:r>
              <w:rPr>
                <w:rFonts w:ascii="Figtree" w:hAnsi="Figtree"/>
                <w:b w:val="0"/>
                <w:i w:val="0"/>
                <w:sz w:val="22"/>
              </w:rPr>
              <w:t>15 minutes</w:t>
            </w:r>
          </w:p>
        </w:tc>
      </w:tr>
      <w:tr>
        <w:tc>
          <w:tcPr>
            <w:tcW w:type="dxa" w:w="3249"/>
          </w:tcPr>
          <w:p>
            <w:r/>
            <w:r>
              <w:rPr>
                <w:rFonts w:ascii="Figtree" w:hAnsi="Figtree"/>
                <w:b w:val="0"/>
                <w:i w:val="0"/>
                <w:sz w:val="22"/>
              </w:rPr>
              <w:t>P3 (nice-to-have)</w:t>
            </w:r>
          </w:p>
        </w:tc>
        <w:tc>
          <w:tcPr>
            <w:tcW w:type="dxa" w:w="3249"/>
          </w:tcPr>
          <w:p>
            <w:r/>
            <w:r>
              <w:rPr>
                <w:rFonts w:ascii="Figtree" w:hAnsi="Figtree"/>
                <w:b w:val="0"/>
                <w:i w:val="0"/>
                <w:sz w:val="22"/>
              </w:rPr>
              <w:t>Add Sony Bank expanded reference for stablecoin evidence</w:t>
            </w:r>
          </w:p>
        </w:tc>
        <w:tc>
          <w:tcPr>
            <w:tcW w:type="dxa" w:w="3249"/>
          </w:tcPr>
          <w:p>
            <w:r/>
            <w:r>
              <w:rPr>
                <w:rFonts w:ascii="Figtree" w:hAnsi="Figtree"/>
                <w:b w:val="0"/>
                <w:i w:val="0"/>
                <w:sz w:val="22"/>
              </w:rPr>
              <w:t>30 minutes</w:t>
            </w:r>
          </w:p>
        </w:tc>
      </w:tr>
      <w:tr>
        <w:tc>
          <w:tcPr>
            <w:tcW w:type="dxa" w:w="3249"/>
          </w:tcPr>
          <w:p>
            <w:r/>
            <w:r>
              <w:rPr>
                <w:rFonts w:ascii="Figtree" w:hAnsi="Figtree"/>
                <w:b w:val="0"/>
                <w:i w:val="0"/>
                <w:sz w:val="22"/>
              </w:rPr>
              <w:t>P3 (nice-to-have)</w:t>
            </w:r>
          </w:p>
        </w:tc>
        <w:tc>
          <w:tcPr>
            <w:tcW w:type="dxa" w:w="3249"/>
          </w:tcPr>
          <w:p>
            <w:r/>
            <w:r>
              <w:rPr>
                <w:rFonts w:ascii="Figtree" w:hAnsi="Figtree"/>
                <w:b w:val="0"/>
                <w:i w:val="0"/>
                <w:sz w:val="22"/>
              </w:rPr>
              <w:t>Cut repetitive capability descriptions across Executive Summary, About DALP, and Proposed Solution</w:t>
            </w:r>
          </w:p>
        </w:tc>
        <w:tc>
          <w:tcPr>
            <w:tcW w:type="dxa" w:w="3249"/>
          </w:tcPr>
          <w:p>
            <w:r/>
            <w:r>
              <w:rPr>
                <w:rFonts w:ascii="Figtree" w:hAnsi="Figtree"/>
                <w:b w:val="0"/>
                <w:i w:val="0"/>
                <w:sz w:val="22"/>
              </w:rPr>
              <w:t>1-2 hours</w:t>
            </w:r>
          </w:p>
        </w:tc>
      </w:tr>
      <w:tr>
        <w:tc>
          <w:tcPr>
            <w:tcW w:type="dxa" w:w="3249"/>
          </w:tcPr>
          <w:p>
            <w:r/>
            <w:r>
              <w:rPr>
                <w:rFonts w:ascii="Figtree" w:hAnsi="Figtree"/>
                <w:b w:val="0"/>
                <w:i w:val="0"/>
                <w:sz w:val="22"/>
              </w:rPr>
              <w:t>P3 (nice-to-have)</w:t>
            </w:r>
          </w:p>
        </w:tc>
        <w:tc>
          <w:tcPr>
            <w:tcW w:type="dxa" w:w="3249"/>
          </w:tcPr>
          <w:p>
            <w:r/>
            <w:r>
              <w:rPr>
                <w:rFonts w:ascii="Figtree" w:hAnsi="Figtree"/>
                <w:b w:val="0"/>
                <w:i w:val="0"/>
                <w:sz w:val="22"/>
              </w:rPr>
              <w:t>Add security testing practices paragraph (pen test frequency, smart contract audits)</w:t>
            </w:r>
          </w:p>
        </w:tc>
        <w:tc>
          <w:tcPr>
            <w:tcW w:type="dxa" w:w="3249"/>
          </w:tcPr>
          <w:p>
            <w:r/>
            <w:r>
              <w:rPr>
                <w:rFonts w:ascii="Figtree" w:hAnsi="Figtree"/>
                <w:b w:val="0"/>
                <w:i w:val="0"/>
                <w:sz w:val="22"/>
              </w:rPr>
              <w:t>30 minutes</w:t>
            </w:r>
          </w:p>
        </w:tc>
      </w:tr>
      <w:tr>
        <w:tc>
          <w:tcPr>
            <w:tcW w:type="dxa" w:w="3249"/>
          </w:tcPr>
          <w:p>
            <w:r/>
            <w:r>
              <w:rPr>
                <w:rFonts w:ascii="Figtree" w:hAnsi="Figtree"/>
                <w:b w:val="0"/>
                <w:i w:val="0"/>
                <w:sz w:val="22"/>
              </w:rPr>
              <w:t>P3 (nice-to-have)</w:t>
            </w:r>
          </w:p>
        </w:tc>
        <w:tc>
          <w:tcPr>
            <w:tcW w:type="dxa" w:w="3249"/>
          </w:tcPr>
          <w:p>
            <w:r/>
            <w:r>
              <w:rPr>
                <w:rFonts w:ascii="Figtree" w:hAnsi="Figtree"/>
                <w:b w:val="0"/>
                <w:i w:val="0"/>
                <w:sz w:val="22"/>
              </w:rPr>
              <w:t>Rewrite Company Overview opening paragraph to lead with facts, not category claims</w:t>
            </w:r>
          </w:p>
        </w:tc>
        <w:tc>
          <w:tcPr>
            <w:tcW w:type="dxa" w:w="3249"/>
          </w:tcPr>
          <w:p>
            <w:r/>
            <w:r>
              <w:rPr>
                <w:rFonts w:ascii="Figtree" w:hAnsi="Figtree"/>
                <w:b w:val="0"/>
                <w:i w:val="0"/>
                <w:sz w:val="22"/>
              </w:rPr>
              <w:t>15 minutes</w:t>
            </w:r>
          </w:p>
        </w:tc>
      </w:tr>
    </w:tbl>
    <w:p>
      <w:r>
        <w:br w:type="page"/>
      </w:r>
    </w:p>
    <w:p>
      <w:pPr>
        <w:pStyle w:val="H2"/>
        <w:numPr>
          <w:ilvl w:val="1"/>
          <w:numId w:val="1"/>
        </w:numPr>
      </w:pPr>
      <w:r>
        <w:t>TOP 10 Most Impactful Fixes (Priority Order)</w:t>
      </w:r>
    </w:p>
    <w:p>
      <w:pPr>
        <w:pStyle w:val="ListParagraph"/>
        <w:numPr>
          <w:ilvl w:val="0"/>
          <w:numId w:val="8"/>
        </w:numPr>
      </w:pPr>
      <w:r>
        <w:rPr>
          <w:rFonts w:ascii="Figtree" w:hAnsi="Figtree"/>
          <w:b/>
          <w:i w:val="0"/>
          <w:sz w:val="22"/>
        </w:rPr>
        <w:t>Remove `[TO VERIFY]` marker</w:t>
      </w:r>
      <w:r>
        <w:rPr>
          <w:rFonts w:ascii="Figtree" w:hAnsi="Figtree"/>
          <w:b w:val="0"/>
          <w:i w:val="0"/>
          <w:sz w:val="22"/>
        </w:rPr>
        <w:t xml:space="preserve"> — Blocker. Humiliating if it reaches the client. 5 minutes to fix.</w:t>
      </w:r>
    </w:p>
    <w:p>
      <w:pPr>
        <w:pStyle w:val="ListParagraph"/>
        <w:numPr>
          <w:ilvl w:val="0"/>
          <w:numId w:val="8"/>
        </w:numPr>
      </w:pPr>
      <w:r>
        <w:rPr>
          <w:rFonts w:ascii="Figtree" w:hAnsi="Figtree"/>
          <w:b/>
          <w:i w:val="0"/>
          <w:sz w:val="22"/>
        </w:rPr>
        <w:t>Replace all named internal tools with category descriptions</w:t>
      </w:r>
      <w:r>
        <w:rPr>
          <w:rFonts w:ascii="Figtree" w:hAnsi="Figtree"/>
          <w:b w:val="0"/>
          <w:i w:val="0"/>
          <w:sz w:val="22"/>
        </w:rPr>
        <w:t xml:space="preserve"> — 20+ IP violations across Grafana, Loki, VictoriaMetrics, Tempo, OpenTelemetry, Velero, CloudNativePG, Terraform. Lifts IP score from 2 to 4-5. 30 minutes.</w:t>
      </w:r>
    </w:p>
    <w:p>
      <w:pPr>
        <w:pStyle w:val="ListParagraph"/>
        <w:numPr>
          <w:ilvl w:val="0"/>
          <w:numId w:val="8"/>
        </w:numPr>
      </w:pPr>
      <w:r>
        <w:rPr>
          <w:rFonts w:ascii="Figtree" w:hAnsi="Figtree"/>
          <w:b/>
          <w:i w:val="0"/>
          <w:sz w:val="22"/>
        </w:rPr>
        <w:t>Reconcile compliance module count (18 vs. 12)</w:t>
      </w:r>
      <w:r>
        <w:rPr>
          <w:rFonts w:ascii="Figtree" w:hAnsi="Figtree"/>
          <w:b w:val="0"/>
          <w:i w:val="0"/>
          <w:sz w:val="22"/>
        </w:rPr>
        <w:t xml:space="preserve"> — The compliance architecture is the proposal's strongest technical section. This inconsistency undermines its credibility. 30 minutes.</w:t>
      </w:r>
    </w:p>
    <w:p>
      <w:pPr>
        <w:pStyle w:val="ListParagraph"/>
        <w:numPr>
          <w:ilvl w:val="0"/>
          <w:numId w:val="8"/>
        </w:numPr>
      </w:pPr>
      <w:r>
        <w:rPr>
          <w:rFonts w:ascii="Figtree" w:hAnsi="Figtree"/>
          <w:b/>
          <w:i w:val="0"/>
          <w:sz w:val="22"/>
        </w:rPr>
        <w:t>Merge duplicate Implementation sections</w:t>
      </w:r>
      <w:r>
        <w:rPr>
          <w:rFonts w:ascii="Figtree" w:hAnsi="Figtree"/>
          <w:b w:val="0"/>
          <w:i w:val="0"/>
          <w:sz w:val="22"/>
        </w:rPr>
        <w:t xml:space="preserve"> — Two implementation sections with overlapping content creates confusion and signals sloppy assembly. Merge into one authoritative section. 1-2 hours.</w:t>
      </w:r>
    </w:p>
    <w:p>
      <w:pPr>
        <w:pStyle w:val="ListParagraph"/>
        <w:numPr>
          <w:ilvl w:val="0"/>
          <w:numId w:val="8"/>
        </w:numPr>
      </w:pPr>
      <w:r>
        <w:rPr>
          <w:rFonts w:ascii="Figtree" w:hAnsi="Figtree"/>
          <w:b/>
          <w:i w:val="0"/>
          <w:sz w:val="22"/>
        </w:rPr>
        <w:t>Add honest "Partial" entries to Functional Fit Table</w:t>
      </w:r>
      <w:r>
        <w:rPr>
          <w:rFonts w:ascii="Figtree" w:hAnsi="Figtree"/>
          <w:b w:val="0"/>
          <w:i w:val="0"/>
          <w:sz w:val="22"/>
        </w:rPr>
        <w:t xml:space="preserve"> — An all-green table strains credibility. Adding 2-3 "Partial" or "Configuration Required" entries demonstrates honest self-assessment and builds trust. 30 minutes.</w:t>
      </w:r>
    </w:p>
    <w:p>
      <w:pPr>
        <w:pStyle w:val="ListParagraph"/>
        <w:numPr>
          <w:ilvl w:val="0"/>
          <w:numId w:val="8"/>
        </w:numPr>
      </w:pPr>
      <w:r>
        <w:rPr>
          <w:rFonts w:ascii="Figtree" w:hAnsi="Figtree"/>
          <w:b/>
          <w:i w:val="0"/>
          <w:sz w:val="22"/>
        </w:rPr>
        <w:t>Remove Writer's Checklist from client-facing document</w:t>
      </w:r>
      <w:r>
        <w:rPr>
          <w:rFonts w:ascii="Figtree" w:hAnsi="Figtree"/>
          <w:b w:val="0"/>
          <w:i w:val="0"/>
          <w:sz w:val="22"/>
        </w:rPr>
        <w:t xml:space="preserve"> — Internal QC artifact has no place in submission. 5 minutes.</w:t>
      </w:r>
    </w:p>
    <w:p>
      <w:pPr>
        <w:pStyle w:val="ListParagraph"/>
        <w:numPr>
          <w:ilvl w:val="0"/>
          <w:numId w:val="8"/>
        </w:numPr>
      </w:pPr>
      <w:r>
        <w:rPr>
          <w:rFonts w:ascii="Figtree" w:hAnsi="Figtree"/>
          <w:b/>
          <w:i w:val="0"/>
          <w:sz w:val="22"/>
        </w:rPr>
        <w:t>Add a Gaps and Roadmap subsection</w:t>
      </w:r>
      <w:r>
        <w:rPr>
          <w:rFonts w:ascii="Figtree" w:hAnsi="Figtree"/>
          <w:b w:val="0"/>
          <w:i w:val="0"/>
          <w:sz w:val="22"/>
        </w:rPr>
        <w:t xml:space="preserve"> — The proposal promises "operational realism" but never identifies any gaps or roadmap items. Honour the promise. Even 3-5 items with status and mitigation dramatically improves honesty score. 1 hour.</w:t>
      </w:r>
    </w:p>
    <w:p>
      <w:pPr>
        <w:pStyle w:val="ListParagraph"/>
        <w:numPr>
          <w:ilvl w:val="0"/>
          <w:numId w:val="8"/>
        </w:numPr>
      </w:pPr>
      <w:r>
        <w:rPr>
          <w:rFonts w:ascii="Figtree" w:hAnsi="Figtree"/>
          <w:b/>
          <w:i w:val="0"/>
          <w:sz w:val="22"/>
        </w:rPr>
        <w:t>Add performance benchmarks to Architecture</w:t>
      </w:r>
      <w:r>
        <w:rPr>
          <w:rFonts w:ascii="Figtree" w:hAnsi="Figtree"/>
          <w:b w:val="0"/>
          <w:i w:val="0"/>
          <w:sz w:val="22"/>
        </w:rPr>
        <w:t xml:space="preserve"> — A technical proposal with no throughput, latency, or scalability numbers leaves a visible hole for technical assessors. Even qualified numbers are better than none. 1 hour.</w:t>
      </w:r>
    </w:p>
    <w:p>
      <w:pPr>
        <w:pStyle w:val="ListParagraph"/>
        <w:numPr>
          <w:ilvl w:val="0"/>
          <w:numId w:val="8"/>
        </w:numPr>
      </w:pPr>
      <w:r>
        <w:rPr>
          <w:rFonts w:ascii="Figtree" w:hAnsi="Figtree"/>
          <w:b/>
          <w:i w:val="0"/>
          <w:sz w:val="22"/>
        </w:rPr>
        <w:t>Add Emirates NBD-specific integration diagram</w:t>
      </w:r>
      <w:r>
        <w:rPr>
          <w:rFonts w:ascii="Figtree" w:hAnsi="Figtree"/>
          <w:b w:val="0"/>
          <w:i w:val="0"/>
          <w:sz w:val="22"/>
        </w:rPr>
        <w:t xml:space="preserve"> — No diagram shows how DALP connects to Emirates NBD's core banking, SWIFT gateway, and custody provider. This is the single most valuable diagram missing from the proposal. 1-2 hours.</w:t>
      </w:r>
    </w:p>
    <w:p>
      <w:pPr>
        <w:pStyle w:val="ListParagraph"/>
        <w:numPr>
          <w:ilvl w:val="0"/>
          <w:numId w:val="8"/>
        </w:numPr>
      </w:pPr>
      <w:r>
        <w:rPr>
          <w:rFonts w:ascii="Figtree" w:hAnsi="Figtree"/>
          <w:b/>
          <w:i w:val="0"/>
          <w:sz w:val="22"/>
        </w:rPr>
        <w:t>Reduce repetition across Executive Summary, About DALP, and Proposed Solution</w:t>
      </w:r>
      <w:r>
        <w:rPr>
          <w:rFonts w:ascii="Figtree" w:hAnsi="Figtree"/>
          <w:b w:val="0"/>
          <w:i w:val="0"/>
          <w:sz w:val="22"/>
        </w:rPr>
        <w:t xml:space="preserve"> — The same claims (7 asset classes, 18 compliance modules, custody-agnostic, atomic settlement) appear 3-4 times in near-identical wording. Cut duplicates; develop rather than restate. 1-2 hours.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