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Commercial Summary</w:t>
          </w:r>
          <w:r>
            <w:tab/>
          </w:r>
          <w:r>
            <w:t xml:space="preserve">5</w:t>
          </w:r>
        </w:p>
        <w:p>
          <w:pPr>
            <w:pStyle w:val="TOC2"/>
            <w:tabs>
              <w:tab w:val="right" w:leader="dot" w:pos="9072"/>
            </w:tabs>
          </w:pPr>
          <w:r>
            <w:t xml:space="preserve">3. Licensing Model</w:t>
          </w:r>
          <w:r>
            <w:tab/>
          </w:r>
          <w:r>
            <w:t xml:space="preserve">6</w:t>
          </w:r>
        </w:p>
        <w:p>
          <w:pPr>
            <w:pStyle w:val="TOC3"/>
            <w:tabs>
              <w:tab w:val="right" w:leader="dot" w:pos="9072"/>
            </w:tabs>
          </w:pPr>
          <w:r>
            <w:t xml:space="preserve">3.1 Environment-Based, Transaction-Fee-Free</w:t>
          </w:r>
          <w:r>
            <w:tab/>
          </w:r>
          <w:r>
            <w:t xml:space="preserve">7</w:t>
          </w:r>
        </w:p>
        <w:p>
          <w:pPr>
            <w:pStyle w:val="TOC3"/>
            <w:tabs>
              <w:tab w:val="right" w:leader="dot" w:pos="9072"/>
            </w:tabs>
          </w:pPr>
          <w:r>
            <w:t xml:space="preserve">3.2 License Rates</w:t>
          </w:r>
          <w:r>
            <w:tab/>
          </w:r>
          <w:r>
            <w:t xml:space="preserve">8</w:t>
          </w:r>
        </w:p>
        <w:p>
          <w:pPr>
            <w:pStyle w:val="TOC3"/>
            <w:tabs>
              <w:tab w:val="right" w:leader="dot" w:pos="9072"/>
            </w:tabs>
          </w:pPr>
          <w:r>
            <w:t xml:space="preserve">3.3 Expansion Licensing</w:t>
          </w:r>
          <w:r>
            <w:tab/>
          </w:r>
          <w:r>
            <w:t xml:space="preserve">9</w:t>
          </w:r>
        </w:p>
        <w:p>
          <w:pPr>
            <w:pStyle w:val="TOC2"/>
            <w:tabs>
              <w:tab w:val="right" w:leader="dot" w:pos="9072"/>
            </w:tabs>
          </w:pPr>
          <w:r>
            <w:t xml:space="preserve">4. Implementation Services Pricing</w:t>
          </w:r>
          <w:r>
            <w:tab/>
          </w:r>
          <w:r>
            <w:t xml:space="preserve">10</w:t>
          </w:r>
        </w:p>
        <w:p>
          <w:pPr>
            <w:pStyle w:val="TOC3"/>
            <w:tabs>
              <w:tab w:val="right" w:leader="dot" w:pos="9072"/>
            </w:tabs>
          </w:pPr>
          <w:r>
            <w:t xml:space="preserve">4.1 Implementation Investment</w:t>
          </w:r>
          <w:r>
            <w:tab/>
          </w:r>
          <w:r>
            <w:t xml:space="preserve">11</w:t>
          </w:r>
        </w:p>
        <w:p>
          <w:pPr>
            <w:pStyle w:val="TOC3"/>
            <w:tabs>
              <w:tab w:val="right" w:leader="dot" w:pos="9072"/>
            </w:tabs>
          </w:pPr>
          <w:r>
            <w:t xml:space="preserve">4.2 Phase Breakdown</w:t>
          </w:r>
          <w:r>
            <w:tab/>
          </w:r>
          <w:r>
            <w:t xml:space="preserve">12</w:t>
          </w:r>
        </w:p>
        <w:p>
          <w:pPr>
            <w:pStyle w:val="TOC3"/>
            <w:tabs>
              <w:tab w:val="right" w:leader="dot" w:pos="9072"/>
            </w:tabs>
          </w:pPr>
          <w:r>
            <w:t xml:space="preserve">4.3 Optional Work Packages</w:t>
          </w:r>
          <w:r>
            <w:tab/>
          </w:r>
          <w:r>
            <w:t xml:space="preserve">13</w:t>
          </w:r>
        </w:p>
        <w:p>
          <w:pPr>
            <w:pStyle w:val="TOC2"/>
            <w:tabs>
              <w:tab w:val="right" w:leader="dot" w:pos="9072"/>
            </w:tabs>
          </w:pPr>
          <w:r>
            <w:t xml:space="preserve">5. Environment and Infrastructure Costs</w:t>
          </w:r>
          <w:r>
            <w:tab/>
          </w:r>
          <w:r>
            <w:t xml:space="preserve">14</w:t>
          </w:r>
        </w:p>
        <w:p>
          <w:pPr>
            <w:pStyle w:val="TOC3"/>
            <w:tabs>
              <w:tab w:val="right" w:leader="dot" w:pos="9072"/>
            </w:tabs>
          </w:pPr>
          <w:r>
            <w:t xml:space="preserve">5.1 AWS ap-southeast-2 (Sydney) Pass-Through</w:t>
          </w:r>
          <w:r>
            <w:tab/>
          </w:r>
          <w:r>
            <w:t xml:space="preserve">15</w:t>
          </w:r>
        </w:p>
        <w:p>
          <w:pPr>
            <w:pStyle w:val="TOC3"/>
            <w:tabs>
              <w:tab w:val="right" w:leader="dot" w:pos="9072"/>
            </w:tabs>
          </w:pPr>
          <w:r>
            <w:t xml:space="preserve">5.2 Third-Party Pass-Through</w:t>
          </w:r>
          <w:r>
            <w:tab/>
          </w:r>
          <w:r>
            <w:t xml:space="preserve">16</w:t>
          </w:r>
        </w:p>
        <w:p>
          <w:pPr>
            <w:pStyle w:val="TOC2"/>
            <w:tabs>
              <w:tab w:val="right" w:leader="dot" w:pos="9072"/>
            </w:tabs>
          </w:pPr>
          <w:r>
            <w:t xml:space="preserve">6. Support and Maintenance Fees</w:t>
          </w:r>
          <w:r>
            <w:tab/>
          </w:r>
          <w:r>
            <w:t xml:space="preserve">17</w:t>
          </w:r>
        </w:p>
        <w:p>
          <w:pPr>
            <w:pStyle w:val="TOC3"/>
            <w:tabs>
              <w:tab w:val="right" w:leader="dot" w:pos="9072"/>
            </w:tabs>
          </w:pPr>
          <w:r>
            <w:t xml:space="preserve">6.1 Enterprise Support</w:t>
          </w:r>
          <w:r>
            <w:tab/>
          </w:r>
          <w:r>
            <w:t xml:space="preserve">18</w:t>
          </w:r>
        </w:p>
        <w:p>
          <w:pPr>
            <w:pStyle w:val="TOC3"/>
            <w:tabs>
              <w:tab w:val="right" w:leader="dot" w:pos="9072"/>
            </w:tabs>
          </w:pPr>
          <w:r>
            <w:t xml:space="preserve">6.2 APRA Incident Notification Included</w:t>
          </w:r>
          <w:r>
            <w:tab/>
          </w:r>
          <w:r>
            <w:t xml:space="preserve">19</w:t>
          </w:r>
        </w:p>
        <w:p>
          <w:pPr>
            <w:pStyle w:val="TOC2"/>
            <w:tabs>
              <w:tab w:val="right" w:leader="dot" w:pos="9072"/>
            </w:tabs>
          </w:pPr>
          <w:r>
            <w:t xml:space="preserve">7. Total Cost of Ownership Analysis</w:t>
          </w:r>
          <w:r>
            <w:tab/>
          </w:r>
          <w:r>
            <w:t xml:space="preserve">20</w:t>
          </w:r>
        </w:p>
        <w:p>
          <w:pPr>
            <w:pStyle w:val="TOC3"/>
            <w:tabs>
              <w:tab w:val="right" w:leader="dot" w:pos="9072"/>
            </w:tabs>
          </w:pPr>
          <w:r>
            <w:t xml:space="preserve">7.1 Three-Year TCO</w:t>
          </w:r>
          <w:r>
            <w:tab/>
          </w:r>
          <w:r>
            <w:t xml:space="preserve">21</w:t>
          </w:r>
        </w:p>
        <w:p>
          <w:pPr>
            <w:pStyle w:val="TOC3"/>
            <w:tabs>
              <w:tab w:val="right" w:leader="dot" w:pos="9072"/>
            </w:tabs>
          </w:pPr>
          <w:r>
            <w:t xml:space="preserve">7.2 Build vs. Buy</w:t>
          </w:r>
          <w:r>
            <w:tab/>
          </w:r>
          <w:r>
            <w:t xml:space="preserve">22</w:t>
          </w:r>
        </w:p>
        <w:p>
          <w:pPr>
            <w:pStyle w:val="TOC3"/>
            <w:tabs>
              <w:tab w:val="right" w:leader="dot" w:pos="9072"/>
            </w:tabs>
          </w:pPr>
          <w:r>
            <w:t xml:space="preserve">7.3 Commodity Finance ROI</w:t>
          </w:r>
          <w:r>
            <w:tab/>
          </w:r>
          <w:r>
            <w:t xml:space="preserve">23</w:t>
          </w:r>
        </w:p>
        <w:p>
          <w:pPr>
            <w:pStyle w:val="TOC2"/>
            <w:tabs>
              <w:tab w:val="right" w:leader="dot" w:pos="9072"/>
            </w:tabs>
          </w:pPr>
          <w:r>
            <w:t xml:space="preserve">8. Payment Terms and Milestones</w:t>
          </w:r>
          <w:r>
            <w:tab/>
          </w:r>
          <w:r>
            <w:t xml:space="preserve">24</w:t>
          </w:r>
        </w:p>
        <w:p>
          <w:pPr>
            <w:pStyle w:val="TOC3"/>
            <w:tabs>
              <w:tab w:val="right" w:leader="dot" w:pos="9072"/>
            </w:tabs>
          </w:pPr>
          <w:r>
            <w:t xml:space="preserve">8.1 Platform License</w:t>
          </w:r>
          <w:r>
            <w:tab/>
          </w:r>
          <w:r>
            <w:t xml:space="preserve">25</w:t>
          </w:r>
        </w:p>
        <w:p>
          <w:pPr>
            <w:pStyle w:val="TOC3"/>
            <w:tabs>
              <w:tab w:val="right" w:leader="dot" w:pos="9072"/>
            </w:tabs>
          </w:pPr>
          <w:r>
            <w:t xml:space="preserve">8.2 Implementation Services Milestones</w:t>
          </w:r>
          <w:r>
            <w:tab/>
          </w:r>
          <w:r>
            <w:t xml:space="preserve">26</w:t>
          </w:r>
        </w:p>
        <w:p>
          <w:pPr>
            <w:pStyle w:val="TOC3"/>
            <w:tabs>
              <w:tab w:val="right" w:leader="dot" w:pos="9072"/>
            </w:tabs>
          </w:pPr>
          <w:r>
            <w:t xml:space="preserve">8.3 Currency</w:t>
          </w:r>
          <w:r>
            <w:tab/>
          </w:r>
          <w:r>
            <w:t xml:space="preserve">27</w:t>
          </w:r>
        </w:p>
        <w:p>
          <w:pPr>
            <w:pStyle w:val="TOC2"/>
            <w:tabs>
              <w:tab w:val="right" w:leader="dot" w:pos="9072"/>
            </w:tabs>
          </w:pPr>
          <w:r>
            <w:t xml:space="preserve">9. Commercial Assumptions Register</w:t>
          </w:r>
          <w:r>
            <w:tab/>
          </w:r>
          <w:r>
            <w:t xml:space="preserve">28</w:t>
          </w:r>
        </w:p>
        <w:p>
          <w:pPr>
            <w:pStyle w:val="TOC2"/>
            <w:tabs>
              <w:tab w:val="right" w:leader="dot" w:pos="9072"/>
            </w:tabs>
          </w:pPr>
          <w:r>
            <w:t xml:space="preserve">10. Exit and Transition Terms</w:t>
          </w:r>
          <w:r>
            <w:tab/>
          </w:r>
          <w:r>
            <w:t xml:space="preserve">29</w:t>
          </w:r>
        </w:p>
        <w:p>
          <w:pPr>
            <w:pStyle w:val="TOC3"/>
            <w:tabs>
              <w:tab w:val="right" w:leader="dot" w:pos="9072"/>
            </w:tabs>
          </w:pPr>
          <w:r>
            <w:t xml:space="preserve">10.1 Data Portability</w:t>
          </w:r>
          <w:r>
            <w:tab/>
          </w:r>
          <w:r>
            <w:t xml:space="preserve">30</w:t>
          </w:r>
        </w:p>
        <w:p>
          <w:pPr>
            <w:pStyle w:val="TOC3"/>
            <w:tabs>
              <w:tab w:val="right" w:leader="dot" w:pos="9072"/>
            </w:tabs>
          </w:pPr>
          <w:r>
            <w:t xml:space="preserve">10.2 Transition Assistance</w:t>
          </w:r>
          <w:r>
            <w:tab/>
          </w:r>
          <w:r>
            <w:t xml:space="preserve">31</w:t>
          </w:r>
        </w:p>
        <w:p>
          <w:pPr>
            <w:pStyle w:val="TOC3"/>
            <w:tabs>
              <w:tab w:val="right" w:leader="dot" w:pos="9072"/>
            </w:tabs>
          </w:pPr>
          <w:r>
            <w:t xml:space="preserve">10.3 APRA Exit Requirements</w:t>
          </w:r>
          <w:r>
            <w:tab/>
          </w:r>
          <w:r>
            <w:t xml:space="preserve">32</w:t>
          </w:r>
        </w:p>
        <w:p>
          <w:pPr>
            <w:pStyle w:val="TOC2"/>
            <w:tabs>
              <w:tab w:val="right" w:leader="dot" w:pos="9072"/>
            </w:tabs>
          </w:pPr>
          <w:r>
            <w:t xml:space="preserve">11. Value Justification</w:t>
          </w:r>
          <w:r>
            <w:tab/>
          </w:r>
          <w:r>
            <w:t xml:space="preserve">33</w:t>
          </w:r>
        </w:p>
        <w:p>
          <w:pPr>
            <w:pStyle w:val="TOC3"/>
            <w:tabs>
              <w:tab w:val="right" w:leader="dot" w:pos="9072"/>
            </w:tabs>
          </w:pPr>
          <w:r>
            <w:t xml:space="preserve">11.1 No Transaction Fees at Scale</w:t>
          </w:r>
          <w:r>
            <w:tab/>
          </w:r>
          <w:r>
            <w:t xml:space="preserve">34</w:t>
          </w:r>
        </w:p>
        <w:p>
          <w:pPr>
            <w:pStyle w:val="TOC3"/>
            <w:tabs>
              <w:tab w:val="right" w:leader="dot" w:pos="9072"/>
            </w:tabs>
          </w:pPr>
          <w:r>
            <w:t xml:space="preserve">11.2 APRA Compliance Without Custom Development</w:t>
          </w:r>
          <w:r>
            <w:tab/>
          </w:r>
          <w:r>
            <w:t xml:space="preserve">35</w:t>
          </w:r>
        </w:p>
        <w:p>
          <w:pPr>
            <w:pStyle w:val="TOC3"/>
            <w:tabs>
              <w:tab w:val="right" w:leader="dot" w:pos="9072"/>
            </w:tabs>
          </w:pPr>
          <w:r>
            <w:t xml:space="preserve">11.3 Project Acacia Positioning at No Additional Cost</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ANZ Banking Group Ltd</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ANZ-RFP-202603</w:t>
      </w:r>
    </w:p>
    <w:p>
      <w:r>
        <w:rPr>
          <w:rFonts w:ascii="Figtree" w:hAnsi="Figtree"/>
          <w:b w:val="0"/>
          <w:i/>
          <w:sz w:val="22"/>
        </w:rPr>
        <w:t>All prices exclude applicable taxes and VAT, including Australian GST where applicable.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Commercial Summary</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Implementation Services Pricing</w:t>
      </w:r>
    </w:p>
    <w:p>
      <w:pPr>
        <w:pStyle w:val="ListParagraph"/>
        <w:numPr>
          <w:ilvl w:val="0"/>
          <w:numId w:val="6"/>
        </w:numPr>
      </w:pPr>
      <w:r>
        <w:rPr>
          <w:rFonts w:ascii="Figtree" w:hAnsi="Figtree"/>
          <w:b w:val="0"/>
          <w:i w:val="0"/>
          <w:sz w:val="22"/>
        </w:rPr>
        <w:t>Environment and Infrastructure Costs</w:t>
      </w:r>
    </w:p>
    <w:p>
      <w:pPr>
        <w:pStyle w:val="ListParagraph"/>
        <w:numPr>
          <w:ilvl w:val="0"/>
          <w:numId w:val="6"/>
        </w:numPr>
      </w:pPr>
      <w:r>
        <w:rPr>
          <w:rFonts w:ascii="Figtree" w:hAnsi="Figtree"/>
          <w:b w:val="0"/>
          <w:i w:val="0"/>
          <w:sz w:val="22"/>
        </w:rPr>
        <w:t>Support and Maintenance Fees</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Payment Terms and Milestones</w:t>
      </w:r>
    </w:p>
    <w:p>
      <w:pPr>
        <w:pStyle w:val="ListParagraph"/>
        <w:numPr>
          <w:ilvl w:val="0"/>
          <w:numId w:val="6"/>
        </w:numPr>
      </w:pPr>
      <w:r>
        <w:rPr>
          <w:rFonts w:ascii="Figtree" w:hAnsi="Figtree"/>
          <w:b w:val="0"/>
          <w:i w:val="0"/>
          <w:sz w:val="22"/>
        </w:rPr>
        <w:t>Commercial Assumptions Register</w:t>
      </w:r>
    </w:p>
    <w:p>
      <w:pPr>
        <w:pStyle w:val="ListParagraph"/>
        <w:numPr>
          <w:ilvl w:val="0"/>
          <w:numId w:val="6"/>
        </w:numPr>
      </w:pPr>
      <w:r>
        <w:rPr>
          <w:rFonts w:ascii="Figtree" w:hAnsi="Figtree"/>
          <w:b w:val="0"/>
          <w:i w:val="0"/>
          <w:sz w:val="22"/>
        </w:rPr>
        <w:t>Exit and Transition Terms</w:t>
      </w:r>
    </w:p>
    <w:p>
      <w:pPr>
        <w:pStyle w:val="ListParagraph"/>
        <w:numPr>
          <w:ilvl w:val="0"/>
          <w:numId w:val="6"/>
        </w:numPr>
      </w:pPr>
      <w:r>
        <w:rPr>
          <w:rFonts w:ascii="Figtree" w:hAnsi="Figtree"/>
          <w:b w:val="0"/>
          <w:i w:val="0"/>
          <w:sz w:val="22"/>
        </w:rPr>
        <w:t>Value Justification</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Commercial Proposal: Tokenized Commodity Finance Platform</w:t>
      </w:r>
    </w:p>
    <w:p>
      <w:r>
        <w:rPr>
          <w:rFonts w:ascii="Figtree" w:hAnsi="Figtree"/>
          <w:b/>
          <w:i w:val="0"/>
          <w:sz w:val="22"/>
        </w:rPr>
        <w:t>Client:</w:t>
      </w:r>
      <w:r>
        <w:rPr>
          <w:rFonts w:ascii="Figtree" w:hAnsi="Figtree"/>
          <w:b w:val="0"/>
          <w:i w:val="0"/>
          <w:sz w:val="22"/>
        </w:rPr>
        <w:t xml:space="preserve"> ANZ Banking Group Ltd, Australia</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All prices exclude applicable taxes and VAT, including Australian GST.</w:t>
      </w:r>
    </w:p>
    <w:p>
      <w:r>
        <w:br w:type="page"/>
      </w:r>
    </w:p>
    <w:p>
      <w:pPr>
        <w:pStyle w:val="H2"/>
        <w:numPr>
          <w:ilvl w:val="1"/>
          <w:numId w:val="1"/>
        </w:numPr>
      </w:pPr>
      <w:r>
        <w:t>2. Commercial Summary</w:t>
      </w:r>
    </w:p>
    <w:p>
      <w:r>
        <w:rPr>
          <w:rFonts w:ascii="Figtree" w:hAnsi="Figtree"/>
          <w:b w:val="0"/>
          <w:i w:val="0"/>
          <w:sz w:val="22"/>
        </w:rPr>
        <w:t>ANZ Banking Group's tokenized commodity finance programme requires a commercial model that reflects the institution's scale, its multi-year digital asset investment commitment, and the regulatory requirements of an APRA-regulated deployment. This proposal provides transparent, scalable pricing with no transaction fees, no hidden commercial structures, and explicit treatment of all cost categories.</w:t>
      </w:r>
    </w:p>
    <w:p>
      <w:r>
        <w:rPr>
          <w:rFonts w:ascii="Figtree" w:hAnsi="Figtree"/>
          <w:b/>
          <w:i w:val="0"/>
          <w:sz w:val="22"/>
        </w:rPr>
        <w:t>Year 1 Platform License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90"/>
        <w:gridCol w:w="328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Cost (EUR)</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i w:val="0"/>
                <w:sz w:val="20"/>
              </w:rPr>
              <w:t>Total Year 1 Platform License</w:t>
            </w:r>
          </w:p>
        </w:tc>
        <w:tc>
          <w:tcPr>
            <w:tcW w:type="dxa" w:w="4873"/>
            <w:vAlign w:val="center"/>
          </w:tcPr>
          <w:p>
            <w:pPr>
              <w:spacing w:line="276" w:lineRule="auto" w:before="0" w:after="0"/>
            </w:pPr>
            <w:r/>
            <w:r>
              <w:rPr>
                <w:rFonts w:ascii="Figtree" w:hAnsi="Figtree"/>
                <w:b/>
                <w:i w:val="0"/>
                <w:sz w:val="20"/>
              </w:rPr>
              <w:t>420,000</w:t>
            </w:r>
          </w:p>
        </w:tc>
      </w:tr>
    </w:tbl>
    <w:p>
      <w:pPr>
        <w:spacing w:before="0" w:after="0" w:line="120" w:lineRule="exact"/>
      </w:pPr>
    </w:p>
    <w:p>
      <w:r>
        <w:rPr>
          <w:rFonts w:ascii="Figtree" w:hAnsi="Figtree"/>
          <w:b w:val="0"/>
          <w:i/>
          <w:sz w:val="22"/>
        </w:rPr>
        <w:t>All prices exclude applicable taxes and VAT including Australian GST. Annual, upfront payment.</w:t>
      </w:r>
    </w:p>
    <w:p>
      <w:r>
        <w:rPr>
          <w:rFonts w:ascii="Figtree" w:hAnsi="Figtree"/>
          <w:b/>
          <w:i w:val="0"/>
          <w:sz w:val="22"/>
        </w:rPr>
        <w:t>Three-Year Platform License: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47"/>
        <w:gridCol w:w="492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Year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Total License (EUR)</w:t>
            </w:r>
          </w:p>
        </w:tc>
      </w:tr>
      <w:tr>
        <w:trPr>
          <w:trHeight w:val="425" w:hRule="atLeast"/>
        </w:trPr>
        <w:tc>
          <w:tcPr>
            <w:tcW w:type="dxa" w:w="4873"/>
            <w:vAlign w:val="center"/>
          </w:tcPr>
          <w:p>
            <w:pPr>
              <w:spacing w:line="276" w:lineRule="auto" w:before="0" w:after="0"/>
            </w:pPr>
            <w:r/>
            <w:r>
              <w:rPr>
                <w:rFonts w:ascii="Figtree" w:hAnsi="Figtree"/>
                <w:b w:val="0"/>
                <w:i w:val="0"/>
                <w:sz w:val="20"/>
              </w:rPr>
              <w:t>Year 1</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Year 2</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val="0"/>
                <w:i w:val="0"/>
                <w:sz w:val="20"/>
              </w:rPr>
              <w:t>Year 3</w:t>
            </w:r>
          </w:p>
        </w:tc>
        <w:tc>
          <w:tcPr>
            <w:tcW w:type="dxa" w:w="4873"/>
            <w:vAlign w:val="center"/>
          </w:tcPr>
          <w:p>
            <w:pPr>
              <w:spacing w:line="276" w:lineRule="auto" w:before="0" w:after="0"/>
            </w:pPr>
            <w:r/>
            <w:r>
              <w:rPr>
                <w:rFonts w:ascii="Figtree" w:hAnsi="Figtree"/>
                <w:b w:val="0"/>
                <w:i w:val="0"/>
                <w:sz w:val="20"/>
              </w:rPr>
              <w:t>420,000</w:t>
            </w:r>
          </w:p>
        </w:tc>
      </w:tr>
      <w:tr>
        <w:trPr>
          <w:trHeight w:val="425" w:hRule="atLeast"/>
        </w:trPr>
        <w:tc>
          <w:tcPr>
            <w:tcW w:type="dxa" w:w="4873"/>
            <w:vAlign w:val="center"/>
          </w:tcPr>
          <w:p>
            <w:pPr>
              <w:spacing w:line="276" w:lineRule="auto" w:before="0" w:after="0"/>
            </w:pPr>
            <w:r/>
            <w:r>
              <w:rPr>
                <w:rFonts w:ascii="Figtree" w:hAnsi="Figtree"/>
                <w:b/>
                <w:i w:val="0"/>
                <w:sz w:val="20"/>
              </w:rPr>
              <w:t>3-Year Total</w:t>
            </w:r>
          </w:p>
        </w:tc>
        <w:tc>
          <w:tcPr>
            <w:tcW w:type="dxa" w:w="4873"/>
            <w:vAlign w:val="center"/>
          </w:tcPr>
          <w:p>
            <w:pPr>
              <w:spacing w:line="276" w:lineRule="auto" w:before="0" w:after="0"/>
            </w:pPr>
            <w:r/>
            <w:r>
              <w:rPr>
                <w:rFonts w:ascii="Figtree" w:hAnsi="Figtree"/>
                <w:b/>
                <w:i w:val="0"/>
                <w:sz w:val="20"/>
              </w:rPr>
              <w:t>1,260,000</w:t>
            </w:r>
          </w:p>
        </w:tc>
      </w:tr>
    </w:tbl>
    <w:p>
      <w:pPr>
        <w:spacing w:before="0" w:after="0" w:line="120" w:lineRule="exact"/>
      </w:pPr>
    </w:p>
    <w:p>
      <w:r>
        <w:rPr>
          <w:rFonts w:ascii="Figtree" w:hAnsi="Figtree"/>
          <w:b w:val="0"/>
          <w:i w:val="0"/>
          <w:sz w:val="22"/>
        </w:rPr>
        <w:t>Implementation services and support fees are scoped per engagement. Indicative ranges are provided in Sections 4 and 6.</w:t>
      </w:r>
    </w:p>
    <w:p>
      <w:r>
        <w:br w:type="page"/>
      </w:r>
    </w:p>
    <w:p>
      <w:pPr>
        <w:pStyle w:val="H2"/>
        <w:numPr>
          <w:ilvl w:val="1"/>
          <w:numId w:val="1"/>
        </w:numPr>
      </w:pPr>
      <w:r>
        <w:t>3. Licensing Model</w:t>
      </w:r>
    </w:p>
    <w:p>
      <w:pPr>
        <w:pStyle w:val="H3"/>
        <w:numPr>
          <w:ilvl w:val="2"/>
          <w:numId w:val="1"/>
        </w:numPr>
      </w:pPr>
      <w:r>
        <w:t>3.1 Environment-Based, Transaction-Fee-Free</w:t>
      </w:r>
    </w:p>
    <w:p>
      <w:r>
        <w:rPr>
          <w:rFonts w:ascii="Figtree" w:hAnsi="Figtree"/>
          <w:b w:val="0"/>
          <w:i w:val="0"/>
          <w:sz w:val="22"/>
        </w:rPr>
        <w:t>DALP licensing is per environment, not per transaction, per instrument, or per counterparty. ANZ's tokenized commodity finance programme — regardless of the number of letters of credit issued, receivables financed, or bills of lading processed — pays only the environment licensing fee. Scaling the programme's transaction volume does not scale the platform licensing cost.</w:t>
      </w:r>
    </w:p>
    <w:p>
      <w:r>
        <w:rPr>
          <w:rFonts w:ascii="Figtree" w:hAnsi="Figtree"/>
          <w:b w:val="0"/>
          <w:i w:val="0"/>
          <w:sz w:val="22"/>
        </w:rPr>
        <w:t>This model is particularly important for commodity finance, where transaction volume can be highly variable (tied to commodity market cycles, trade flow seasonality, and counterparty activity) and difficult to predict at contract execution. ANZ is not exposed to commercial upside risk from an active commodity market cycle.</w:t>
      </w:r>
    </w:p>
    <w:p>
      <w:pPr>
        <w:pStyle w:val="H3"/>
        <w:numPr>
          <w:ilvl w:val="2"/>
          <w:numId w:val="1"/>
        </w:numPr>
      </w:pPr>
      <w:r>
        <w:t>3.2 License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36"/>
        <w:gridCol w:w="3332"/>
        <w:gridCol w:w="370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bl>
    <w:p>
      <w:pPr>
        <w:spacing w:before="0" w:after="0" w:line="120" w:lineRule="exact"/>
      </w:pPr>
    </w:p>
    <w:p>
      <w:r>
        <w:rPr>
          <w:rFonts w:ascii="Figtree" w:hAnsi="Figtree"/>
          <w:b w:val="0"/>
          <w:i/>
          <w:sz w:val="22"/>
        </w:rPr>
        <w:t>All prices exclude applicable taxes and VAT. Annual, upfront.</w:t>
      </w:r>
    </w:p>
    <w:p>
      <w:pPr>
        <w:pStyle w:val="H3"/>
        <w:numPr>
          <w:ilvl w:val="2"/>
          <w:numId w:val="1"/>
        </w:numPr>
      </w:pPr>
      <w:r>
        <w:t>3.3 Expansion Licensing</w:t>
      </w:r>
    </w:p>
    <w:p>
      <w:r>
        <w:rPr>
          <w:rFonts w:ascii="Figtree" w:hAnsi="Figtree"/>
          <w:b w:val="0"/>
          <w:i w:val="0"/>
          <w:sz w:val="22"/>
        </w:rPr>
        <w:t>ANZ's commodity finance programme is likely to expand across legal entities (ANZ Australia, ANZ New Zealand, ANZ Pacific operations) and jurisdictions. The expansion licensing model accommodates this: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648"/>
        <w:gridCol w:w="34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Expansion 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Incremental Annual License (EUR)</w:t>
            </w:r>
          </w:p>
        </w:tc>
      </w:tr>
      <w:tr>
        <w:trPr>
          <w:trHeight w:val="425" w:hRule="atLeast"/>
        </w:trPr>
        <w:tc>
          <w:tcPr>
            <w:tcW w:type="dxa" w:w="4873"/>
            <w:vAlign w:val="center"/>
          </w:tcPr>
          <w:p>
            <w:pPr>
              <w:spacing w:line="276" w:lineRule="auto" w:before="0" w:after="0"/>
            </w:pPr>
            <w:r/>
            <w:r>
              <w:rPr>
                <w:rFonts w:ascii="Figtree" w:hAnsi="Figtree"/>
                <w:b w:val="0"/>
                <w:i w:val="0"/>
                <w:sz w:val="20"/>
              </w:rPr>
              <w:t>Add ANZ New Zealand (second production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Add staging environment</w:t>
            </w:r>
          </w:p>
        </w:tc>
        <w:tc>
          <w:tcPr>
            <w:tcW w:type="dxa" w:w="4873"/>
            <w:vAlign w:val="center"/>
          </w:tcPr>
          <w:p>
            <w:pPr>
              <w:spacing w:line="276" w:lineRule="auto" w:before="0" w:after="0"/>
            </w:pPr>
            <w:r/>
            <w:r>
              <w:rPr>
                <w:rFonts w:ascii="Figtree" w:hAnsi="Figtree"/>
                <w:b w:val="0"/>
                <w:i w:val="0"/>
                <w:sz w:val="20"/>
              </w:rPr>
              <w:t>120,000</w:t>
            </w:r>
          </w:p>
        </w:tc>
      </w:tr>
      <w:tr>
        <w:trPr>
          <w:trHeight w:val="425" w:hRule="atLeast"/>
        </w:trPr>
        <w:tc>
          <w:tcPr>
            <w:tcW w:type="dxa" w:w="4873"/>
            <w:vAlign w:val="center"/>
          </w:tcPr>
          <w:p>
            <w:pPr>
              <w:spacing w:line="276" w:lineRule="auto" w:before="0" w:after="0"/>
            </w:pPr>
            <w:r/>
            <w:r>
              <w:rPr>
                <w:rFonts w:ascii="Figtree" w:hAnsi="Figtree"/>
                <w:b w:val="0"/>
                <w:i w:val="0"/>
                <w:sz w:val="20"/>
              </w:rPr>
              <w:t>Add ANZ Pacific (third production environment)</w:t>
            </w:r>
          </w:p>
        </w:tc>
        <w:tc>
          <w:tcPr>
            <w:tcW w:type="dxa" w:w="4873"/>
            <w:vAlign w:val="center"/>
          </w:tcPr>
          <w:p>
            <w:pPr>
              <w:spacing w:line="276" w:lineRule="auto" w:before="0" w:after="0"/>
            </w:pPr>
            <w:r/>
            <w:r>
              <w:rPr>
                <w:rFonts w:ascii="Figtree" w:hAnsi="Figtree"/>
                <w:b w:val="0"/>
                <w:i w:val="0"/>
                <w:sz w:val="20"/>
              </w:rPr>
              <w:t>300,000</w:t>
            </w:r>
          </w:p>
        </w:tc>
      </w:tr>
      <w:tr>
        <w:trPr>
          <w:trHeight w:val="425" w:hRule="atLeast"/>
        </w:trPr>
        <w:tc>
          <w:tcPr>
            <w:tcW w:type="dxa" w:w="4873"/>
            <w:vAlign w:val="center"/>
          </w:tcPr>
          <w:p>
            <w:pPr>
              <w:spacing w:line="276" w:lineRule="auto" w:before="0" w:after="0"/>
            </w:pPr>
            <w:r/>
            <w:r>
              <w:rPr>
                <w:rFonts w:ascii="Figtree" w:hAnsi="Figtree"/>
                <w:b w:val="0"/>
                <w:i w:val="0"/>
                <w:sz w:val="20"/>
              </w:rPr>
              <w:t>Full ANZ Group deployment (3 production + 2 development)</w:t>
            </w:r>
          </w:p>
        </w:tc>
        <w:tc>
          <w:tcPr>
            <w:tcW w:type="dxa" w:w="4873"/>
            <w:vAlign w:val="center"/>
          </w:tcPr>
          <w:p>
            <w:pPr>
              <w:spacing w:line="276" w:lineRule="auto" w:before="0" w:after="0"/>
            </w:pPr>
            <w:r/>
            <w:r>
              <w:rPr>
                <w:rFonts w:ascii="Figtree" w:hAnsi="Figtree"/>
                <w:b w:val="0"/>
                <w:i w:val="0"/>
                <w:sz w:val="20"/>
              </w:rPr>
              <w:t>900,000 + 240,000 = 1,140,000</w:t>
            </w:r>
          </w:p>
        </w:tc>
      </w:tr>
    </w:tbl>
    <w:p>
      <w:pPr>
        <w:spacing w:before="0" w:after="0" w:line="120" w:lineRule="exact"/>
      </w:pPr>
    </w:p>
    <w:p>
      <w:r>
        <w:rPr>
          <w:rFonts w:ascii="Figtree" w:hAnsi="Figtree"/>
          <w:b w:val="0"/>
          <w:i w:val="0"/>
          <w:sz w:val="22"/>
        </w:rPr>
        <w:t>Each new production environment is configured for its specific regulatory jurisdiction (New Zealand FMA, Pacific regional regulators) through DALP's compliance template system, not through custom development.</w:t>
      </w:r>
    </w:p>
    <w:p>
      <w:r>
        <w:br w:type="page"/>
      </w:r>
    </w:p>
    <w:p>
      <w:pPr>
        <w:pStyle w:val="H2"/>
        <w:numPr>
          <w:ilvl w:val="1"/>
          <w:numId w:val="1"/>
        </w:numPr>
      </w:pPr>
      <w:r>
        <w:t>4. Implementation Services Pricing</w:t>
      </w:r>
    </w:p>
    <w:p>
      <w:pPr>
        <w:pStyle w:val="H3"/>
        <w:numPr>
          <w:ilvl w:val="2"/>
          <w:numId w:val="1"/>
        </w:numPr>
      </w:pPr>
      <w:r>
        <w:t>4.1 Implementation Investment</w:t>
      </w:r>
    </w:p>
    <w:p>
      <w:r>
        <w:rPr>
          <w:rFonts w:ascii="Figtree" w:hAnsi="Figtree"/>
          <w:b w:val="0"/>
          <w:i w:val="0"/>
          <w:sz w:val="22"/>
        </w:rPr>
        <w:t>The 19-week implementation is scoped for the full programme including LC, receivables, and BL tokenization, NPP integration, AUSTRAC reporting, and A$DC settlement architecture. Based on comparable APAC bank deployments, the indicative implementation investment 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268"/>
        <w:gridCol w:w="28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Scope 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Range (EUR)</w:t>
            </w:r>
          </w:p>
        </w:tc>
      </w:tr>
      <w:tr>
        <w:trPr>
          <w:trHeight w:val="425" w:hRule="atLeast"/>
        </w:trPr>
        <w:tc>
          <w:tcPr>
            <w:tcW w:type="dxa" w:w="4873"/>
            <w:vAlign w:val="center"/>
          </w:tcPr>
          <w:p>
            <w:pPr>
              <w:spacing w:line="276" w:lineRule="auto" w:before="0" w:after="0"/>
            </w:pPr>
            <w:r/>
            <w:r>
              <w:rPr>
                <w:rFonts w:ascii="Figtree" w:hAnsi="Figtree"/>
                <w:b w:val="0"/>
                <w:i w:val="0"/>
                <w:sz w:val="20"/>
              </w:rPr>
              <w:t>Core: LC + Receivables + NPP + AUSTRAC integration</w:t>
            </w:r>
          </w:p>
        </w:tc>
        <w:tc>
          <w:tcPr>
            <w:tcW w:type="dxa" w:w="4873"/>
            <w:vAlign w:val="center"/>
          </w:tcPr>
          <w:p>
            <w:pPr>
              <w:spacing w:line="276" w:lineRule="auto" w:before="0" w:after="0"/>
            </w:pPr>
            <w:r/>
            <w:r>
              <w:rPr>
                <w:rFonts w:ascii="Figtree" w:hAnsi="Figtree"/>
                <w:b w:val="0"/>
                <w:i w:val="0"/>
                <w:sz w:val="20"/>
              </w:rPr>
              <w:t>380,000 - 550,000</w:t>
            </w:r>
          </w:p>
        </w:tc>
      </w:tr>
      <w:tr>
        <w:trPr>
          <w:trHeight w:val="425" w:hRule="atLeast"/>
        </w:trPr>
        <w:tc>
          <w:tcPr>
            <w:tcW w:type="dxa" w:w="4873"/>
            <w:vAlign w:val="center"/>
          </w:tcPr>
          <w:p>
            <w:pPr>
              <w:spacing w:line="276" w:lineRule="auto" w:before="0" w:after="0"/>
            </w:pPr>
            <w:r/>
            <w:r>
              <w:rPr>
                <w:rFonts w:ascii="Figtree" w:hAnsi="Figtree"/>
                <w:b w:val="0"/>
                <w:i w:val="0"/>
                <w:sz w:val="20"/>
              </w:rPr>
              <w:t>Full: Core + BL/TradeTrust + Project Acacia interoperability</w:t>
            </w:r>
          </w:p>
        </w:tc>
        <w:tc>
          <w:tcPr>
            <w:tcW w:type="dxa" w:w="4873"/>
            <w:vAlign w:val="center"/>
          </w:tcPr>
          <w:p>
            <w:pPr>
              <w:spacing w:line="276" w:lineRule="auto" w:before="0" w:after="0"/>
            </w:pPr>
            <w:r/>
            <w:r>
              <w:rPr>
                <w:rFonts w:ascii="Figtree" w:hAnsi="Figtree"/>
                <w:b w:val="0"/>
                <w:i w:val="0"/>
                <w:sz w:val="20"/>
              </w:rPr>
              <w:t>550,000 - 800,000</w:t>
            </w:r>
          </w:p>
        </w:tc>
      </w:tr>
    </w:tbl>
    <w:p>
      <w:pPr>
        <w:spacing w:before="0" w:after="0" w:line="120" w:lineRule="exact"/>
      </w:pPr>
    </w:p>
    <w:p>
      <w:r>
        <w:rPr>
          <w:rFonts w:ascii="Figtree" w:hAnsi="Figtree"/>
          <w:b w:val="0"/>
          <w:i/>
          <w:sz w:val="22"/>
        </w:rPr>
        <w:t>Formal scoping in Phase 1 Discovery. Implementation fee fixed in SOW before Phase 2.</w:t>
      </w:r>
    </w:p>
    <w:p>
      <w:pPr>
        <w:pStyle w:val="H3"/>
        <w:numPr>
          <w:ilvl w:val="2"/>
          <w:numId w:val="1"/>
        </w:numPr>
      </w:pPr>
      <w:r>
        <w:t>4.2 Phase Breakdown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38"/>
        <w:gridCol w:w="1577"/>
        <w:gridCol w:w="31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Pricing Model</w:t>
            </w:r>
          </w:p>
        </w:tc>
      </w:tr>
      <w:tr>
        <w:trPr>
          <w:trHeight w:val="425" w:hRule="atLeast"/>
        </w:trPr>
        <w:tc>
          <w:tcPr>
            <w:tcW w:type="dxa" w:w="3249"/>
            <w:vAlign w:val="center"/>
          </w:tcPr>
          <w:p>
            <w:pPr>
              <w:spacing w:line="276" w:lineRule="auto" w:before="0" w:after="0"/>
            </w:pPr>
            <w:r/>
            <w:r>
              <w:rPr>
                <w:rFonts w:ascii="Figtree" w:hAnsi="Figtree"/>
                <w:b w:val="0"/>
                <w:i w:val="0"/>
                <w:sz w:val="20"/>
              </w:rPr>
              <w:t>Phase 1: Discovery</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2: Configuration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3: Integration</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T&amp;M with ceiling</w:t>
            </w:r>
          </w:p>
        </w:tc>
      </w:tr>
      <w:tr>
        <w:trPr>
          <w:trHeight w:val="425" w:hRule="atLeast"/>
        </w:trPr>
        <w:tc>
          <w:tcPr>
            <w:tcW w:type="dxa" w:w="3249"/>
            <w:vAlign w:val="center"/>
          </w:tcPr>
          <w:p>
            <w:pPr>
              <w:spacing w:line="276" w:lineRule="auto" w:before="0" w:after="0"/>
            </w:pPr>
            <w:r/>
            <w:r>
              <w:rPr>
                <w:rFonts w:ascii="Figtree" w:hAnsi="Figtree"/>
                <w:b w:val="0"/>
                <w:i w:val="0"/>
                <w:sz w:val="20"/>
              </w:rPr>
              <w:t>Phase 4: Testing</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5: Go-Live</w:t>
            </w:r>
          </w:p>
        </w:tc>
        <w:tc>
          <w:tcPr>
            <w:tcW w:type="dxa" w:w="3249"/>
            <w:vAlign w:val="center"/>
          </w:tcPr>
          <w:p>
            <w:pPr>
              <w:spacing w:line="276" w:lineRule="auto" w:before="0" w:after="0"/>
            </w:pPr>
            <w:r/>
            <w:r>
              <w:rPr>
                <w:rFonts w:ascii="Figtree" w:hAnsi="Figtree"/>
                <w:b w:val="0"/>
                <w:i w:val="0"/>
                <w:sz w:val="20"/>
              </w:rPr>
              <w:t>1 week</w:t>
            </w:r>
          </w:p>
        </w:tc>
        <w:tc>
          <w:tcPr>
            <w:tcW w:type="dxa" w:w="3249"/>
            <w:vAlign w:val="center"/>
          </w:tcPr>
          <w:p>
            <w:pPr>
              <w:spacing w:line="276" w:lineRule="auto" w:before="0" w:after="0"/>
            </w:pPr>
            <w:r/>
            <w:r>
              <w:rPr>
                <w:rFonts w:ascii="Figtree" w:hAnsi="Figtree"/>
                <w:b w:val="0"/>
                <w:i w:val="0"/>
                <w:sz w:val="20"/>
              </w:rPr>
              <w:t>Fixed milestone</w:t>
            </w:r>
          </w:p>
        </w:tc>
      </w:tr>
      <w:tr>
        <w:trPr>
          <w:trHeight w:val="425" w:hRule="atLeast"/>
        </w:trPr>
        <w:tc>
          <w:tcPr>
            <w:tcW w:type="dxa" w:w="3249"/>
            <w:vAlign w:val="center"/>
          </w:tcPr>
          <w:p>
            <w:pPr>
              <w:spacing w:line="276" w:lineRule="auto" w:before="0" w:after="0"/>
            </w:pPr>
            <w:r/>
            <w:r>
              <w:rPr>
                <w:rFonts w:ascii="Figtree" w:hAnsi="Figtree"/>
                <w:b w:val="0"/>
                <w:i w:val="0"/>
                <w:sz w:val="20"/>
              </w:rPr>
              <w:t>Phase 6: Hypercare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Fixed milestone</w:t>
            </w:r>
          </w:p>
        </w:tc>
      </w:tr>
    </w:tbl>
    <w:p>
      <w:pPr>
        <w:spacing w:before="0" w:after="0" w:line="120" w:lineRule="exact"/>
      </w:pPr>
    </w:p>
    <w:p>
      <w:pPr>
        <w:pStyle w:val="H3"/>
        <w:numPr>
          <w:ilvl w:val="2"/>
          <w:numId w:val="1"/>
        </w:numPr>
      </w:pPr>
      <w:r>
        <w:t>4.3 Optional Work Packages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88"/>
        <w:gridCol w:w="4620"/>
        <w:gridCol w:w="17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Package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Cost (EUR)</w:t>
            </w:r>
          </w:p>
        </w:tc>
      </w:tr>
      <w:tr>
        <w:trPr>
          <w:trHeight w:val="425" w:hRule="atLeast"/>
        </w:trPr>
        <w:tc>
          <w:tcPr>
            <w:tcW w:type="dxa" w:w="3249"/>
            <w:vAlign w:val="center"/>
          </w:tcPr>
          <w:p>
            <w:pPr>
              <w:spacing w:line="276" w:lineRule="auto" w:before="0" w:after="0"/>
            </w:pPr>
            <w:r/>
            <w:r>
              <w:rPr>
                <w:rFonts w:ascii="Figtree" w:hAnsi="Figtree"/>
                <w:b w:val="0"/>
                <w:i w:val="0"/>
                <w:sz w:val="20"/>
              </w:rPr>
              <w:t>BL/TradeTrust Integration</w:t>
            </w:r>
          </w:p>
        </w:tc>
        <w:tc>
          <w:tcPr>
            <w:tcW w:type="dxa" w:w="3249"/>
            <w:vAlign w:val="center"/>
          </w:tcPr>
          <w:p>
            <w:pPr>
              <w:spacing w:line="276" w:lineRule="auto" w:before="0" w:after="0"/>
            </w:pPr>
            <w:r/>
            <w:r>
              <w:rPr>
                <w:rFonts w:ascii="Figtree" w:hAnsi="Figtree"/>
                <w:b w:val="0"/>
                <w:i w:val="0"/>
                <w:sz w:val="20"/>
              </w:rPr>
              <w:t>Full eBL workflow with TradeTrust document verification</w:t>
            </w:r>
          </w:p>
        </w:tc>
        <w:tc>
          <w:tcPr>
            <w:tcW w:type="dxa" w:w="3249"/>
            <w:vAlign w:val="center"/>
          </w:tcPr>
          <w:p>
            <w:pPr>
              <w:spacing w:line="276" w:lineRule="auto" w:before="0" w:after="0"/>
            </w:pPr>
            <w:r/>
            <w:r>
              <w:rPr>
                <w:rFonts w:ascii="Figtree" w:hAnsi="Figtree"/>
                <w:b w:val="0"/>
                <w:i w:val="0"/>
                <w:sz w:val="20"/>
              </w:rPr>
              <w:t>80,000 - 150,000</w:t>
            </w:r>
          </w:p>
        </w:tc>
      </w:tr>
      <w:tr>
        <w:trPr>
          <w:trHeight w:val="425" w:hRule="atLeast"/>
        </w:trPr>
        <w:tc>
          <w:tcPr>
            <w:tcW w:type="dxa" w:w="3249"/>
            <w:vAlign w:val="center"/>
          </w:tcPr>
          <w:p>
            <w:pPr>
              <w:spacing w:line="276" w:lineRule="auto" w:before="0" w:after="0"/>
            </w:pPr>
            <w:r/>
            <w:r>
              <w:rPr>
                <w:rFonts w:ascii="Figtree" w:hAnsi="Figtree"/>
                <w:b w:val="0"/>
                <w:i w:val="0"/>
                <w:sz w:val="20"/>
              </w:rPr>
              <w:t>Project Acacia Interoperability</w:t>
            </w:r>
          </w:p>
        </w:tc>
        <w:tc>
          <w:tcPr>
            <w:tcW w:type="dxa" w:w="3249"/>
            <w:vAlign w:val="center"/>
          </w:tcPr>
          <w:p>
            <w:pPr>
              <w:spacing w:line="276" w:lineRule="auto" w:before="0" w:after="0"/>
            </w:pPr>
            <w:r/>
            <w:r>
              <w:rPr>
                <w:rFonts w:ascii="Figtree" w:hAnsi="Figtree"/>
                <w:b w:val="0"/>
                <w:i w:val="0"/>
                <w:sz w:val="20"/>
              </w:rPr>
              <w:t>Cross-network settlement testing and RBA CBDC alignment</w:t>
            </w:r>
          </w:p>
        </w:tc>
        <w:tc>
          <w:tcPr>
            <w:tcW w:type="dxa" w:w="3249"/>
            <w:vAlign w:val="center"/>
          </w:tcPr>
          <w:p>
            <w:pPr>
              <w:spacing w:line="276" w:lineRule="auto" w:before="0" w:after="0"/>
            </w:pPr>
            <w:r/>
            <w:r>
              <w:rPr>
                <w:rFonts w:ascii="Figtree" w:hAnsi="Figtree"/>
                <w:b w:val="0"/>
                <w:i w:val="0"/>
                <w:sz w:val="20"/>
              </w:rPr>
              <w:t>60,000 - 120,000</w:t>
            </w:r>
          </w:p>
        </w:tc>
      </w:tr>
      <w:tr>
        <w:trPr>
          <w:trHeight w:val="425" w:hRule="atLeast"/>
        </w:trPr>
        <w:tc>
          <w:tcPr>
            <w:tcW w:type="dxa" w:w="3249"/>
            <w:vAlign w:val="center"/>
          </w:tcPr>
          <w:p>
            <w:pPr>
              <w:spacing w:line="276" w:lineRule="auto" w:before="0" w:after="0"/>
            </w:pPr>
            <w:r/>
            <w:r>
              <w:rPr>
                <w:rFonts w:ascii="Figtree" w:hAnsi="Figtree"/>
                <w:b w:val="0"/>
                <w:i w:val="0"/>
                <w:sz w:val="20"/>
              </w:rPr>
              <w:t>ANZ New Zealand Expansion</w:t>
            </w:r>
          </w:p>
        </w:tc>
        <w:tc>
          <w:tcPr>
            <w:tcW w:type="dxa" w:w="3249"/>
            <w:vAlign w:val="center"/>
          </w:tcPr>
          <w:p>
            <w:pPr>
              <w:spacing w:line="276" w:lineRule="auto" w:before="0" w:after="0"/>
            </w:pPr>
            <w:r/>
            <w:r>
              <w:rPr>
                <w:rFonts w:ascii="Figtree" w:hAnsi="Figtree"/>
                <w:b w:val="0"/>
                <w:i w:val="0"/>
                <w:sz w:val="20"/>
              </w:rPr>
              <w:t>Configuration and implementation for NZ jurisdiction</w:t>
            </w:r>
          </w:p>
        </w:tc>
        <w:tc>
          <w:tcPr>
            <w:tcW w:type="dxa" w:w="3249"/>
            <w:vAlign w:val="center"/>
          </w:tcPr>
          <w:p>
            <w:pPr>
              <w:spacing w:line="276" w:lineRule="auto" w:before="0" w:after="0"/>
            </w:pPr>
            <w:r/>
            <w:r>
              <w:rPr>
                <w:rFonts w:ascii="Figtree" w:hAnsi="Figtree"/>
                <w:b w:val="0"/>
                <w:i w:val="0"/>
                <w:sz w:val="20"/>
              </w:rPr>
              <w:t>120,000 - 200,000</w:t>
            </w:r>
          </w:p>
        </w:tc>
      </w:tr>
      <w:tr>
        <w:trPr>
          <w:trHeight w:val="425" w:hRule="atLeast"/>
        </w:trPr>
        <w:tc>
          <w:tcPr>
            <w:tcW w:type="dxa" w:w="3249"/>
            <w:vAlign w:val="center"/>
          </w:tcPr>
          <w:p>
            <w:pPr>
              <w:spacing w:line="276" w:lineRule="auto" w:before="0" w:after="0"/>
            </w:pPr>
            <w:r/>
            <w:r>
              <w:rPr>
                <w:rFonts w:ascii="Figtree" w:hAnsi="Figtree"/>
                <w:b w:val="0"/>
                <w:i w:val="0"/>
                <w:sz w:val="20"/>
              </w:rPr>
              <w:t>Commodity Price Feed Integration</w:t>
            </w:r>
          </w:p>
        </w:tc>
        <w:tc>
          <w:tcPr>
            <w:tcW w:type="dxa" w:w="3249"/>
            <w:vAlign w:val="center"/>
          </w:tcPr>
          <w:p>
            <w:pPr>
              <w:spacing w:line="276" w:lineRule="auto" w:before="0" w:after="0"/>
            </w:pPr>
            <w:r/>
            <w:r>
              <w:rPr>
                <w:rFonts w:ascii="Figtree" w:hAnsi="Figtree"/>
                <w:b w:val="0"/>
                <w:i w:val="0"/>
                <w:sz w:val="20"/>
              </w:rPr>
              <w:t>LME/CME price data for margin calculation</w:t>
            </w:r>
          </w:p>
        </w:tc>
        <w:tc>
          <w:tcPr>
            <w:tcW w:type="dxa" w:w="3249"/>
            <w:vAlign w:val="center"/>
          </w:tcPr>
          <w:p>
            <w:pPr>
              <w:spacing w:line="276" w:lineRule="auto" w:before="0" w:after="0"/>
            </w:pPr>
            <w:r/>
            <w:r>
              <w:rPr>
                <w:rFonts w:ascii="Figtree" w:hAnsi="Figtree"/>
                <w:b w:val="0"/>
                <w:i w:val="0"/>
                <w:sz w:val="20"/>
              </w:rPr>
              <w:t>30,000 - 60,000</w:t>
            </w:r>
          </w:p>
        </w:tc>
      </w:tr>
      <w:tr>
        <w:trPr>
          <w:trHeight w:val="425" w:hRule="atLeast"/>
        </w:trPr>
        <w:tc>
          <w:tcPr>
            <w:tcW w:type="dxa" w:w="3249"/>
            <w:vAlign w:val="center"/>
          </w:tcPr>
          <w:p>
            <w:pPr>
              <w:spacing w:line="276" w:lineRule="auto" w:before="0" w:after="0"/>
            </w:pPr>
            <w:r/>
            <w:r>
              <w:rPr>
                <w:rFonts w:ascii="Figtree" w:hAnsi="Figtree"/>
                <w:b w:val="0"/>
                <w:i w:val="0"/>
                <w:sz w:val="20"/>
              </w:rPr>
              <w:t>AUSTRAC Advanced Reporting</w:t>
            </w:r>
          </w:p>
        </w:tc>
        <w:tc>
          <w:tcPr>
            <w:tcW w:type="dxa" w:w="3249"/>
            <w:vAlign w:val="center"/>
          </w:tcPr>
          <w:p>
            <w:pPr>
              <w:spacing w:line="276" w:lineRule="auto" w:before="0" w:after="0"/>
            </w:pPr>
            <w:r/>
            <w:r>
              <w:rPr>
                <w:rFonts w:ascii="Figtree" w:hAnsi="Figtree"/>
                <w:b w:val="0"/>
                <w:i w:val="0"/>
                <w:sz w:val="20"/>
              </w:rPr>
              <w:t>Custom AUSTRAC reporting templates and automation</w:t>
            </w:r>
          </w:p>
        </w:tc>
        <w:tc>
          <w:tcPr>
            <w:tcW w:type="dxa" w:w="3249"/>
            <w:vAlign w:val="center"/>
          </w:tcPr>
          <w:p>
            <w:pPr>
              <w:spacing w:line="276" w:lineRule="auto" w:before="0" w:after="0"/>
            </w:pPr>
            <w:r/>
            <w:r>
              <w:rPr>
                <w:rFonts w:ascii="Figtree" w:hAnsi="Figtree"/>
                <w:b w:val="0"/>
                <w:i w:val="0"/>
                <w:sz w:val="20"/>
              </w:rPr>
              <w:t>40,000 - 80,000</w:t>
            </w:r>
          </w:p>
        </w:tc>
      </w:tr>
    </w:tbl>
    <w:p>
      <w:pPr>
        <w:spacing w:before="0" w:after="0" w:line="120" w:lineRule="exact"/>
      </w:pPr>
    </w:p>
    <w:p>
      <w:r>
        <w:br w:type="page"/>
      </w:r>
    </w:p>
    <w:p>
      <w:pPr>
        <w:pStyle w:val="H2"/>
        <w:numPr>
          <w:ilvl w:val="1"/>
          <w:numId w:val="1"/>
        </w:numPr>
      </w:pPr>
      <w:r>
        <w:t>5. Environment and Infrastructure Costs</w:t>
      </w:r>
    </w:p>
    <w:p>
      <w:pPr>
        <w:pStyle w:val="H3"/>
        <w:numPr>
          <w:ilvl w:val="2"/>
          <w:numId w:val="1"/>
        </w:numPr>
      </w:pPr>
      <w:r>
        <w:t>5.1 AWS ap-southeast-2 (Sydney) Pass-Through</w:t>
      </w:r>
    </w:p>
    <w:p>
      <w:r>
        <w:rPr>
          <w:rFonts w:ascii="Figtree" w:hAnsi="Figtree"/>
          <w:b w:val="0"/>
          <w:i w:val="0"/>
          <w:sz w:val="22"/>
        </w:rPr>
        <w:t>Infrastructure costs for AWS Sydney are passed through at actual AWS pricing without markup:</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907"/>
        <w:gridCol w:w="416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Indicative Annual Cost (USD)</w:t>
            </w:r>
          </w:p>
        </w:tc>
      </w:tr>
      <w:tr>
        <w:trPr>
          <w:trHeight w:val="425" w:hRule="atLeast"/>
        </w:trPr>
        <w:tc>
          <w:tcPr>
            <w:tcW w:type="dxa" w:w="4873"/>
            <w:vAlign w:val="center"/>
          </w:tcPr>
          <w:p>
            <w:pPr>
              <w:spacing w:line="276" w:lineRule="auto" w:before="0" w:after="0"/>
            </w:pPr>
            <w:r/>
            <w:r>
              <w:rPr>
                <w:rFonts w:ascii="Figtree" w:hAnsi="Figtree"/>
                <w:b w:val="0"/>
                <w:i w:val="0"/>
                <w:sz w:val="20"/>
              </w:rPr>
              <w:t>EKS cluster (compute)</w:t>
            </w:r>
          </w:p>
        </w:tc>
        <w:tc>
          <w:tcPr>
            <w:tcW w:type="dxa" w:w="4873"/>
            <w:vAlign w:val="center"/>
          </w:tcPr>
          <w:p>
            <w:pPr>
              <w:spacing w:line="276" w:lineRule="auto" w:before="0" w:after="0"/>
            </w:pPr>
            <w:r/>
            <w:r>
              <w:rPr>
                <w:rFonts w:ascii="Figtree" w:hAnsi="Figtree"/>
                <w:b w:val="0"/>
                <w:i w:val="0"/>
                <w:sz w:val="20"/>
              </w:rPr>
              <w:t>18,000 - 30,000</w:t>
            </w:r>
          </w:p>
        </w:tc>
      </w:tr>
      <w:tr>
        <w:trPr>
          <w:trHeight w:val="425" w:hRule="atLeast"/>
        </w:trPr>
        <w:tc>
          <w:tcPr>
            <w:tcW w:type="dxa" w:w="4873"/>
            <w:vAlign w:val="center"/>
          </w:tcPr>
          <w:p>
            <w:pPr>
              <w:spacing w:line="276" w:lineRule="auto" w:before="0" w:after="0"/>
            </w:pPr>
            <w:r/>
            <w:r>
              <w:rPr>
                <w:rFonts w:ascii="Figtree" w:hAnsi="Figtree"/>
                <w:b w:val="0"/>
                <w:i w:val="0"/>
                <w:sz w:val="20"/>
              </w:rPr>
              <w:t>Aurora PostgreSQL Multi-AZ</w:t>
            </w:r>
          </w:p>
        </w:tc>
        <w:tc>
          <w:tcPr>
            <w:tcW w:type="dxa" w:w="4873"/>
            <w:vAlign w:val="center"/>
          </w:tcPr>
          <w:p>
            <w:pPr>
              <w:spacing w:line="276" w:lineRule="auto" w:before="0" w:after="0"/>
            </w:pPr>
            <w:r/>
            <w:r>
              <w:rPr>
                <w:rFonts w:ascii="Figtree" w:hAnsi="Figtree"/>
                <w:b w:val="0"/>
                <w:i w:val="0"/>
                <w:sz w:val="20"/>
              </w:rPr>
              <w:t>10,000 - 18,000</w:t>
            </w:r>
          </w:p>
        </w:tc>
      </w:tr>
      <w:tr>
        <w:trPr>
          <w:trHeight w:val="425" w:hRule="atLeast"/>
        </w:trPr>
        <w:tc>
          <w:tcPr>
            <w:tcW w:type="dxa" w:w="4873"/>
            <w:vAlign w:val="center"/>
          </w:tcPr>
          <w:p>
            <w:pPr>
              <w:spacing w:line="276" w:lineRule="auto" w:before="0" w:after="0"/>
            </w:pPr>
            <w:r/>
            <w:r>
              <w:rPr>
                <w:rFonts w:ascii="Figtree" w:hAnsi="Figtree"/>
                <w:b w:val="0"/>
                <w:i w:val="0"/>
                <w:sz w:val="20"/>
              </w:rPr>
              <w:t>CloudHSM (FIPS 140-2 L3)</w:t>
            </w:r>
          </w:p>
        </w:tc>
        <w:tc>
          <w:tcPr>
            <w:tcW w:type="dxa" w:w="4873"/>
            <w:vAlign w:val="center"/>
          </w:tcPr>
          <w:p>
            <w:pPr>
              <w:spacing w:line="276" w:lineRule="auto" w:before="0" w:after="0"/>
            </w:pPr>
            <w:r/>
            <w:r>
              <w:rPr>
                <w:rFonts w:ascii="Figtree" w:hAnsi="Figtree"/>
                <w:b w:val="0"/>
                <w:i w:val="0"/>
                <w:sz w:val="20"/>
              </w:rPr>
              <w:t>15,000 - 20,000</w:t>
            </w:r>
          </w:p>
        </w:tc>
      </w:tr>
      <w:tr>
        <w:trPr>
          <w:trHeight w:val="425" w:hRule="atLeast"/>
        </w:trPr>
        <w:tc>
          <w:tcPr>
            <w:tcW w:type="dxa" w:w="4873"/>
            <w:vAlign w:val="center"/>
          </w:tcPr>
          <w:p>
            <w:pPr>
              <w:spacing w:line="276" w:lineRule="auto" w:before="0" w:after="0"/>
            </w:pPr>
            <w:r/>
            <w:r>
              <w:rPr>
                <w:rFonts w:ascii="Figtree" w:hAnsi="Figtree"/>
                <w:b w:val="0"/>
                <w:i w:val="0"/>
                <w:sz w:val="20"/>
              </w:rPr>
              <w:t>S3, Secrets Manager, networking</w:t>
            </w:r>
          </w:p>
        </w:tc>
        <w:tc>
          <w:tcPr>
            <w:tcW w:type="dxa" w:w="4873"/>
            <w:vAlign w:val="center"/>
          </w:tcPr>
          <w:p>
            <w:pPr>
              <w:spacing w:line="276" w:lineRule="auto" w:before="0" w:after="0"/>
            </w:pPr>
            <w:r/>
            <w:r>
              <w:rPr>
                <w:rFonts w:ascii="Figtree" w:hAnsi="Figtree"/>
                <w:b w:val="0"/>
                <w:i w:val="0"/>
                <w:sz w:val="20"/>
              </w:rPr>
              <w:t>5,000 - 10,000</w:t>
            </w:r>
          </w:p>
        </w:tc>
      </w:tr>
      <w:tr>
        <w:trPr>
          <w:trHeight w:val="425" w:hRule="atLeast"/>
        </w:trPr>
        <w:tc>
          <w:tcPr>
            <w:tcW w:type="dxa" w:w="4873"/>
            <w:vAlign w:val="center"/>
          </w:tcPr>
          <w:p>
            <w:pPr>
              <w:spacing w:line="276" w:lineRule="auto" w:before="0" w:after="0"/>
            </w:pPr>
            <w:r/>
            <w:r>
              <w:rPr>
                <w:rFonts w:ascii="Figtree" w:hAnsi="Figtree"/>
                <w:b/>
                <w:i w:val="0"/>
                <w:sz w:val="20"/>
              </w:rPr>
              <w:t>Total indicative (production)</w:t>
            </w:r>
          </w:p>
        </w:tc>
        <w:tc>
          <w:tcPr>
            <w:tcW w:type="dxa" w:w="4873"/>
            <w:vAlign w:val="center"/>
          </w:tcPr>
          <w:p>
            <w:pPr>
              <w:spacing w:line="276" w:lineRule="auto" w:before="0" w:after="0"/>
            </w:pPr>
            <w:r/>
            <w:r>
              <w:rPr>
                <w:rFonts w:ascii="Figtree" w:hAnsi="Figtree"/>
                <w:b/>
                <w:i w:val="0"/>
                <w:sz w:val="20"/>
              </w:rPr>
              <w:t>48,000 - 78,000/year</w:t>
            </w:r>
          </w:p>
        </w:tc>
      </w:tr>
    </w:tbl>
    <w:p>
      <w:pPr>
        <w:spacing w:before="0" w:after="0" w:line="120" w:lineRule="exact"/>
      </w:pPr>
    </w:p>
    <w:p>
      <w:r>
        <w:rPr>
          <w:rFonts w:ascii="Figtree" w:hAnsi="Figtree"/>
          <w:b w:val="0"/>
          <w:i/>
          <w:sz w:val="22"/>
        </w:rPr>
        <w:t>ANZ's existing AWS agreements and reserved instance commitments may materially reduce these costs.</w:t>
      </w:r>
    </w:p>
    <w:p>
      <w:pPr>
        <w:pStyle w:val="H3"/>
        <w:numPr>
          <w:ilvl w:val="2"/>
          <w:numId w:val="1"/>
        </w:numPr>
      </w:pPr>
      <w:r>
        <w:t>5.2 Third-Party Pass-Through</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5"/>
        <w:gridCol w:w="597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Service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Arrangement</w:t>
            </w:r>
          </w:p>
        </w:tc>
      </w:tr>
      <w:tr>
        <w:trPr>
          <w:trHeight w:val="425" w:hRule="atLeast"/>
        </w:trPr>
        <w:tc>
          <w:tcPr>
            <w:tcW w:type="dxa" w:w="4873"/>
            <w:vAlign w:val="center"/>
          </w:tcPr>
          <w:p>
            <w:pPr>
              <w:spacing w:line="276" w:lineRule="auto" w:before="0" w:after="0"/>
            </w:pPr>
            <w:r/>
            <w:r>
              <w:rPr>
                <w:rFonts w:ascii="Figtree" w:hAnsi="Figtree"/>
                <w:b w:val="0"/>
                <w:i w:val="0"/>
                <w:sz w:val="20"/>
              </w:rPr>
              <w:t>Fireblocks</w:t>
            </w:r>
          </w:p>
        </w:tc>
        <w:tc>
          <w:tcPr>
            <w:tcW w:type="dxa" w:w="4873"/>
            <w:vAlign w:val="center"/>
          </w:tcPr>
          <w:p>
            <w:pPr>
              <w:spacing w:line="276" w:lineRule="auto" w:before="0" w:after="0"/>
            </w:pPr>
            <w:r/>
            <w:r>
              <w:rPr>
                <w:rFonts w:ascii="Figtree" w:hAnsi="Figtree"/>
                <w:b w:val="0"/>
                <w:i w:val="0"/>
                <w:sz w:val="20"/>
              </w:rPr>
              <w:t>ANZ contracts directly; no SettleMint markup</w:t>
            </w:r>
          </w:p>
        </w:tc>
      </w:tr>
      <w:tr>
        <w:trPr>
          <w:trHeight w:val="425" w:hRule="atLeast"/>
        </w:trPr>
        <w:tc>
          <w:tcPr>
            <w:tcW w:type="dxa" w:w="4873"/>
            <w:vAlign w:val="center"/>
          </w:tcPr>
          <w:p>
            <w:pPr>
              <w:spacing w:line="276" w:lineRule="auto" w:before="0" w:after="0"/>
            </w:pPr>
            <w:r/>
            <w:r>
              <w:rPr>
                <w:rFonts w:ascii="Figtree" w:hAnsi="Figtree"/>
                <w:b w:val="0"/>
                <w:i w:val="0"/>
                <w:sz w:val="20"/>
              </w:rPr>
              <w:t>A$DC reserve management</w:t>
            </w:r>
          </w:p>
        </w:tc>
        <w:tc>
          <w:tcPr>
            <w:tcW w:type="dxa" w:w="4873"/>
            <w:vAlign w:val="center"/>
          </w:tcPr>
          <w:p>
            <w:pPr>
              <w:spacing w:line="276" w:lineRule="auto" w:before="0" w:after="0"/>
            </w:pPr>
            <w:r/>
            <w:r>
              <w:rPr>
                <w:rFonts w:ascii="Figtree" w:hAnsi="Figtree"/>
                <w:b w:val="0"/>
                <w:i w:val="0"/>
                <w:sz w:val="20"/>
              </w:rPr>
              <w:t>Outside SettleMint scope; ANZ manages</w:t>
            </w:r>
          </w:p>
        </w:tc>
      </w:tr>
      <w:tr>
        <w:trPr>
          <w:trHeight w:val="425" w:hRule="atLeast"/>
        </w:trPr>
        <w:tc>
          <w:tcPr>
            <w:tcW w:type="dxa" w:w="4873"/>
            <w:vAlign w:val="center"/>
          </w:tcPr>
          <w:p>
            <w:pPr>
              <w:spacing w:line="276" w:lineRule="auto" w:before="0" w:after="0"/>
            </w:pPr>
            <w:r/>
            <w:r>
              <w:rPr>
                <w:rFonts w:ascii="Figtree" w:hAnsi="Figtree"/>
                <w:b w:val="0"/>
                <w:i w:val="0"/>
                <w:sz w:val="20"/>
              </w:rPr>
              <w:t>TradeTrust</w:t>
            </w:r>
          </w:p>
        </w:tc>
        <w:tc>
          <w:tcPr>
            <w:tcW w:type="dxa" w:w="4873"/>
            <w:vAlign w:val="center"/>
          </w:tcPr>
          <w:p>
            <w:pPr>
              <w:spacing w:line="276" w:lineRule="auto" w:before="0" w:after="0"/>
            </w:pPr>
            <w:r/>
            <w:r>
              <w:rPr>
                <w:rFonts w:ascii="Figtree" w:hAnsi="Figtree"/>
                <w:b w:val="0"/>
                <w:i w:val="0"/>
                <w:sz w:val="20"/>
              </w:rPr>
              <w:t>No TradeTrust network membership fees to SettleMint</w:t>
            </w:r>
          </w:p>
        </w:tc>
      </w:tr>
      <w:tr>
        <w:trPr>
          <w:trHeight w:val="425" w:hRule="atLeast"/>
        </w:trPr>
        <w:tc>
          <w:tcPr>
            <w:tcW w:type="dxa" w:w="4873"/>
            <w:vAlign w:val="center"/>
          </w:tcPr>
          <w:p>
            <w:pPr>
              <w:spacing w:line="276" w:lineRule="auto" w:before="0" w:after="0"/>
            </w:pPr>
            <w:r/>
            <w:r>
              <w:rPr>
                <w:rFonts w:ascii="Figtree" w:hAnsi="Figtree"/>
                <w:b w:val="0"/>
                <w:i w:val="0"/>
                <w:sz w:val="20"/>
              </w:rPr>
              <w:t>NPP access</w:t>
            </w:r>
          </w:p>
        </w:tc>
        <w:tc>
          <w:tcPr>
            <w:tcW w:type="dxa" w:w="4873"/>
            <w:vAlign w:val="center"/>
          </w:tcPr>
          <w:p>
            <w:pPr>
              <w:spacing w:line="276" w:lineRule="auto" w:before="0" w:after="0"/>
            </w:pPr>
            <w:r/>
            <w:r>
              <w:rPr>
                <w:rFonts w:ascii="Figtree" w:hAnsi="Figtree"/>
                <w:b w:val="0"/>
                <w:i w:val="0"/>
                <w:sz w:val="20"/>
              </w:rPr>
              <w:t>Through ANZ's existing NPP membership</w:t>
            </w:r>
          </w:p>
        </w:tc>
      </w:tr>
    </w:tbl>
    <w:p>
      <w:pPr>
        <w:spacing w:before="0" w:after="0" w:line="120" w:lineRule="exact"/>
      </w:pPr>
    </w:p>
    <w:p>
      <w:r>
        <w:br w:type="page"/>
      </w:r>
    </w:p>
    <w:p>
      <w:pPr>
        <w:pStyle w:val="H2"/>
        <w:numPr>
          <w:ilvl w:val="1"/>
          <w:numId w:val="1"/>
        </w:numPr>
      </w:pPr>
      <w:r>
        <w:t>6. Support and Maintenance Fees</w:t>
      </w:r>
    </w:p>
    <w:p>
      <w:pPr>
        <w:pStyle w:val="H3"/>
        <w:numPr>
          <w:ilvl w:val="2"/>
          <w:numId w:val="1"/>
        </w:numPr>
      </w:pPr>
      <w:r>
        <w:t>6.1 Enterprise Support</w:t>
      </w:r>
    </w:p>
    <w:p>
      <w:r>
        <w:rPr>
          <w:rFonts w:ascii="Figtree" w:hAnsi="Figtree"/>
          <w:b w:val="0"/>
          <w:i w:val="0"/>
          <w:sz w:val="22"/>
        </w:rPr>
        <w:t>Enterprise Support (24/7/365) is required for an APRA-regulated operational risk management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368"/>
        <w:gridCol w:w="470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Commitment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bl>
    <w:p>
      <w:pPr>
        <w:spacing w:before="0" w:after="0" w:line="120" w:lineRule="exact"/>
      </w:pPr>
    </w:p>
    <w:p>
      <w:r>
        <w:rPr>
          <w:rFonts w:ascii="Figtree" w:hAnsi="Figtree"/>
          <w:b/>
          <w:i w:val="0"/>
          <w:sz w:val="22"/>
        </w:rPr>
        <w:t>Annual Enterprise Support Fee:</w:t>
      </w:r>
      <w:r>
        <w:rPr>
          <w:rFonts w:ascii="Figtree" w:hAnsi="Figtree"/>
          <w:b w:val="0"/>
          <w:i w:val="0"/>
          <w:sz w:val="22"/>
        </w:rPr>
        <w:t xml:space="preserve"> [CLIENT-SPECIFIC — indicative range EUR 100,000-150,000/year based on APAC bank scale and programme complexity]</w:t>
      </w:r>
    </w:p>
    <w:p>
      <w:pPr>
        <w:pStyle w:val="H3"/>
        <w:numPr>
          <w:ilvl w:val="2"/>
          <w:numId w:val="1"/>
        </w:numPr>
      </w:pPr>
      <w:r>
        <w:t>6.2 APRA Incident Notification Included</w:t>
      </w:r>
    </w:p>
    <w:p>
      <w:r>
        <w:rPr>
          <w:rFonts w:ascii="Figtree" w:hAnsi="Figtree"/>
          <w:b w:val="0"/>
          <w:i w:val="0"/>
          <w:sz w:val="22"/>
        </w:rPr>
        <w:t>Enterprise Support includes APRA-compatible incident notification procedures: immediate notification, 30-minute status updates, 5-business-day post-incident root cause analysis, consistent with APRA's prudential requirements for material operational incidents.</w:t>
      </w:r>
    </w:p>
    <w:p>
      <w:r>
        <w:br w:type="page"/>
      </w:r>
    </w:p>
    <w:p>
      <w:pPr>
        <w:pStyle w:val="H2"/>
        <w:numPr>
          <w:ilvl w:val="1"/>
          <w:numId w:val="1"/>
        </w:numPr>
      </w:pPr>
      <w:r>
        <w:t>7. Total Cost of Ownership Analysis</w:t>
      </w:r>
    </w:p>
    <w:p>
      <w:pPr>
        <w:pStyle w:val="H3"/>
        <w:numPr>
          <w:ilvl w:val="2"/>
          <w:numId w:val="1"/>
        </w:numPr>
      </w:pPr>
      <w:r>
        <w:t>7.1 Three-Year TCO</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98"/>
        <w:gridCol w:w="1582"/>
        <w:gridCol w:w="1582"/>
        <w:gridCol w:w="1582"/>
        <w:gridCol w:w="242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 (EUR)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(EUR)</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420,000</w:t>
            </w:r>
          </w:p>
        </w:tc>
        <w:tc>
          <w:tcPr>
            <w:tcW w:type="dxa" w:w="1949"/>
            <w:vAlign w:val="center"/>
          </w:tcPr>
          <w:p>
            <w:pPr>
              <w:spacing w:line="276" w:lineRule="auto" w:before="0" w:after="0"/>
            </w:pPr>
            <w:r/>
            <w:r>
              <w:rPr>
                <w:rFonts w:ascii="Figtree" w:hAnsi="Figtree"/>
                <w:b w:val="0"/>
                <w:i w:val="0"/>
                <w:sz w:val="20"/>
              </w:rPr>
              <w:t>1,260,000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w:t>
            </w:r>
          </w:p>
        </w:tc>
        <w:tc>
          <w:tcPr>
            <w:tcW w:type="dxa" w:w="1949"/>
            <w:vAlign w:val="center"/>
          </w:tcPr>
          <w:p>
            <w:pPr>
              <w:spacing w:line="276" w:lineRule="auto" w:before="0" w:after="0"/>
            </w:pPr>
            <w:r/>
            <w:r>
              <w:rPr>
                <w:rFonts w:ascii="Figtree" w:hAnsi="Figtree"/>
                <w:b w:val="0"/>
                <w:i w:val="0"/>
                <w:sz w:val="20"/>
              </w:rPr>
              <w:t>380,000-550,000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380,000-550,000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100,000-150,000</w:t>
            </w:r>
          </w:p>
        </w:tc>
        <w:tc>
          <w:tcPr>
            <w:tcW w:type="dxa" w:w="1949"/>
            <w:vAlign w:val="center"/>
          </w:tcPr>
          <w:p>
            <w:pPr>
              <w:spacing w:line="276" w:lineRule="auto" w:before="0" w:after="0"/>
            </w:pPr>
            <w:r/>
            <w:r>
              <w:rPr>
                <w:rFonts w:ascii="Figtree" w:hAnsi="Figtree"/>
                <w:b w:val="0"/>
                <w:i w:val="0"/>
                <w:sz w:val="20"/>
              </w:rPr>
              <w:t>100,000-150,000</w:t>
            </w:r>
          </w:p>
        </w:tc>
        <w:tc>
          <w:tcPr>
            <w:tcW w:type="dxa" w:w="1949"/>
            <w:vAlign w:val="center"/>
          </w:tcPr>
          <w:p>
            <w:pPr>
              <w:spacing w:line="276" w:lineRule="auto" w:before="0" w:after="0"/>
            </w:pPr>
            <w:r/>
            <w:r>
              <w:rPr>
                <w:rFonts w:ascii="Figtree" w:hAnsi="Figtree"/>
                <w:b w:val="0"/>
                <w:i w:val="0"/>
                <w:sz w:val="20"/>
              </w:rPr>
              <w:t>100,000-150,000</w:t>
            </w:r>
          </w:p>
        </w:tc>
        <w:tc>
          <w:tcPr>
            <w:tcW w:type="dxa" w:w="1949"/>
            <w:vAlign w:val="center"/>
          </w:tcPr>
          <w:p>
            <w:pPr>
              <w:spacing w:line="276" w:lineRule="auto" w:before="0" w:after="0"/>
            </w:pPr>
            <w:r/>
            <w:r>
              <w:rPr>
                <w:rFonts w:ascii="Figtree" w:hAnsi="Figtree"/>
                <w:b w:val="0"/>
                <w:i w:val="0"/>
                <w:sz w:val="20"/>
              </w:rPr>
              <w:t>300,000-450,000</w:t>
            </w:r>
          </w:p>
        </w:tc>
      </w:tr>
      <w:tr>
        <w:trPr>
          <w:trHeight w:val="425" w:hRule="atLeast"/>
        </w:trPr>
        <w:tc>
          <w:tcPr>
            <w:tcW w:type="dxa" w:w="1949"/>
            <w:vAlign w:val="center"/>
          </w:tcPr>
          <w:p>
            <w:pPr>
              <w:spacing w:line="276" w:lineRule="auto" w:before="0" w:after="0"/>
            </w:pPr>
            <w:r/>
            <w:r>
              <w:rPr>
                <w:rFonts w:ascii="Figtree" w:hAnsi="Figtree"/>
                <w:b w:val="0"/>
                <w:i w:val="0"/>
                <w:sz w:val="20"/>
              </w:rPr>
              <w:t>AWS Infrastructure</w:t>
            </w:r>
          </w:p>
        </w:tc>
        <w:tc>
          <w:tcPr>
            <w:tcW w:type="dxa" w:w="1949"/>
            <w:vAlign w:val="center"/>
          </w:tcPr>
          <w:p>
            <w:pPr>
              <w:spacing w:line="276" w:lineRule="auto" w:before="0" w:after="0"/>
            </w:pPr>
            <w:r/>
            <w:r>
              <w:rPr>
                <w:rFonts w:ascii="Figtree" w:hAnsi="Figtree"/>
                <w:b w:val="0"/>
                <w:i w:val="0"/>
                <w:sz w:val="20"/>
              </w:rPr>
              <w:t>~60,000</w:t>
            </w:r>
          </w:p>
        </w:tc>
        <w:tc>
          <w:tcPr>
            <w:tcW w:type="dxa" w:w="1949"/>
            <w:vAlign w:val="center"/>
          </w:tcPr>
          <w:p>
            <w:pPr>
              <w:spacing w:line="276" w:lineRule="auto" w:before="0" w:after="0"/>
            </w:pPr>
            <w:r/>
            <w:r>
              <w:rPr>
                <w:rFonts w:ascii="Figtree" w:hAnsi="Figtree"/>
                <w:b w:val="0"/>
                <w:i w:val="0"/>
                <w:sz w:val="20"/>
              </w:rPr>
              <w:t>~65,000</w:t>
            </w:r>
          </w:p>
        </w:tc>
        <w:tc>
          <w:tcPr>
            <w:tcW w:type="dxa" w:w="1949"/>
            <w:vAlign w:val="center"/>
          </w:tcPr>
          <w:p>
            <w:pPr>
              <w:spacing w:line="276" w:lineRule="auto" w:before="0" w:after="0"/>
            </w:pPr>
            <w:r/>
            <w:r>
              <w:rPr>
                <w:rFonts w:ascii="Figtree" w:hAnsi="Figtree"/>
                <w:b w:val="0"/>
                <w:i w:val="0"/>
                <w:sz w:val="20"/>
              </w:rPr>
              <w:t>~70,000</w:t>
            </w:r>
          </w:p>
        </w:tc>
        <w:tc>
          <w:tcPr>
            <w:tcW w:type="dxa" w:w="1949"/>
            <w:vAlign w:val="center"/>
          </w:tcPr>
          <w:p>
            <w:pPr>
              <w:spacing w:line="276" w:lineRule="auto" w:before="0" w:after="0"/>
            </w:pPr>
            <w:r/>
            <w:r>
              <w:rPr>
                <w:rFonts w:ascii="Figtree" w:hAnsi="Figtree"/>
                <w:b w:val="0"/>
                <w:i w:val="0"/>
                <w:sz w:val="20"/>
              </w:rPr>
              <w:t>~195,000</w:t>
            </w:r>
          </w:p>
        </w:tc>
      </w:tr>
      <w:tr>
        <w:trPr>
          <w:trHeight w:val="425" w:hRule="atLeast"/>
        </w:trPr>
        <w:tc>
          <w:tcPr>
            <w:tcW w:type="dxa" w:w="1949"/>
            <w:vAlign w:val="center"/>
          </w:tcPr>
          <w:p>
            <w:pPr>
              <w:spacing w:line="276" w:lineRule="auto" w:before="0" w:after="0"/>
            </w:pPr>
            <w:r/>
            <w:r>
              <w:rPr>
                <w:rFonts w:ascii="Figtree" w:hAnsi="Figtree"/>
                <w:b/>
                <w:i w:val="0"/>
                <w:sz w:val="20"/>
              </w:rPr>
              <w:t>Total Range</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r>
              <w:rPr>
                <w:rFonts w:ascii="Figtree" w:hAnsi="Figtree"/>
                <w:b/>
                <w:i w:val="0"/>
                <w:sz w:val="20"/>
              </w:rPr>
              <w:t>2,135,000-2,455,000</w:t>
            </w:r>
          </w:p>
        </w:tc>
      </w:tr>
    </w:tbl>
    <w:p>
      <w:pPr>
        <w:spacing w:before="0" w:after="0" w:line="120" w:lineRule="exact"/>
      </w:pPr>
    </w:p>
    <w:p>
      <w:pPr>
        <w:pStyle w:val="H3"/>
        <w:numPr>
          <w:ilvl w:val="2"/>
          <w:numId w:val="1"/>
        </w:numPr>
      </w:pPr>
      <w:r>
        <w:t>7.2 Build vs. Buy</w:t>
      </w:r>
    </w:p>
    <w:p>
      <w:r>
        <w:rPr>
          <w:rFonts w:ascii="Figtree" w:hAnsi="Figtree"/>
          <w:b w:val="0"/>
          <w:i w:val="0"/>
          <w:sz w:val="22"/>
        </w:rPr>
        <w:t>Custom development of a comparable commodity finance tokenization platform — including smart contract development, security audits, compliance engine, settlement infrastructure, documentary compliance module, NPP integration, AUSTRAC reporting, and operational tooling — would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233"/>
        <w:gridCol w:w="383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Custom Development (3 years, EUR)</w:t>
            </w:r>
          </w:p>
        </w:tc>
      </w:tr>
      <w:tr>
        <w:trPr>
          <w:trHeight w:val="425" w:hRule="atLeast"/>
        </w:trPr>
        <w:tc>
          <w:tcPr>
            <w:tcW w:type="dxa" w:w="4873"/>
            <w:vAlign w:val="center"/>
          </w:tcPr>
          <w:p>
            <w:pPr>
              <w:spacing w:line="276" w:lineRule="auto" w:before="0" w:after="0"/>
            </w:pPr>
            <w:r/>
            <w:r>
              <w:rPr>
                <w:rFonts w:ascii="Figtree" w:hAnsi="Figtree"/>
                <w:b w:val="0"/>
                <w:i w:val="0"/>
                <w:sz w:val="20"/>
              </w:rPr>
              <w:t>Smart contract and compliance engine</w:t>
            </w:r>
          </w:p>
        </w:tc>
        <w:tc>
          <w:tcPr>
            <w:tcW w:type="dxa" w:w="4873"/>
            <w:vAlign w:val="center"/>
          </w:tcPr>
          <w:p>
            <w:pPr>
              <w:spacing w:line="276" w:lineRule="auto" w:before="0" w:after="0"/>
            </w:pPr>
            <w:r/>
            <w:r>
              <w:rPr>
                <w:rFonts w:ascii="Figtree" w:hAnsi="Figtree"/>
                <w:b w:val="0"/>
                <w:i w:val="0"/>
                <w:sz w:val="20"/>
              </w:rPr>
              <w:t>500,000 - 1,000,000</w:t>
            </w:r>
          </w:p>
        </w:tc>
      </w:tr>
      <w:tr>
        <w:trPr>
          <w:trHeight w:val="425" w:hRule="atLeast"/>
        </w:trPr>
        <w:tc>
          <w:tcPr>
            <w:tcW w:type="dxa" w:w="4873"/>
            <w:vAlign w:val="center"/>
          </w:tcPr>
          <w:p>
            <w:pPr>
              <w:spacing w:line="276" w:lineRule="auto" w:before="0" w:after="0"/>
            </w:pPr>
            <w:r/>
            <w:r>
              <w:rPr>
                <w:rFonts w:ascii="Figtree" w:hAnsi="Figtree"/>
                <w:b w:val="0"/>
                <w:i w:val="0"/>
                <w:sz w:val="20"/>
              </w:rPr>
              <w:t>Settlement infrastructure (DvP, XvP, HTLC)</w:t>
            </w:r>
          </w:p>
        </w:tc>
        <w:tc>
          <w:tcPr>
            <w:tcW w:type="dxa" w:w="4873"/>
            <w:vAlign w:val="center"/>
          </w:tcPr>
          <w:p>
            <w:pPr>
              <w:spacing w:line="276" w:lineRule="auto" w:before="0" w:after="0"/>
            </w:pPr>
            <w:r/>
            <w:r>
              <w:rPr>
                <w:rFonts w:ascii="Figtree" w:hAnsi="Figtree"/>
                <w:b w:val="0"/>
                <w:i w:val="0"/>
                <w:sz w:val="20"/>
              </w:rPr>
              <w:t>400,000 - 800,000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development (NPP, SWIFT, AUSTRAC)</w:t>
            </w:r>
          </w:p>
        </w:tc>
        <w:tc>
          <w:tcPr>
            <w:tcW w:type="dxa" w:w="4873"/>
            <w:vAlign w:val="center"/>
          </w:tcPr>
          <w:p>
            <w:pPr>
              <w:spacing w:line="276" w:lineRule="auto" w:before="0" w:after="0"/>
            </w:pPr>
            <w:r/>
            <w:r>
              <w:rPr>
                <w:rFonts w:ascii="Figtree" w:hAnsi="Figtree"/>
                <w:b w:val="0"/>
                <w:i w:val="0"/>
                <w:sz w:val="20"/>
              </w:rPr>
              <w:t>300,000 - 600,000</w:t>
            </w:r>
          </w:p>
        </w:tc>
      </w:tr>
      <w:tr>
        <w:trPr>
          <w:trHeight w:val="425" w:hRule="atLeast"/>
        </w:trPr>
        <w:tc>
          <w:tcPr>
            <w:tcW w:type="dxa" w:w="4873"/>
            <w:vAlign w:val="center"/>
          </w:tcPr>
          <w:p>
            <w:pPr>
              <w:spacing w:line="276" w:lineRule="auto" w:before="0" w:after="0"/>
            </w:pPr>
            <w:r/>
            <w:r>
              <w:rPr>
                <w:rFonts w:ascii="Figtree" w:hAnsi="Figtree"/>
                <w:b w:val="0"/>
                <w:i w:val="0"/>
                <w:sz w:val="20"/>
              </w:rPr>
              <w:t>Security and operational tooling</w:t>
            </w:r>
          </w:p>
        </w:tc>
        <w:tc>
          <w:tcPr>
            <w:tcW w:type="dxa" w:w="4873"/>
            <w:vAlign w:val="center"/>
          </w:tcPr>
          <w:p>
            <w:pPr>
              <w:spacing w:line="276" w:lineRule="auto" w:before="0" w:after="0"/>
            </w:pPr>
            <w:r/>
            <w:r>
              <w:rPr>
                <w:rFonts w:ascii="Figtree" w:hAnsi="Figtree"/>
                <w:b w:val="0"/>
                <w:i w:val="0"/>
                <w:sz w:val="20"/>
              </w:rPr>
              <w:t>200,000 - 400,000</w:t>
            </w:r>
          </w:p>
        </w:tc>
      </w:tr>
      <w:tr>
        <w:trPr>
          <w:trHeight w:val="425" w:hRule="atLeast"/>
        </w:trPr>
        <w:tc>
          <w:tcPr>
            <w:tcW w:type="dxa" w:w="4873"/>
            <w:vAlign w:val="center"/>
          </w:tcPr>
          <w:p>
            <w:pPr>
              <w:spacing w:line="276" w:lineRule="auto" w:before="0" w:after="0"/>
            </w:pPr>
            <w:r/>
            <w:r>
              <w:rPr>
                <w:rFonts w:ascii="Figtree" w:hAnsi="Figtree"/>
                <w:b w:val="0"/>
                <w:i w:val="0"/>
                <w:sz w:val="20"/>
              </w:rPr>
              <w:t>Ongoing maintenance (3 years)</w:t>
            </w:r>
          </w:p>
        </w:tc>
        <w:tc>
          <w:tcPr>
            <w:tcW w:type="dxa" w:w="4873"/>
            <w:vAlign w:val="center"/>
          </w:tcPr>
          <w:p>
            <w:pPr>
              <w:spacing w:line="276" w:lineRule="auto" w:before="0" w:after="0"/>
            </w:pPr>
            <w:r/>
            <w:r>
              <w:rPr>
                <w:rFonts w:ascii="Figtree" w:hAnsi="Figtree"/>
                <w:b w:val="0"/>
                <w:i w:val="0"/>
                <w:sz w:val="20"/>
              </w:rPr>
              <w:t>600,000 - 1,200,000</w:t>
            </w:r>
          </w:p>
        </w:tc>
      </w:tr>
      <w:tr>
        <w:trPr>
          <w:trHeight w:val="425" w:hRule="atLeast"/>
        </w:trPr>
        <w:tc>
          <w:tcPr>
            <w:tcW w:type="dxa" w:w="4873"/>
            <w:vAlign w:val="center"/>
          </w:tcPr>
          <w:p>
            <w:pPr>
              <w:spacing w:line="276" w:lineRule="auto" w:before="0" w:after="0"/>
            </w:pPr>
            <w:r/>
            <w:r>
              <w:rPr>
                <w:rFonts w:ascii="Figtree" w:hAnsi="Figtree"/>
                <w:b/>
                <w:i w:val="0"/>
                <w:sz w:val="20"/>
              </w:rPr>
              <w:t>Total custom development</w:t>
            </w:r>
          </w:p>
        </w:tc>
        <w:tc>
          <w:tcPr>
            <w:tcW w:type="dxa" w:w="4873"/>
            <w:vAlign w:val="center"/>
          </w:tcPr>
          <w:p>
            <w:pPr>
              <w:spacing w:line="276" w:lineRule="auto" w:before="0" w:after="0"/>
            </w:pPr>
            <w:r/>
            <w:r>
              <w:rPr>
                <w:rFonts w:ascii="Figtree" w:hAnsi="Figtree"/>
                <w:b/>
                <w:i w:val="0"/>
                <w:sz w:val="20"/>
              </w:rPr>
              <w:t>2,000,000 - 4,000,000</w:t>
            </w:r>
          </w:p>
        </w:tc>
      </w:tr>
    </w:tbl>
    <w:p>
      <w:pPr>
        <w:spacing w:before="0" w:after="0" w:line="120" w:lineRule="exact"/>
      </w:pPr>
    </w:p>
    <w:p>
      <w:r>
        <w:rPr>
          <w:rFonts w:ascii="Figtree" w:hAnsi="Figtree"/>
          <w:b w:val="0"/>
          <w:i w:val="0"/>
          <w:sz w:val="22"/>
        </w:rPr>
        <w:t>Custom development also carries: 18-24 month development timeline (vs. 19 weeks); no pre-audited smart contract library (each audit costs USD 200,000-500,000); no APRA-validated deployment reference; no production commodity finance track record.</w:t>
      </w:r>
    </w:p>
    <w:p>
      <w:pPr>
        <w:pStyle w:val="H3"/>
        <w:numPr>
          <w:ilvl w:val="2"/>
          <w:numId w:val="1"/>
        </w:numPr>
      </w:pPr>
      <w:r>
        <w:t>7.3 Commodity Finance ROI</w:t>
      </w:r>
    </w:p>
    <w:p>
      <w:r>
        <w:rPr>
          <w:rFonts w:ascii="Figtree" w:hAnsi="Figtree"/>
          <w:b/>
          <w:i w:val="0"/>
          <w:sz w:val="22"/>
        </w:rPr>
        <w:t>Settlement cost reduction:</w:t>
      </w:r>
      <w:r>
        <w:rPr>
          <w:rFonts w:ascii="Figtree" w:hAnsi="Figtree"/>
          <w:b w:val="0"/>
          <w:i w:val="0"/>
          <w:sz w:val="22"/>
        </w:rPr>
        <w:t xml:space="preserve"> Eliminating T+2 correspondent banking settlement cycles for AUD-denominated commodity transactions, replaced by T+0 atomic DvP, reduces intraday funding costs. For AUD 1 billion of daily commodity finance settlement exposure at 4.35% (RBA cash rate equivalent), T+2 reduction saves approximately AUD 24 million/year in funding cost.</w:t>
      </w:r>
    </w:p>
    <w:p>
      <w:r>
        <w:rPr>
          <w:rFonts w:ascii="Figtree" w:hAnsi="Figtree"/>
          <w:b/>
          <w:i w:val="0"/>
          <w:sz w:val="22"/>
        </w:rPr>
        <w:t>Documentary compliance efficiency:</w:t>
      </w:r>
      <w:r>
        <w:rPr>
          <w:rFonts w:ascii="Figtree" w:hAnsi="Figtree"/>
          <w:b w:val="0"/>
          <w:i w:val="0"/>
          <w:sz w:val="22"/>
        </w:rPr>
        <w:t xml:space="preserve"> Automating documentary condition verification and endorsement workflows reduces trade operations staffing requirements. For a commodity finance programme processing 500+ LC transactions monthly, automated documentary compliance replaces substantial manual review effort.</w:t>
      </w:r>
    </w:p>
    <w:p>
      <w:r>
        <w:rPr>
          <w:rFonts w:ascii="Figtree" w:hAnsi="Figtree"/>
          <w:b/>
          <w:i w:val="0"/>
          <w:sz w:val="22"/>
        </w:rPr>
        <w:t>Cross-border settlement savings:</w:t>
      </w:r>
      <w:r>
        <w:rPr>
          <w:rFonts w:ascii="Figtree" w:hAnsi="Figtree"/>
          <w:b w:val="0"/>
          <w:i w:val="0"/>
          <w:sz w:val="22"/>
        </w:rPr>
        <w:t xml:space="preserve"> Eliminating correspondent banking intermediation for cross-border commodity settlements reduces correspondent banking fees. Typical correspondent banking fee for a USD/AUD FX settlement is 0.1-0.5% of transaction value; at scale across ANZ's commodity finance book, this is material.</w:t>
      </w:r>
    </w:p>
    <w:p>
      <w:r>
        <w:rPr>
          <w:rFonts w:ascii="Figtree" w:hAnsi="Figtree"/>
          <w:b/>
          <w:i w:val="0"/>
          <w:sz w:val="22"/>
        </w:rPr>
        <w:t>Counterparty risk elimination:</w:t>
      </w:r>
      <w:r>
        <w:rPr>
          <w:rFonts w:ascii="Figtree" w:hAnsi="Figtree"/>
          <w:b w:val="0"/>
          <w:i w:val="0"/>
          <w:sz w:val="22"/>
        </w:rPr>
        <w:t xml:space="preserve"> Atomic DvP settlement eliminates the counterparty risk associated with T+2 settlement periods. For ANZ's commodity finance portfolio, this has a direct balance sheet impact: reduced credit RWA for settlement exposures.</w:t>
      </w:r>
    </w:p>
    <w:p>
      <w:r>
        <w:br w:type="page"/>
      </w:r>
    </w:p>
    <w:p>
      <w:pPr>
        <w:pStyle w:val="H2"/>
        <w:numPr>
          <w:ilvl w:val="1"/>
          <w:numId w:val="1"/>
        </w:numPr>
      </w:pPr>
      <w:r>
        <w:t>8. Payment Terms and Milestones</w:t>
      </w:r>
    </w:p>
    <w:p>
      <w:pPr>
        <w:pStyle w:val="H3"/>
        <w:numPr>
          <w:ilvl w:val="2"/>
          <w:numId w:val="1"/>
        </w:numPr>
      </w:pPr>
      <w:r>
        <w:t>8.1 Platform License</w:t>
      </w:r>
    </w:p>
    <w:p>
      <w:r>
        <w:rPr>
          <w:rFonts w:ascii="Figtree" w:hAnsi="Figtree"/>
          <w:b w:val="0"/>
          <w:i w:val="0"/>
          <w:sz w:val="22"/>
        </w:rPr>
        <w:t>Annual, upfront. First payment due within 30 days of contract execution. Subsequent payments on each anniversary.</w:t>
      </w:r>
    </w:p>
    <w:p>
      <w:pPr>
        <w:pStyle w:val="H3"/>
        <w:numPr>
          <w:ilvl w:val="2"/>
          <w:numId w:val="1"/>
        </w:numPr>
      </w:pPr>
      <w:r>
        <w:t>8.2 Implementation Services Milestones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18"/>
        <w:gridCol w:w="5620"/>
        <w:gridCol w:w="12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Percentage</w:t>
            </w:r>
          </w:p>
        </w:tc>
      </w:tr>
      <w:tr>
        <w:trPr>
          <w:trHeight w:val="425" w:hRule="atLeast"/>
        </w:trPr>
        <w:tc>
          <w:tcPr>
            <w:tcW w:type="dxa" w:w="3249"/>
            <w:vAlign w:val="center"/>
          </w:tcPr>
          <w:p>
            <w:pPr>
              <w:spacing w:line="276" w:lineRule="auto" w:before="0" w:after="0"/>
            </w:pPr>
            <w:r/>
            <w:r>
              <w:rPr>
                <w:rFonts w:ascii="Figtree" w:hAnsi="Figtree"/>
                <w:b w:val="0"/>
                <w:i w:val="0"/>
                <w:sz w:val="20"/>
              </w:rPr>
              <w:t>Kickoff</w:t>
            </w:r>
          </w:p>
        </w:tc>
        <w:tc>
          <w:tcPr>
            <w:tcW w:type="dxa" w:w="3249"/>
            <w:vAlign w:val="center"/>
          </w:tcPr>
          <w:p>
            <w:pPr>
              <w:spacing w:line="276" w:lineRule="auto" w:before="0" w:after="0"/>
            </w:pPr>
            <w:r/>
            <w:r>
              <w:rPr>
                <w:rFonts w:ascii="Figtree" w:hAnsi="Figtree"/>
                <w:b w:val="0"/>
                <w:i w:val="0"/>
                <w:sz w:val="20"/>
              </w:rPr>
              <w:t>Contract signed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1 Complete</w:t>
            </w:r>
          </w:p>
        </w:tc>
        <w:tc>
          <w:tcPr>
            <w:tcW w:type="dxa" w:w="3249"/>
            <w:vAlign w:val="center"/>
          </w:tcPr>
          <w:p>
            <w:pPr>
              <w:spacing w:line="276" w:lineRule="auto" w:before="0" w:after="0"/>
            </w:pPr>
            <w:r/>
            <w:r>
              <w:rPr>
                <w:rFonts w:ascii="Figtree" w:hAnsi="Figtree"/>
                <w:b w:val="0"/>
                <w:i w:val="0"/>
                <w:sz w:val="20"/>
              </w:rPr>
              <w:t>BRD and architecture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2 Complete</w:t>
            </w:r>
          </w:p>
        </w:tc>
        <w:tc>
          <w:tcPr>
            <w:tcW w:type="dxa" w:w="3249"/>
            <w:vAlign w:val="center"/>
          </w:tcPr>
          <w:p>
            <w:pPr>
              <w:spacing w:line="276" w:lineRule="auto" w:before="0" w:after="0"/>
            </w:pPr>
            <w:r/>
            <w:r>
              <w:rPr>
                <w:rFonts w:ascii="Figtree" w:hAnsi="Figtree"/>
                <w:b w:val="0"/>
                <w:i w:val="0"/>
                <w:sz w:val="20"/>
              </w:rPr>
              <w:t>Environments provisioned, configuration accepted</w:t>
            </w:r>
          </w:p>
        </w:tc>
        <w:tc>
          <w:tcPr>
            <w:tcW w:type="dxa" w:w="3249"/>
            <w:vAlign w:val="center"/>
          </w:tcPr>
          <w:p>
            <w:pPr>
              <w:spacing w:line="276" w:lineRule="auto" w:before="0" w:after="0"/>
            </w:pPr>
            <w:r/>
            <w:r>
              <w:rPr>
                <w:rFonts w:ascii="Figtree" w:hAnsi="Figtree"/>
                <w:b w:val="0"/>
                <w:i w:val="0"/>
                <w:sz w:val="20"/>
              </w:rPr>
              <w:t>15%</w:t>
            </w:r>
          </w:p>
        </w:tc>
      </w:tr>
      <w:tr>
        <w:trPr>
          <w:trHeight w:val="425" w:hRule="atLeast"/>
        </w:trPr>
        <w:tc>
          <w:tcPr>
            <w:tcW w:type="dxa" w:w="3249"/>
            <w:vAlign w:val="center"/>
          </w:tcPr>
          <w:p>
            <w:pPr>
              <w:spacing w:line="276" w:lineRule="auto" w:before="0" w:after="0"/>
            </w:pPr>
            <w:r/>
            <w:r>
              <w:rPr>
                <w:rFonts w:ascii="Figtree" w:hAnsi="Figtree"/>
                <w:b w:val="0"/>
                <w:i w:val="0"/>
                <w:sz w:val="20"/>
              </w:rPr>
              <w:t>Phase 3 Complete</w:t>
            </w:r>
          </w:p>
        </w:tc>
        <w:tc>
          <w:tcPr>
            <w:tcW w:type="dxa" w:w="3249"/>
            <w:vAlign w:val="center"/>
          </w:tcPr>
          <w:p>
            <w:pPr>
              <w:spacing w:line="276" w:lineRule="auto" w:before="0" w:after="0"/>
            </w:pPr>
            <w:r/>
            <w:r>
              <w:rPr>
                <w:rFonts w:ascii="Figtree" w:hAnsi="Figtree"/>
                <w:b w:val="0"/>
                <w:i w:val="0"/>
                <w:sz w:val="20"/>
              </w:rPr>
              <w:t>Integration testing evidence accepted</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4 Complete</w:t>
            </w:r>
          </w:p>
        </w:tc>
        <w:tc>
          <w:tcPr>
            <w:tcW w:type="dxa" w:w="3249"/>
            <w:vAlign w:val="center"/>
          </w:tcPr>
          <w:p>
            <w:pPr>
              <w:spacing w:line="276" w:lineRule="auto" w:before="0" w:after="0"/>
            </w:pPr>
            <w:r/>
            <w:r>
              <w:rPr>
                <w:rFonts w:ascii="Figtree" w:hAnsi="Figtree"/>
                <w:b w:val="0"/>
                <w:i w:val="0"/>
                <w:sz w:val="20"/>
              </w:rPr>
              <w:t>UAT sign-off</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Phase 5+6 Complete</w:t>
            </w:r>
          </w:p>
        </w:tc>
        <w:tc>
          <w:tcPr>
            <w:tcW w:type="dxa" w:w="3249"/>
            <w:vAlign w:val="center"/>
          </w:tcPr>
          <w:p>
            <w:pPr>
              <w:spacing w:line="276" w:lineRule="auto" w:before="0" w:after="0"/>
            </w:pPr>
            <w:r/>
            <w:r>
              <w:rPr>
                <w:rFonts w:ascii="Figtree" w:hAnsi="Figtree"/>
                <w:b w:val="0"/>
                <w:i w:val="0"/>
                <w:sz w:val="20"/>
              </w:rPr>
              <w:t>Go-live and hypercare completion</w:t>
            </w:r>
          </w:p>
        </w:tc>
        <w:tc>
          <w:tcPr>
            <w:tcW w:type="dxa" w:w="3249"/>
            <w:vAlign w:val="center"/>
          </w:tcPr>
          <w:p>
            <w:pPr>
              <w:spacing w:line="276" w:lineRule="auto" w:before="0" w:after="0"/>
            </w:pPr>
            <w:r/>
            <w:r>
              <w:rPr>
                <w:rFonts w:ascii="Figtree" w:hAnsi="Figtree"/>
                <w:b w:val="0"/>
                <w:i w:val="0"/>
                <w:sz w:val="20"/>
              </w:rPr>
              <w:t>10%</w:t>
            </w:r>
          </w:p>
        </w:tc>
      </w:tr>
    </w:tbl>
    <w:p>
      <w:pPr>
        <w:spacing w:before="0" w:after="0" w:line="120" w:lineRule="exact"/>
      </w:pPr>
    </w:p>
    <w:p>
      <w:pPr>
        <w:pStyle w:val="H3"/>
        <w:numPr>
          <w:ilvl w:val="2"/>
          <w:numId w:val="1"/>
        </w:numPr>
      </w:pPr>
      <w:r>
        <w:t>8.3 Currency</w:t>
      </w:r>
    </w:p>
    <w:p>
      <w:r>
        <w:rPr>
          <w:rFonts w:ascii="Figtree" w:hAnsi="Figtree"/>
          <w:b w:val="0"/>
          <w:i w:val="0"/>
          <w:sz w:val="22"/>
        </w:rPr>
        <w:t>Invoices in EUR. ANZ's payment currency preference (EUR or AUD equivalent) confirmed at contract execution. AUD equivalent uses EUR/AUD exchange rate at contract execution, fixed for 12 months.</w:t>
      </w:r>
    </w:p>
    <w:p>
      <w:r>
        <w:br w:type="page"/>
      </w:r>
    </w:p>
    <w:p>
      <w:pPr>
        <w:pStyle w:val="H2"/>
        <w:numPr>
          <w:ilvl w:val="1"/>
          <w:numId w:val="1"/>
        </w:numPr>
      </w:pPr>
      <w:r>
        <w:t>9. Commercial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46"/>
        <w:gridCol w:w="72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Pricing validity</w:t>
            </w:r>
          </w:p>
        </w:tc>
        <w:tc>
          <w:tcPr>
            <w:tcW w:type="dxa" w:w="4873"/>
            <w:vAlign w:val="center"/>
          </w:tcPr>
          <w:p>
            <w:pPr>
              <w:spacing w:line="276" w:lineRule="auto" w:before="0" w:after="0"/>
            </w:pPr>
            <w:r/>
            <w:r>
              <w:rPr>
                <w:rFonts w:ascii="Figtree" w:hAnsi="Figtree"/>
                <w:b w:val="0"/>
                <w:i w:val="0"/>
                <w:sz w:val="20"/>
              </w:rPr>
              <w:t>90 days from submission (until 19 June 2026)</w:t>
            </w:r>
          </w:p>
        </w:tc>
      </w:tr>
      <w:tr>
        <w:trPr>
          <w:trHeight w:val="425" w:hRule="atLeast"/>
        </w:trPr>
        <w:tc>
          <w:tcPr>
            <w:tcW w:type="dxa" w:w="4873"/>
            <w:vAlign w:val="center"/>
          </w:tcPr>
          <w:p>
            <w:pPr>
              <w:spacing w:line="276" w:lineRule="auto" w:before="0" w:after="0"/>
            </w:pPr>
            <w:r/>
            <w:r>
              <w:rPr>
                <w:rFonts w:ascii="Figtree" w:hAnsi="Figtree"/>
                <w:b w:val="0"/>
                <w:i w:val="0"/>
                <w:sz w:val="20"/>
              </w:rPr>
              <w:t>Annual price cap</w:t>
            </w:r>
          </w:p>
        </w:tc>
        <w:tc>
          <w:tcPr>
            <w:tcW w:type="dxa" w:w="4873"/>
            <w:vAlign w:val="center"/>
          </w:tcPr>
          <w:p>
            <w:pPr>
              <w:spacing w:line="276" w:lineRule="auto" w:before="0" w:after="0"/>
            </w:pPr>
            <w:r/>
            <w:r>
              <w:rPr>
                <w:rFonts w:ascii="Figtree" w:hAnsi="Figtree"/>
                <w:b w:val="0"/>
                <w:i w:val="0"/>
                <w:sz w:val="20"/>
              </w:rPr>
              <w:t>Lower of 5% or EU HICP for preceding 12 months</w:t>
            </w:r>
          </w:p>
        </w:tc>
      </w:tr>
      <w:tr>
        <w:trPr>
          <w:trHeight w:val="425" w:hRule="atLeast"/>
        </w:trPr>
        <w:tc>
          <w:tcPr>
            <w:tcW w:type="dxa" w:w="4873"/>
            <w:vAlign w:val="center"/>
          </w:tcPr>
          <w:p>
            <w:pPr>
              <w:spacing w:line="276" w:lineRule="auto" w:before="0" w:after="0"/>
            </w:pPr>
            <w:r/>
            <w:r>
              <w:rPr>
                <w:rFonts w:ascii="Figtree" w:hAnsi="Figtree"/>
                <w:b w:val="0"/>
                <w:i w:val="0"/>
                <w:sz w:val="20"/>
              </w:rPr>
              <w:t>Minimum term</w:t>
            </w:r>
          </w:p>
        </w:tc>
        <w:tc>
          <w:tcPr>
            <w:tcW w:type="dxa" w:w="4873"/>
            <w:vAlign w:val="center"/>
          </w:tcPr>
          <w:p>
            <w:pPr>
              <w:spacing w:line="276" w:lineRule="auto" w:before="0" w:after="0"/>
            </w:pPr>
            <w:r/>
            <w:r>
              <w:rPr>
                <w:rFonts w:ascii="Figtree" w:hAnsi="Figtree"/>
                <w:b w:val="0"/>
                <w:i w:val="0"/>
                <w:sz w:val="20"/>
              </w:rPr>
              <w:t>3 years</w:t>
            </w:r>
          </w:p>
        </w:tc>
      </w:tr>
      <w:tr>
        <w:trPr>
          <w:trHeight w:val="425" w:hRule="atLeast"/>
        </w:trPr>
        <w:tc>
          <w:tcPr>
            <w:tcW w:type="dxa" w:w="4873"/>
            <w:vAlign w:val="center"/>
          </w:tcPr>
          <w:p>
            <w:pPr>
              <w:spacing w:line="276" w:lineRule="auto" w:before="0" w:after="0"/>
            </w:pPr>
            <w:r/>
            <w:r>
              <w:rPr>
                <w:rFonts w:ascii="Figtree" w:hAnsi="Figtree"/>
                <w:b w:val="0"/>
                <w:i w:val="0"/>
                <w:sz w:val="20"/>
              </w:rPr>
              <w:t>Payment structure</w:t>
            </w:r>
          </w:p>
        </w:tc>
        <w:tc>
          <w:tcPr>
            <w:tcW w:type="dxa" w:w="4873"/>
            <w:vAlign w:val="center"/>
          </w:tcPr>
          <w:p>
            <w:pPr>
              <w:spacing w:line="276" w:lineRule="auto" w:before="0" w:after="0"/>
            </w:pPr>
            <w:r/>
            <w:r>
              <w:rPr>
                <w:rFonts w:ascii="Figtree" w:hAnsi="Figtree"/>
                <w:b w:val="0"/>
                <w:i w:val="0"/>
                <w:sz w:val="20"/>
              </w:rPr>
              <w:t>Annual, upfront; no monthly option</w:t>
            </w:r>
          </w:p>
        </w:tc>
      </w:tr>
      <w:tr>
        <w:trPr>
          <w:trHeight w:val="425" w:hRule="atLeast"/>
        </w:trPr>
        <w:tc>
          <w:tcPr>
            <w:tcW w:type="dxa" w:w="4873"/>
            <w:vAlign w:val="center"/>
          </w:tcPr>
          <w:p>
            <w:pPr>
              <w:spacing w:line="276" w:lineRule="auto" w:before="0" w:after="0"/>
            </w:pPr>
            <w:r/>
            <w:r>
              <w:rPr>
                <w:rFonts w:ascii="Figtree" w:hAnsi="Figtree"/>
                <w:b w:val="0"/>
                <w:i w:val="0"/>
                <w:sz w:val="20"/>
              </w:rPr>
              <w:t>GST</w:t>
            </w:r>
          </w:p>
        </w:tc>
        <w:tc>
          <w:tcPr>
            <w:tcW w:type="dxa" w:w="4873"/>
            <w:vAlign w:val="center"/>
          </w:tcPr>
          <w:p>
            <w:pPr>
              <w:spacing w:line="276" w:lineRule="auto" w:before="0" w:after="0"/>
            </w:pPr>
            <w:r/>
            <w:r>
              <w:rPr>
                <w:rFonts w:ascii="Figtree" w:hAnsi="Figtree"/>
                <w:b w:val="0"/>
                <w:i w:val="0"/>
                <w:sz w:val="20"/>
              </w:rPr>
              <w:t>Australian GST applied to services delivered in Australia per applicable tax law</w:t>
            </w:r>
          </w:p>
        </w:tc>
      </w:tr>
      <w:tr>
        <w:trPr>
          <w:trHeight w:val="425" w:hRule="atLeast"/>
        </w:trPr>
        <w:tc>
          <w:tcPr>
            <w:tcW w:type="dxa" w:w="4873"/>
            <w:vAlign w:val="center"/>
          </w:tcPr>
          <w:p>
            <w:pPr>
              <w:spacing w:line="276" w:lineRule="auto" w:before="0" w:after="0"/>
            </w:pPr>
            <w:r/>
            <w:r>
              <w:rPr>
                <w:rFonts w:ascii="Figtree" w:hAnsi="Figtree"/>
                <w:b w:val="0"/>
                <w:i w:val="0"/>
                <w:sz w:val="20"/>
              </w:rPr>
              <w:t>A$DC programme</w:t>
            </w:r>
          </w:p>
        </w:tc>
        <w:tc>
          <w:tcPr>
            <w:tcW w:type="dxa" w:w="4873"/>
            <w:vAlign w:val="center"/>
          </w:tcPr>
          <w:p>
            <w:pPr>
              <w:spacing w:line="276" w:lineRule="auto" w:before="0" w:after="0"/>
            </w:pPr>
            <w:r/>
            <w:r>
              <w:rPr>
                <w:rFonts w:ascii="Figtree" w:hAnsi="Figtree"/>
                <w:b w:val="0"/>
                <w:i w:val="0"/>
                <w:sz w:val="20"/>
              </w:rPr>
              <w:t>Implementation assumes A$DC is not yet production-ready; NPP-coordinated settlement is initial go-live model</w:t>
            </w:r>
          </w:p>
        </w:tc>
      </w:tr>
      <w:tr>
        <w:trPr>
          <w:trHeight w:val="425" w:hRule="atLeast"/>
        </w:trPr>
        <w:tc>
          <w:tcPr>
            <w:tcW w:type="dxa" w:w="4873"/>
            <w:vAlign w:val="center"/>
          </w:tcPr>
          <w:p>
            <w:pPr>
              <w:spacing w:line="276" w:lineRule="auto" w:before="0" w:after="0"/>
            </w:pPr>
            <w:r/>
            <w:r>
              <w:rPr>
                <w:rFonts w:ascii="Figtree" w:hAnsi="Figtree"/>
                <w:b w:val="0"/>
                <w:i w:val="0"/>
                <w:sz w:val="20"/>
              </w:rPr>
              <w:t>APRA vendor risk</w:t>
            </w:r>
          </w:p>
        </w:tc>
        <w:tc>
          <w:tcPr>
            <w:tcW w:type="dxa" w:w="4873"/>
            <w:vAlign w:val="center"/>
          </w:tcPr>
          <w:p>
            <w:pPr>
              <w:spacing w:line="276" w:lineRule="auto" w:before="0" w:after="0"/>
            </w:pPr>
            <w:r/>
            <w:r>
              <w:rPr>
                <w:rFonts w:ascii="Figtree" w:hAnsi="Figtree"/>
                <w:b w:val="0"/>
                <w:i w:val="0"/>
                <w:sz w:val="20"/>
              </w:rPr>
              <w:t>ANZ's APRA vendor risk assessment timeline may affect programme start date; Phase 1 can commence under NDA while assessment proceeds</w:t>
            </w:r>
          </w:p>
        </w:tc>
      </w:tr>
      <w:tr>
        <w:trPr>
          <w:trHeight w:val="425" w:hRule="atLeast"/>
        </w:trPr>
        <w:tc>
          <w:tcPr>
            <w:tcW w:type="dxa" w:w="4873"/>
            <w:vAlign w:val="center"/>
          </w:tcPr>
          <w:p>
            <w:pPr>
              <w:spacing w:line="276" w:lineRule="auto" w:before="0" w:after="0"/>
            </w:pPr>
            <w:r/>
            <w:r>
              <w:rPr>
                <w:rFonts w:ascii="Figtree" w:hAnsi="Figtree"/>
                <w:b w:val="0"/>
                <w:i w:val="0"/>
                <w:sz w:val="20"/>
              </w:rPr>
              <w:t>Implementation exclusions</w:t>
            </w:r>
          </w:p>
        </w:tc>
        <w:tc>
          <w:tcPr>
            <w:tcW w:type="dxa" w:w="4873"/>
            <w:vAlign w:val="center"/>
          </w:tcPr>
          <w:p>
            <w:pPr>
              <w:spacing w:line="276" w:lineRule="auto" w:before="0" w:after="0"/>
            </w:pPr>
            <w:r/>
            <w:r>
              <w:rPr>
                <w:rFonts w:ascii="Figtree" w:hAnsi="Figtree"/>
                <w:b w:val="0"/>
                <w:i w:val="0"/>
                <w:sz w:val="20"/>
              </w:rPr>
              <w:t>APRA regulatory filings, legal classification opinions, Fireblocks enterprise agreement, third-party custody fees, ANZ internal team costs</w:t>
            </w:r>
          </w:p>
        </w:tc>
      </w:tr>
      <w:tr>
        <w:trPr>
          <w:trHeight w:val="425" w:hRule="atLeast"/>
        </w:trPr>
        <w:tc>
          <w:tcPr>
            <w:tcW w:type="dxa" w:w="4873"/>
            <w:vAlign w:val="center"/>
          </w:tcPr>
          <w:p>
            <w:pPr>
              <w:spacing w:line="276" w:lineRule="auto" w:before="0" w:after="0"/>
            </w:pPr>
            <w:r/>
            <w:r>
              <w:rPr>
                <w:rFonts w:ascii="Figtree" w:hAnsi="Figtree"/>
                <w:b w:val="0"/>
                <w:i w:val="0"/>
                <w:sz w:val="20"/>
              </w:rPr>
              <w:t>Project Acacia</w:t>
            </w:r>
          </w:p>
        </w:tc>
        <w:tc>
          <w:tcPr>
            <w:tcW w:type="dxa" w:w="4873"/>
            <w:vAlign w:val="center"/>
          </w:tcPr>
          <w:p>
            <w:pPr>
              <w:spacing w:line="276" w:lineRule="auto" w:before="0" w:after="0"/>
            </w:pPr>
            <w:r/>
            <w:r>
              <w:rPr>
                <w:rFonts w:ascii="Figtree" w:hAnsi="Figtree"/>
                <w:b w:val="0"/>
                <w:i w:val="0"/>
                <w:sz w:val="20"/>
              </w:rPr>
              <w:t>No hard dependency on RBA CBDC timeline; architecture supports migration to wholesale CBDC when available</w:t>
            </w:r>
          </w:p>
        </w:tc>
      </w:tr>
    </w:tbl>
    <w:p>
      <w:pPr>
        <w:spacing w:before="0" w:after="0" w:line="120" w:lineRule="exact"/>
      </w:pPr>
    </w:p>
    <w:p>
      <w:r>
        <w:br w:type="page"/>
      </w:r>
    </w:p>
    <w:p>
      <w:pPr>
        <w:pStyle w:val="H2"/>
        <w:numPr>
          <w:ilvl w:val="1"/>
          <w:numId w:val="1"/>
        </w:numPr>
      </w:pPr>
      <w:r>
        <w:t>10. Exit and Transition Terms</w:t>
      </w:r>
    </w:p>
    <w:p>
      <w:pPr>
        <w:pStyle w:val="H3"/>
        <w:numPr>
          <w:ilvl w:val="2"/>
          <w:numId w:val="1"/>
        </w:numPr>
      </w:pPr>
      <w:r>
        <w:t>10.1 Data Portability</w:t>
      </w:r>
    </w:p>
    <w:p>
      <w:r>
        <w:rPr>
          <w:rFonts w:ascii="Figtree" w:hAnsi="Figtree"/>
          <w:b w:val="0"/>
          <w:i w:val="0"/>
          <w:sz w:val="22"/>
        </w:rPr>
        <w:t>Full data portability at all times:</w:t>
      </w:r>
    </w:p>
    <w:p>
      <w:pPr>
        <w:pStyle w:val="ListParagraph"/>
        <w:numPr>
          <w:ilvl w:val="0"/>
          <w:numId w:val="4"/>
        </w:numPr>
      </w:pPr>
      <w:r>
        <w:rPr>
          <w:rFonts w:ascii="Figtree" w:hAnsi="Figtree"/>
          <w:b w:val="0"/>
          <w:i w:val="0"/>
          <w:sz w:val="22"/>
        </w:rPr>
        <w:t>All instrument event logs exportable via time-windowed API queries</w:t>
      </w:r>
    </w:p>
    <w:p>
      <w:pPr>
        <w:pStyle w:val="ListParagraph"/>
        <w:numPr>
          <w:ilvl w:val="0"/>
          <w:numId w:val="4"/>
        </w:numPr>
      </w:pPr>
      <w:r>
        <w:rPr>
          <w:rFonts w:ascii="Figtree" w:hAnsi="Figtree"/>
          <w:b w:val="0"/>
          <w:i w:val="0"/>
          <w:sz w:val="22"/>
        </w:rPr>
        <w:t>All compliance module configurations exportable as structured JSON</w:t>
      </w:r>
    </w:p>
    <w:p>
      <w:pPr>
        <w:pStyle w:val="ListParagraph"/>
        <w:numPr>
          <w:ilvl w:val="0"/>
          <w:numId w:val="4"/>
        </w:numPr>
      </w:pPr>
      <w:r>
        <w:rPr>
          <w:rFonts w:ascii="Figtree" w:hAnsi="Figtree"/>
          <w:b w:val="0"/>
          <w:i w:val="0"/>
          <w:sz w:val="22"/>
        </w:rPr>
        <w:t>All on-chain data immutably accessible from the blockchain network independent of SettleMint contract</w:t>
      </w:r>
    </w:p>
    <w:p>
      <w:pPr>
        <w:pStyle w:val="ListParagraph"/>
        <w:numPr>
          <w:ilvl w:val="0"/>
          <w:numId w:val="4"/>
        </w:numPr>
      </w:pPr>
      <w:r>
        <w:rPr>
          <w:rFonts w:ascii="Figtree" w:hAnsi="Figtree"/>
          <w:b w:val="0"/>
          <w:i w:val="0"/>
          <w:sz w:val="22"/>
        </w:rPr>
        <w:t>Token contracts and governance roles remain under ANZ control post-termination</w:t>
      </w:r>
    </w:p>
    <w:p>
      <w:pPr>
        <w:pStyle w:val="H3"/>
        <w:numPr>
          <w:ilvl w:val="2"/>
          <w:numId w:val="1"/>
        </w:numPr>
      </w:pPr>
      <w:r>
        <w:t>10.2 Transition Assistance</w:t>
      </w:r>
    </w:p>
    <w:p>
      <w:r>
        <w:rPr>
          <w:rFonts w:ascii="Figtree" w:hAnsi="Figtree"/>
          <w:b w:val="0"/>
          <w:i w:val="0"/>
          <w:sz w:val="22"/>
        </w:rPr>
        <w:t>90-day transition period on contract termination with: data export assistance, configuration documentation, knowledge transfer sessions, and run-state handover support. Transition assistance included in final year's support fee.</w:t>
      </w:r>
    </w:p>
    <w:p>
      <w:pPr>
        <w:pStyle w:val="H3"/>
        <w:numPr>
          <w:ilvl w:val="2"/>
          <w:numId w:val="1"/>
        </w:numPr>
      </w:pPr>
      <w:r>
        <w:t>10.3 APRA Exit Requirements</w:t>
      </w:r>
    </w:p>
    <w:p>
      <w:r>
        <w:rPr>
          <w:rFonts w:ascii="Figtree" w:hAnsi="Figtree"/>
          <w:b w:val="0"/>
          <w:i w:val="0"/>
          <w:sz w:val="22"/>
        </w:rPr>
        <w:t>The transition plan addresses APRA's outsourcing notification requirements: ANZ is notified at least 12 months before any material change to SettleMint's service delivery or corporate structure. On contract termination, SettleMint provides a formal transition support plan consistent with APRA prudential guidance on exit from outsourcing arrangements.</w:t>
      </w:r>
    </w:p>
    <w:p>
      <w:r>
        <w:br w:type="page"/>
      </w:r>
    </w:p>
    <w:p>
      <w:pPr>
        <w:pStyle w:val="H2"/>
        <w:numPr>
          <w:ilvl w:val="1"/>
          <w:numId w:val="1"/>
        </w:numPr>
      </w:pPr>
      <w:r>
        <w:t>11. Value Justification</w:t>
      </w:r>
    </w:p>
    <w:p>
      <w:pPr>
        <w:pStyle w:val="H3"/>
        <w:numPr>
          <w:ilvl w:val="2"/>
          <w:numId w:val="1"/>
        </w:numPr>
      </w:pPr>
      <w:r>
        <w:t>11.1 No Transaction Fees at Scale</w:t>
      </w:r>
    </w:p>
    <w:p>
      <w:r>
        <w:rPr>
          <w:rFonts w:ascii="Figtree" w:hAnsi="Figtree"/>
          <w:b w:val="0"/>
          <w:i w:val="0"/>
          <w:sz w:val="22"/>
        </w:rPr>
        <w:t>ANZ's commodity finance book is large and variable. The A$DC stablecoin programme, Project Acacia participation, and commodity trade digitalization create the conditions for significant volume growth over the 3-year contract period. With DALP's environment-based licensing, volume growth costs ANZ nothing in additional platform fees. Every incremental LC, receivable, or BL settled on DALP is economically free from a platform licensing perspective.</w:t>
      </w:r>
    </w:p>
    <w:p>
      <w:r>
        <w:rPr>
          <w:rFonts w:ascii="Figtree" w:hAnsi="Figtree"/>
          <w:b w:val="0"/>
          <w:i w:val="0"/>
          <w:sz w:val="22"/>
        </w:rPr>
        <w:t>This is structurally different from blockchain infrastructure models that charge per-transaction fees, which would create a commercial incentive for ANZ to moderate programme scale rather than expand it.</w:t>
      </w:r>
    </w:p>
    <w:p>
      <w:pPr>
        <w:pStyle w:val="H3"/>
        <w:numPr>
          <w:ilvl w:val="2"/>
          <w:numId w:val="1"/>
        </w:numPr>
      </w:pPr>
      <w:r>
        <w:t>11.2 APRA Compliance Without Custom Development</w:t>
      </w:r>
    </w:p>
    <w:p>
      <w:r>
        <w:rPr>
          <w:rFonts w:ascii="Figtree" w:hAnsi="Figtree"/>
          <w:b w:val="0"/>
          <w:i w:val="0"/>
          <w:sz w:val="22"/>
        </w:rPr>
        <w:t>Building an APRA CPS 230/234-compliant blockchain platform from scratch would require: an APRA-approved service provider framework built from zero; vendor risk assessments completed for new sub-contractors; security audits of custom-built compliance infrastructure; and operational resilience validation against CPS 230 standards.</w:t>
      </w:r>
    </w:p>
    <w:p>
      <w:r>
        <w:rPr>
          <w:rFonts w:ascii="Figtree" w:hAnsi="Figtree"/>
          <w:b w:val="0"/>
          <w:i w:val="0"/>
          <w:sz w:val="22"/>
        </w:rPr>
        <w:t>DALP's existing ISO 27001 and SOC 2 Type II certifications, combined with the documented AWS Sydney deployment architecture and Enterprise SLA, provide ANZ's InfoSec and Risk teams with the compliance foundation for APRA CPS 234 vendor assessment. ANZ pays for DALP's platform; the APRA compliance foundation comes with it.</w:t>
      </w:r>
    </w:p>
    <w:p>
      <w:pPr>
        <w:pStyle w:val="H3"/>
        <w:numPr>
          <w:ilvl w:val="2"/>
          <w:numId w:val="1"/>
        </w:numPr>
      </w:pPr>
      <w:r>
        <w:t>11.3 Project Acacia Positioning at No Additional Cost</w:t>
      </w:r>
    </w:p>
    <w:p>
      <w:r>
        <w:rPr>
          <w:rFonts w:ascii="Figtree" w:hAnsi="Figtree"/>
          <w:b w:val="0"/>
          <w:i w:val="0"/>
          <w:sz w:val="22"/>
        </w:rPr>
        <w:t>SettleMint's ERC-3643-based DALP architecture is Project Acacia-compatible today. When the RBA moves Project Acacia from research to production, ANZ's tokenized commodity finance platform can participate without requiring platform replacement or re-implementation. The compatibility is built into the architecture, not bolted on as an optional module.</w:t>
      </w:r>
    </w:p>
    <w:p>
      <w:r>
        <w:rPr>
          <w:rFonts w:ascii="Figtree" w:hAnsi="Figtree"/>
          <w:b w:val="0"/>
          <w:i w:val="0"/>
          <w:sz w:val="22"/>
        </w:rPr>
        <w:t>For ANZ's strategic positioning in Australian wholesale digital markets, this means the commodity finance investment is also the Project Acacia infrastructure investment — a single commercial commitment, two strategic outcomes.</w:t>
      </w:r>
    </w:p>
    <w:p>
      <w:r>
        <w:br w:type="page"/>
      </w:r>
    </w:p>
    <w:p>
      <w:r>
        <w:rPr>
          <w:rFonts w:ascii="Figtree" w:hAnsi="Figtree"/>
          <w:b w:val="0"/>
          <w:i/>
          <w:sz w:val="22"/>
        </w:rPr>
        <w:t>End of Commercial Proposal: ANZ Banking Group — Tokenized Commodity Finance Platform</w:t>
      </w:r>
    </w:p>
    <w:p>
      <w:r>
        <w:rPr>
          <w:rFonts w:ascii="Figtree" w:hAnsi="Figtree"/>
          <w:b w:val="0"/>
          <w:i/>
          <w:sz w:val="22"/>
        </w:rPr>
        <w:t>Document version: 1.0 Draft | Prepared: 20 March 2026 | SettleMint Confidential</w:t>
      </w:r>
    </w:p>
    <w:p>
      <w:r>
        <w:rPr>
          <w:rFonts w:ascii="Figtree" w:hAnsi="Figtree"/>
          <w:b w:val="0"/>
          <w:i/>
          <w:sz w:val="22"/>
        </w:rPr>
        <w:t>All prices exclude applicable taxes and VAT including Australian GST.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