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w:t>
          </w:r>
          <w:r>
            <w:tab/>
          </w:r>
          <w:r>
            <w:t xml:space="preserve">6</w:t>
          </w:r>
        </w:p>
        <w:p>
          <w:pPr>
            <w:pStyle w:val="TOC3"/>
            <w:tabs>
              <w:tab w:val="right" w:leader="dot" w:pos="9072"/>
            </w:tabs>
          </w:pPr>
          <w:r>
            <w:t xml:space="preserve">3.1 Bond Programme-Appropriate Pricing</w:t>
          </w:r>
          <w:r>
            <w:tab/>
          </w:r>
          <w:r>
            <w:t xml:space="preserve">7</w:t>
          </w:r>
        </w:p>
        <w:p>
          <w:pPr>
            <w:pStyle w:val="TOC3"/>
            <w:tabs>
              <w:tab w:val="right" w:leader="dot" w:pos="9072"/>
            </w:tabs>
          </w:pPr>
          <w:r>
            <w:t xml:space="preserve">3.2 License Rates</w:t>
          </w:r>
          <w:r>
            <w:tab/>
          </w:r>
          <w:r>
            <w:t xml:space="preserve">8</w:t>
          </w:r>
        </w:p>
        <w:p>
          <w:pPr>
            <w:pStyle w:val="TOC3"/>
            <w:tabs>
              <w:tab w:val="right" w:leader="dot" w:pos="9072"/>
            </w:tabs>
          </w:pPr>
          <w:r>
            <w:t xml:space="preserve">3.3 Expansion Licensing</w:t>
          </w:r>
          <w:r>
            <w:tab/>
          </w:r>
          <w:r>
            <w:t xml:space="preserve">9</w:t>
          </w:r>
        </w:p>
        <w:p>
          <w:pPr>
            <w:pStyle w:val="TOC2"/>
            <w:tabs>
              <w:tab w:val="right" w:leader="dot" w:pos="9072"/>
            </w:tabs>
          </w:pPr>
          <w:r>
            <w:t xml:space="preserve">4. Implementation Services Pricing</w:t>
          </w:r>
          <w:r>
            <w:tab/>
          </w:r>
          <w:r>
            <w:t xml:space="preserve">10</w:t>
          </w:r>
        </w:p>
        <w:p>
          <w:pPr>
            <w:pStyle w:val="TOC3"/>
            <w:tabs>
              <w:tab w:val="right" w:leader="dot" w:pos="9072"/>
            </w:tabs>
          </w:pPr>
          <w:r>
            <w:t xml:space="preserve">4.1 Indicative Implementation Investment</w:t>
          </w:r>
          <w:r>
            <w:tab/>
          </w:r>
          <w:r>
            <w:t xml:space="preserve">11</w:t>
          </w:r>
        </w:p>
        <w:p>
          <w:pPr>
            <w:pStyle w:val="TOC3"/>
            <w:tabs>
              <w:tab w:val="right" w:leader="dot" w:pos="9072"/>
            </w:tabs>
          </w:pPr>
          <w:r>
            <w:t xml:space="preserve">4.2 Phase Breakdown</w:t>
          </w:r>
          <w:r>
            <w:tab/>
          </w:r>
          <w:r>
            <w:t xml:space="preserve">12</w:t>
          </w:r>
        </w:p>
        <w:p>
          <w:pPr>
            <w:pStyle w:val="TOC3"/>
            <w:tabs>
              <w:tab w:val="right" w:leader="dot" w:pos="9072"/>
            </w:tabs>
          </w:pPr>
          <w:r>
            <w:t xml:space="preserve">4.3 Optional Scope</w:t>
          </w:r>
          <w:r>
            <w:tab/>
          </w:r>
          <w:r>
            <w:t xml:space="preserve">13</w:t>
          </w:r>
        </w:p>
        <w:p>
          <w:pPr>
            <w:pStyle w:val="TOC2"/>
            <w:tabs>
              <w:tab w:val="right" w:leader="dot" w:pos="9072"/>
            </w:tabs>
          </w:pPr>
          <w:r>
            <w:t xml:space="preserve">5. Environment and Infrastructure Costs</w:t>
          </w:r>
          <w:r>
            <w:tab/>
          </w:r>
          <w:r>
            <w:t xml:space="preserve">14</w:t>
          </w:r>
        </w:p>
        <w:p>
          <w:pPr>
            <w:pStyle w:val="TOC3"/>
            <w:tabs>
              <w:tab w:val="right" w:leader="dot" w:pos="9072"/>
            </w:tabs>
          </w:pPr>
          <w:r>
            <w:t xml:space="preserve">5.1 AWS Sydney (ap-southeast-2) — Pass-Through</w:t>
          </w:r>
          <w:r>
            <w:tab/>
          </w:r>
          <w:r>
            <w:t xml:space="preserve">15</w:t>
          </w:r>
        </w:p>
        <w:p>
          <w:pPr>
            <w:pStyle w:val="TOC3"/>
            <w:tabs>
              <w:tab w:val="right" w:leader="dot" w:pos="9072"/>
            </w:tabs>
          </w:pPr>
          <w:r>
            <w:t xml:space="preserve">5.2 Third-Party Pass-Through</w:t>
          </w:r>
          <w:r>
            <w:tab/>
          </w:r>
          <w:r>
            <w:t xml:space="preserve">16</w:t>
          </w:r>
        </w:p>
        <w:p>
          <w:pPr>
            <w:pStyle w:val="TOC2"/>
            <w:tabs>
              <w:tab w:val="right" w:leader="dot" w:pos="9072"/>
            </w:tabs>
          </w:pPr>
          <w:r>
            <w:t xml:space="preserve">6. Support and Maintenance Fees</w:t>
          </w:r>
          <w:r>
            <w:tab/>
          </w:r>
          <w:r>
            <w:t xml:space="preserve">17</w:t>
          </w:r>
        </w:p>
        <w:p>
          <w:pPr>
            <w:pStyle w:val="TOC3"/>
            <w:tabs>
              <w:tab w:val="right" w:leader="dot" w:pos="9072"/>
            </w:tabs>
          </w:pPr>
          <w:r>
            <w:t xml:space="preserve">6.1 Enterprise Support</w:t>
          </w:r>
          <w:r>
            <w:tab/>
          </w:r>
          <w:r>
            <w:t xml:space="preserve">18</w:t>
          </w:r>
        </w:p>
        <w:p>
          <w:pPr>
            <w:pStyle w:val="TOC2"/>
            <w:tabs>
              <w:tab w:val="right" w:leader="dot" w:pos="9072"/>
            </w:tabs>
          </w:pPr>
          <w:r>
            <w:t xml:space="preserve">7. Total Cost of Ownership Analysis</w:t>
          </w:r>
          <w:r>
            <w:tab/>
          </w:r>
          <w:r>
            <w:t xml:space="preserve">19</w:t>
          </w:r>
        </w:p>
        <w:p>
          <w:pPr>
            <w:pStyle w:val="TOC3"/>
            <w:tabs>
              <w:tab w:val="right" w:leader="dot" w:pos="9072"/>
            </w:tabs>
          </w:pPr>
          <w:r>
            <w:t xml:space="preserve">7.1 Three-Year TCO</w:t>
          </w:r>
          <w:r>
            <w:tab/>
          </w:r>
          <w:r>
            <w:t xml:space="preserve">20</w:t>
          </w:r>
        </w:p>
        <w:p>
          <w:pPr>
            <w:pStyle w:val="TOC3"/>
            <w:tabs>
              <w:tab w:val="right" w:leader="dot" w:pos="9072"/>
            </w:tabs>
          </w:pPr>
          <w:r>
            <w:t xml:space="preserve">7.2 Commerzbank Reference: EUR 7 Million Annual Savings</w:t>
          </w:r>
          <w:r>
            <w:tab/>
          </w:r>
          <w:r>
            <w:t xml:space="preserve">21</w:t>
          </w:r>
        </w:p>
        <w:p>
          <w:pPr>
            <w:pStyle w:val="TOC3"/>
            <w:tabs>
              <w:tab w:val="right" w:leader="dot" w:pos="9072"/>
            </w:tabs>
          </w:pPr>
          <w:r>
            <w:t xml:space="preserve">7.3 Build vs. Buy</w:t>
          </w:r>
          <w:r>
            <w:tab/>
          </w:r>
          <w:r>
            <w:t xml:space="preserve">22</w:t>
          </w:r>
        </w:p>
        <w:p>
          <w:pPr>
            <w:pStyle w:val="TOC2"/>
            <w:tabs>
              <w:tab w:val="right" w:leader="dot" w:pos="9072"/>
            </w:tabs>
          </w:pPr>
          <w:r>
            <w:t xml:space="preserve">8. Payment Terms and Milestones</w:t>
          </w:r>
          <w:r>
            <w:tab/>
          </w:r>
          <w:r>
            <w:t xml:space="preserve">23</w:t>
          </w:r>
        </w:p>
        <w:p>
          <w:pPr>
            <w:pStyle w:val="TOC3"/>
            <w:tabs>
              <w:tab w:val="right" w:leader="dot" w:pos="9072"/>
            </w:tabs>
          </w:pPr>
          <w:r>
            <w:t xml:space="preserve">8.1 Platform License</w:t>
          </w:r>
          <w:r>
            <w:tab/>
          </w:r>
          <w:r>
            <w:t xml:space="preserve">24</w:t>
          </w:r>
        </w:p>
        <w:p>
          <w:pPr>
            <w:pStyle w:val="TOC3"/>
            <w:tabs>
              <w:tab w:val="right" w:leader="dot" w:pos="9072"/>
            </w:tabs>
          </w:pPr>
          <w:r>
            <w:t xml:space="preserve">8.2 Implementation Milestones</w:t>
          </w:r>
          <w:r>
            <w:tab/>
          </w:r>
          <w:r>
            <w:t xml:space="preserve">25</w:t>
          </w:r>
        </w:p>
        <w:p>
          <w:pPr>
            <w:pStyle w:val="TOC3"/>
            <w:tabs>
              <w:tab w:val="right" w:leader="dot" w:pos="9072"/>
            </w:tabs>
          </w:pPr>
          <w:r>
            <w:t xml:space="preserve">8.3 Currency</w:t>
          </w:r>
          <w:r>
            <w:tab/>
          </w:r>
          <w:r>
            <w:t xml:space="preserve">26</w:t>
          </w:r>
        </w:p>
        <w:p>
          <w:pPr>
            <w:pStyle w:val="TOC2"/>
            <w:tabs>
              <w:tab w:val="right" w:leader="dot" w:pos="9072"/>
            </w:tabs>
          </w:pPr>
          <w:r>
            <w:t xml:space="preserve">9. Commercial Assumptions Register</w:t>
          </w:r>
          <w:r>
            <w:tab/>
          </w:r>
          <w:r>
            <w:t xml:space="preserve">27</w:t>
          </w:r>
        </w:p>
        <w:p>
          <w:pPr>
            <w:pStyle w:val="TOC2"/>
            <w:tabs>
              <w:tab w:val="right" w:leader="dot" w:pos="9072"/>
            </w:tabs>
          </w:pPr>
          <w:r>
            <w:t xml:space="preserve">10. Exit and Transition Terms</w:t>
          </w:r>
          <w:r>
            <w:tab/>
          </w:r>
          <w:r>
            <w:t xml:space="preserve">28</w:t>
          </w:r>
        </w:p>
        <w:p>
          <w:pPr>
            <w:pStyle w:val="TOC3"/>
            <w:tabs>
              <w:tab w:val="right" w:leader="dot" w:pos="9072"/>
            </w:tabs>
          </w:pPr>
          <w:r>
            <w:t xml:space="preserve">10.1 Data Portability</w:t>
          </w:r>
          <w:r>
            <w:tab/>
          </w:r>
          <w:r>
            <w:t xml:space="preserve">29</w:t>
          </w:r>
        </w:p>
        <w:p>
          <w:pPr>
            <w:pStyle w:val="TOC3"/>
            <w:tabs>
              <w:tab w:val="right" w:leader="dot" w:pos="9072"/>
            </w:tabs>
          </w:pPr>
          <w:r>
            <w:t xml:space="preserve">10.2 Transition Assistance</w:t>
          </w:r>
          <w:r>
            <w:tab/>
          </w:r>
          <w:r>
            <w:t xml:space="preserve">30</w:t>
          </w:r>
        </w:p>
        <w:p>
          <w:pPr>
            <w:pStyle w:val="TOC3"/>
            <w:tabs>
              <w:tab w:val="right" w:leader="dot" w:pos="9072"/>
            </w:tabs>
          </w:pPr>
          <w:r>
            <w:t xml:space="preserve">10.3 APRA Exit Requirements</w:t>
          </w:r>
          <w:r>
            <w:tab/>
          </w:r>
          <w:r>
            <w:t xml:space="preserve">31</w:t>
          </w:r>
        </w:p>
        <w:p>
          <w:pPr>
            <w:pStyle w:val="TOC2"/>
            <w:tabs>
              <w:tab w:val="right" w:leader="dot" w:pos="9072"/>
            </w:tabs>
          </w:pPr>
          <w:r>
            <w:t xml:space="preserve">11. Value Justification</w:t>
          </w:r>
          <w:r>
            <w:tab/>
          </w:r>
          <w:r>
            <w:t xml:space="preserve">32</w:t>
          </w:r>
        </w:p>
        <w:p>
          <w:pPr>
            <w:pStyle w:val="TOC3"/>
            <w:tabs>
              <w:tab w:val="right" w:leader="dot" w:pos="9072"/>
            </w:tabs>
          </w:pPr>
          <w:r>
            <w:t xml:space="preserve">11.1 Commerzbank Benchmark Applied to Australia</w:t>
          </w:r>
          <w:r>
            <w:tab/>
          </w:r>
          <w:r>
            <w:t xml:space="preserve">33</w:t>
          </w:r>
        </w:p>
        <w:p>
          <w:pPr>
            <w:pStyle w:val="TOC3"/>
            <w:tabs>
              <w:tab w:val="right" w:leader="dot" w:pos="9072"/>
            </w:tabs>
          </w:pPr>
          <w:r>
            <w:t xml:space="preserve">11.2 Project Atom Positioning: First-Mover Advantage</w:t>
          </w:r>
          <w:r>
            <w:tab/>
          </w:r>
          <w:r>
            <w:t xml:space="preserve">34</w:t>
          </w:r>
        </w:p>
        <w:p>
          <w:pPr>
            <w:pStyle w:val="TOC3"/>
            <w:tabs>
              <w:tab w:val="right" w:leader="dot" w:pos="9072"/>
            </w:tabs>
          </w:pPr>
          <w:r>
            <w:t xml:space="preserve">11.3 No Transaction Fees as Volume Scales</w:t>
          </w:r>
          <w:r>
            <w:tab/>
          </w:r>
          <w:r>
            <w:t xml:space="preserve">35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Commonwealth Bank of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COMMONWEALTH-BANK-RFP-202603</w:t>
      </w:r>
    </w:p>
    <w:p>
      <w:r>
        <w:rPr>
          <w:rFonts w:ascii="Figtree" w:hAnsi="Figtree"/>
          <w:b w:val="0"/>
          <w:i/>
          <w:sz w:val="22"/>
        </w:rPr>
        <w:t>All prices exclude applicable taxes and VAT, including Australian GST where applicable.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Tokenized Bond Issuance Platform</w:t>
      </w:r>
    </w:p>
    <w:p>
      <w:r>
        <w:rPr>
          <w:rFonts w:ascii="Figtree" w:hAnsi="Figtree"/>
          <w:b/>
          <w:i w:val="0"/>
          <w:sz w:val="22"/>
        </w:rPr>
        <w:t>Client:</w:t>
      </w:r>
      <w:r>
        <w:rPr>
          <w:rFonts w:ascii="Figtree" w:hAnsi="Figtree"/>
          <w:b w:val="0"/>
          <w:i w:val="0"/>
          <w:sz w:val="22"/>
        </w:rPr>
        <w:t xml:space="preserve"> Commonwealth Bank of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2. Commercial Summary</w:t>
      </w:r>
    </w:p>
    <w:p>
      <w:r>
        <w:rPr>
          <w:rFonts w:ascii="Figtree" w:hAnsi="Figtree"/>
          <w:b w:val="0"/>
          <w:i w:val="0"/>
          <w:sz w:val="22"/>
        </w:rPr>
        <w:t>Commonwealth Bank of Australia is one of Australia's systemically important financial institutions and a major issuer in the domestic and international bond markets. The commercial model reflects CBA's procurement requirements: transparent pricing, no transaction fees, and clear expansion economics as the programme grows beyond the initial senior unsecured bond scope.</w:t>
      </w:r>
    </w:p>
    <w:p>
      <w:r>
        <w:rPr>
          <w:rFonts w:ascii="Figtree" w:hAnsi="Figtree"/>
          <w:b/>
          <w:i w:val="0"/>
          <w:sz w:val="22"/>
        </w:rPr>
        <w:t>Year 1 Platform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88"/>
        <w:gridCol w:w="42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All prices exclude applicable taxes and VAT including Australian GST. Annual, upfront.</w:t>
      </w:r>
    </w:p>
    <w:p>
      <w:r>
        <w:rPr>
          <w:rFonts w:ascii="Figtree" w:hAnsi="Figtree"/>
          <w:b/>
          <w:i w:val="0"/>
          <w:sz w:val="22"/>
        </w:rPr>
        <w:t>Three-Year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05"/>
        <w:gridCol w:w="40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Total (EUR)</w:t>
            </w:r>
          </w:p>
        </w:tc>
      </w:tr>
      <w:tr>
        <w:trPr>
          <w:trHeight w:val="425" w:hRule="atLeast"/>
        </w:trPr>
        <w:tc>
          <w:tcPr>
            <w:tcW w:type="dxa" w:w="4873"/>
            <w:vAlign w:val="center"/>
          </w:tcPr>
          <w:p>
            <w:pPr>
              <w:spacing w:line="276" w:lineRule="auto" w:before="0" w:after="0"/>
            </w:pPr>
            <w:r/>
            <w:r>
              <w:rPr>
                <w:rFonts w:ascii="Figtree" w:hAnsi="Figtree"/>
                <w:b w:val="0"/>
                <w:i w:val="0"/>
                <w:sz w:val="20"/>
              </w:rPr>
              <w:t>Year 1</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Year 2</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Year 3</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i w:val="0"/>
                <w:sz w:val="20"/>
              </w:rPr>
              <w:t>3-Year Total</w:t>
            </w:r>
          </w:p>
        </w:tc>
        <w:tc>
          <w:tcPr>
            <w:tcW w:type="dxa" w:w="4873"/>
            <w:vAlign w:val="center"/>
          </w:tcPr>
          <w:p>
            <w:pPr>
              <w:spacing w:line="276" w:lineRule="auto" w:before="0" w:after="0"/>
            </w:pPr>
            <w:r/>
            <w:r>
              <w:rPr>
                <w:rFonts w:ascii="Figtree" w:hAnsi="Figtree"/>
                <w:b/>
                <w:i w:val="0"/>
                <w:sz w:val="20"/>
              </w:rPr>
              <w:t>1,260,000</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3.1 Bond Programme-Appropriate Pricing</w:t>
      </w:r>
    </w:p>
    <w:p>
      <w:r>
        <w:rPr>
          <w:rFonts w:ascii="Figtree" w:hAnsi="Figtree"/>
          <w:b w:val="0"/>
          <w:i w:val="0"/>
          <w:sz w:val="22"/>
        </w:rPr>
        <w:t>DALP's environment-based licensing means CBA pays for deployed environments, not for bonds issued. The platform license covers the full bond programme scope:</w:t>
      </w:r>
    </w:p>
    <w:p>
      <w:pPr>
        <w:pStyle w:val="ListParagraph"/>
        <w:numPr>
          <w:ilvl w:val="0"/>
          <w:numId w:val="4"/>
        </w:numPr>
      </w:pPr>
      <w:r>
        <w:rPr>
          <w:rFonts w:ascii="Figtree" w:hAnsi="Figtree"/>
          <w:b w:val="0"/>
          <w:i w:val="0"/>
          <w:sz w:val="22"/>
        </w:rPr>
        <w:t>Senior unsecured notes</w:t>
      </w:r>
    </w:p>
    <w:p>
      <w:pPr>
        <w:pStyle w:val="ListParagraph"/>
        <w:numPr>
          <w:ilvl w:val="0"/>
          <w:numId w:val="4"/>
        </w:numPr>
      </w:pPr>
      <w:r>
        <w:rPr>
          <w:rFonts w:ascii="Figtree" w:hAnsi="Figtree"/>
          <w:b w:val="0"/>
          <w:i w:val="0"/>
          <w:sz w:val="22"/>
        </w:rPr>
        <w:t>Covered bonds (added through compliance configuration, not new licensing)</w:t>
      </w:r>
    </w:p>
    <w:p>
      <w:pPr>
        <w:pStyle w:val="ListParagraph"/>
        <w:numPr>
          <w:ilvl w:val="0"/>
          <w:numId w:val="4"/>
        </w:numPr>
      </w:pPr>
      <w:r>
        <w:rPr>
          <w:rFonts w:ascii="Figtree" w:hAnsi="Figtree"/>
          <w:b w:val="0"/>
          <w:i w:val="0"/>
          <w:sz w:val="22"/>
        </w:rPr>
        <w:t>Sustainability-linked bonds (added through data feed and yield schedule configuration)</w:t>
      </w:r>
    </w:p>
    <w:p>
      <w:pPr>
        <w:pStyle w:val="ListParagraph"/>
        <w:numPr>
          <w:ilvl w:val="0"/>
          <w:numId w:val="4"/>
        </w:numPr>
      </w:pPr>
      <w:r>
        <w:rPr>
          <w:rFonts w:ascii="Figtree" w:hAnsi="Figtree"/>
          <w:b w:val="0"/>
          <w:i w:val="0"/>
          <w:sz w:val="22"/>
        </w:rPr>
        <w:t>Subordinated notes</w:t>
      </w:r>
    </w:p>
    <w:p>
      <w:pPr>
        <w:pStyle w:val="ListParagraph"/>
        <w:numPr>
          <w:ilvl w:val="0"/>
          <w:numId w:val="4"/>
        </w:numPr>
      </w:pPr>
      <w:r>
        <w:rPr>
          <w:rFonts w:ascii="Figtree" w:hAnsi="Figtree"/>
          <w:b w:val="0"/>
          <w:i w:val="0"/>
          <w:sz w:val="22"/>
        </w:rPr>
        <w:t>All future bond series</w:t>
      </w:r>
    </w:p>
    <w:p>
      <w:r>
        <w:rPr>
          <w:rFonts w:ascii="Figtree" w:hAnsi="Figtree"/>
          <w:b w:val="0"/>
          <w:i w:val="0"/>
          <w:sz w:val="22"/>
        </w:rPr>
        <w:t>No additional license fees accrue as CBA adds bond series, increases issuance volumes, or expands investor distribution.</w:t>
      </w:r>
    </w:p>
    <w:p>
      <w:pPr>
        <w:pStyle w:val="H3"/>
        <w:numPr>
          <w:ilvl w:val="2"/>
          <w:numId w:val="1"/>
        </w:numPr>
      </w:pPr>
      <w:r>
        <w:t>3.2 License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02"/>
        <w:gridCol w:w="426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Fee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Staging (optional)</w:t>
            </w:r>
          </w:p>
        </w:tc>
        <w:tc>
          <w:tcPr>
            <w:tcW w:type="dxa" w:w="4873"/>
            <w:vAlign w:val="center"/>
          </w:tcPr>
          <w:p>
            <w:pPr>
              <w:spacing w:line="276" w:lineRule="auto" w:before="0" w:after="0"/>
            </w:pPr>
            <w:r/>
            <w:r>
              <w:rPr>
                <w:rFonts w:ascii="Figtree" w:hAnsi="Figtree"/>
                <w:b w:val="0"/>
                <w:i w:val="0"/>
                <w:sz w:val="20"/>
              </w:rPr>
              <w:t>120,000</w:t>
            </w:r>
          </w:p>
        </w:tc>
      </w:tr>
    </w:tbl>
    <w:p>
      <w:pPr>
        <w:spacing w:before="0" w:after="0" w:line="120" w:lineRule="exact"/>
      </w:pPr>
    </w:p>
    <w:p>
      <w:r>
        <w:rPr>
          <w:rFonts w:ascii="Figtree" w:hAnsi="Figtree"/>
          <w:b w:val="0"/>
          <w:i/>
          <w:sz w:val="22"/>
        </w:rPr>
        <w:t>All prices exclude applicable taxes and VAT. Annual, upfront payment.</w:t>
      </w:r>
    </w:p>
    <w:p>
      <w:pPr>
        <w:pStyle w:val="H3"/>
        <w:numPr>
          <w:ilvl w:val="2"/>
          <w:numId w:val="1"/>
        </w:numPr>
      </w:pPr>
      <w:r>
        <w:t>3.3 Expansion Licensing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76"/>
        <w:gridCol w:w="359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Expansion 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Incremental Annual License</w:t>
            </w:r>
          </w:p>
        </w:tc>
      </w:tr>
      <w:tr>
        <w:trPr>
          <w:trHeight w:val="425" w:hRule="atLeast"/>
        </w:trPr>
        <w:tc>
          <w:tcPr>
            <w:tcW w:type="dxa" w:w="4873"/>
            <w:vAlign w:val="center"/>
          </w:tcPr>
          <w:p>
            <w:pPr>
              <w:spacing w:line="276" w:lineRule="auto" w:before="0" w:after="0"/>
            </w:pPr>
            <w:r/>
            <w:r>
              <w:rPr>
                <w:rFonts w:ascii="Figtree" w:hAnsi="Figtree"/>
                <w:b w:val="0"/>
                <w:i w:val="0"/>
                <w:sz w:val="20"/>
              </w:rPr>
              <w:t>Add staging environment</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Add second production environment (New Zealand or Hong Kong)</w:t>
            </w:r>
          </w:p>
        </w:tc>
        <w:tc>
          <w:tcPr>
            <w:tcW w:type="dxa" w:w="4873"/>
            <w:vAlign w:val="center"/>
          </w:tcPr>
          <w:p>
            <w:pPr>
              <w:spacing w:line="276" w:lineRule="auto" w:before="0" w:after="0"/>
            </w:pPr>
            <w:r/>
            <w:r>
              <w:rPr>
                <w:rFonts w:ascii="Figtree" w:hAnsi="Figtree"/>
                <w:b w:val="0"/>
                <w:i w:val="0"/>
                <w:sz w:val="20"/>
              </w:rPr>
              <w:t>EUR 300,000</w:t>
            </w:r>
          </w:p>
        </w:tc>
      </w:tr>
      <w:tr>
        <w:trPr>
          <w:trHeight w:val="425" w:hRule="atLeast"/>
        </w:trPr>
        <w:tc>
          <w:tcPr>
            <w:tcW w:type="dxa" w:w="4873"/>
            <w:vAlign w:val="center"/>
          </w:tcPr>
          <w:p>
            <w:pPr>
              <w:spacing w:line="276" w:lineRule="auto" w:before="0" w:after="0"/>
            </w:pPr>
            <w:r/>
            <w:r>
              <w:rPr>
                <w:rFonts w:ascii="Figtree" w:hAnsi="Figtree"/>
                <w:b w:val="0"/>
                <w:i w:val="0"/>
                <w:sz w:val="20"/>
              </w:rPr>
              <w:t>Full trans-Tasman deployment (2 production + 2 development)</w:t>
            </w:r>
          </w:p>
        </w:tc>
        <w:tc>
          <w:tcPr>
            <w:tcW w:type="dxa" w:w="4873"/>
            <w:vAlign w:val="center"/>
          </w:tcPr>
          <w:p>
            <w:pPr>
              <w:spacing w:line="276" w:lineRule="auto" w:before="0" w:after="0"/>
            </w:pPr>
            <w:r/>
            <w:r>
              <w:rPr>
                <w:rFonts w:ascii="Figtree" w:hAnsi="Figtree"/>
                <w:b w:val="0"/>
                <w:i w:val="0"/>
                <w:sz w:val="20"/>
              </w:rPr>
              <w:t>EUR 600,000 + EUR 240,000 = EUR 840,000</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Indicative Implementation Investment</w:t>
      </w:r>
    </w:p>
    <w:p>
      <w:r>
        <w:rPr>
          <w:rFonts w:ascii="Figtree" w:hAnsi="Figtree"/>
          <w:b w:val="0"/>
          <w:i w:val="0"/>
          <w:sz w:val="22"/>
        </w:rPr>
        <w:t>Based on comparable Australian bank deployments and bond-focused implementations (Commerzbank, Mizuho, OCBC), the indicative investment for CBA's 19-week programme 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68"/>
        <w:gridCol w:w="28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Range (EUR)</w:t>
            </w:r>
          </w:p>
        </w:tc>
      </w:tr>
      <w:tr>
        <w:trPr>
          <w:trHeight w:val="425" w:hRule="atLeast"/>
        </w:trPr>
        <w:tc>
          <w:tcPr>
            <w:tcW w:type="dxa" w:w="4873"/>
            <w:vAlign w:val="center"/>
          </w:tcPr>
          <w:p>
            <w:pPr>
              <w:spacing w:line="276" w:lineRule="auto" w:before="0" w:after="0"/>
            </w:pPr>
            <w:r/>
            <w:r>
              <w:rPr>
                <w:rFonts w:ascii="Figtree" w:hAnsi="Figtree"/>
                <w:b w:val="0"/>
                <w:i w:val="0"/>
                <w:sz w:val="20"/>
              </w:rPr>
              <w:t>Core: Senior bonds + ASIC compliance + CHESS + NPP + AUSTRAC</w:t>
            </w:r>
          </w:p>
        </w:tc>
        <w:tc>
          <w:tcPr>
            <w:tcW w:type="dxa" w:w="4873"/>
            <w:vAlign w:val="center"/>
          </w:tcPr>
          <w:p>
            <w:pPr>
              <w:spacing w:line="276" w:lineRule="auto" w:before="0" w:after="0"/>
            </w:pPr>
            <w:r/>
            <w:r>
              <w:rPr>
                <w:rFonts w:ascii="Figtree" w:hAnsi="Figtree"/>
                <w:b w:val="0"/>
                <w:i w:val="0"/>
                <w:sz w:val="20"/>
              </w:rPr>
              <w:t>380,000 - 560,000</w:t>
            </w:r>
          </w:p>
        </w:tc>
      </w:tr>
      <w:tr>
        <w:trPr>
          <w:trHeight w:val="425" w:hRule="atLeast"/>
        </w:trPr>
        <w:tc>
          <w:tcPr>
            <w:tcW w:type="dxa" w:w="4873"/>
            <w:vAlign w:val="center"/>
          </w:tcPr>
          <w:p>
            <w:pPr>
              <w:spacing w:line="276" w:lineRule="auto" w:before="0" w:after="0"/>
            </w:pPr>
            <w:r/>
            <w:r>
              <w:rPr>
                <w:rFonts w:ascii="Figtree" w:hAnsi="Figtree"/>
                <w:b w:val="0"/>
                <w:i w:val="0"/>
                <w:sz w:val="20"/>
              </w:rPr>
              <w:t>Full: Core + Covered bonds + SLB + Project Atom readiness</w:t>
            </w:r>
          </w:p>
        </w:tc>
        <w:tc>
          <w:tcPr>
            <w:tcW w:type="dxa" w:w="4873"/>
            <w:vAlign w:val="center"/>
          </w:tcPr>
          <w:p>
            <w:pPr>
              <w:spacing w:line="276" w:lineRule="auto" w:before="0" w:after="0"/>
            </w:pPr>
            <w:r/>
            <w:r>
              <w:rPr>
                <w:rFonts w:ascii="Figtree" w:hAnsi="Figtree"/>
                <w:b w:val="0"/>
                <w:i w:val="0"/>
                <w:sz w:val="20"/>
              </w:rPr>
              <w:t>560,000 - 800,000</w:t>
            </w:r>
          </w:p>
        </w:tc>
      </w:tr>
    </w:tbl>
    <w:p>
      <w:pPr>
        <w:spacing w:before="0" w:after="0" w:line="120" w:lineRule="exact"/>
      </w:pPr>
    </w:p>
    <w:p>
      <w:r>
        <w:rPr>
          <w:rFonts w:ascii="Figtree" w:hAnsi="Figtree"/>
          <w:b w:val="0"/>
          <w:i/>
          <w:sz w:val="22"/>
        </w:rPr>
        <w:t>Phase 1 Discovery formalizes scope and fixes the implementation fee in a signed SOW.</w:t>
      </w:r>
    </w:p>
    <w:p>
      <w:pPr>
        <w:pStyle w:val="H3"/>
        <w:numPr>
          <w:ilvl w:val="2"/>
          <w:numId w:val="1"/>
        </w:numPr>
      </w:pPr>
      <w:r>
        <w:t>4.2 Phase Breakdown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38"/>
        <w:gridCol w:w="1577"/>
        <w:gridCol w:w="31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Model</w:t>
            </w:r>
          </w:p>
        </w:tc>
      </w:tr>
      <w:tr>
        <w:trPr>
          <w:trHeight w:val="425" w:hRule="atLeast"/>
        </w:trPr>
        <w:tc>
          <w:tcPr>
            <w:tcW w:type="dxa" w:w="3249"/>
            <w:vAlign w:val="center"/>
          </w:tcPr>
          <w:p>
            <w:pPr>
              <w:spacing w:line="276" w:lineRule="auto" w:before="0" w:after="0"/>
            </w:pPr>
            <w:r/>
            <w:r>
              <w:rPr>
                <w:rFonts w:ascii="Figtree" w:hAnsi="Figtree"/>
                <w:b w:val="0"/>
                <w:i w:val="0"/>
                <w:sz w:val="20"/>
              </w:rPr>
              <w:t>Phase 1: Discovery</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2: Configuration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3: Integration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T&amp;M with ceiling</w:t>
            </w:r>
          </w:p>
        </w:tc>
      </w:tr>
      <w:tr>
        <w:trPr>
          <w:trHeight w:val="425" w:hRule="atLeast"/>
        </w:trPr>
        <w:tc>
          <w:tcPr>
            <w:tcW w:type="dxa" w:w="3249"/>
            <w:vAlign w:val="center"/>
          </w:tcPr>
          <w:p>
            <w:pPr>
              <w:spacing w:line="276" w:lineRule="auto" w:before="0" w:after="0"/>
            </w:pPr>
            <w:r/>
            <w:r>
              <w:rPr>
                <w:rFonts w:ascii="Figtree" w:hAnsi="Figtree"/>
                <w:b w:val="0"/>
                <w:i w:val="0"/>
                <w:sz w:val="20"/>
              </w:rPr>
              <w:t>Phase 4: Testing</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6: 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milestone</w:t>
            </w:r>
          </w:p>
        </w:tc>
      </w:tr>
    </w:tbl>
    <w:p>
      <w:pPr>
        <w:spacing w:before="0" w:after="0" w:line="120" w:lineRule="exact"/>
      </w:pPr>
    </w:p>
    <w:p>
      <w:pPr>
        <w:pStyle w:val="H3"/>
        <w:numPr>
          <w:ilvl w:val="2"/>
          <w:numId w:val="1"/>
        </w:numPr>
      </w:pPr>
      <w:r>
        <w:t>4.3 Optional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26"/>
        <w:gridCol w:w="26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Package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Cost (EUR)</w:t>
            </w:r>
          </w:p>
        </w:tc>
      </w:tr>
      <w:tr>
        <w:trPr>
          <w:trHeight w:val="425" w:hRule="atLeast"/>
        </w:trPr>
        <w:tc>
          <w:tcPr>
            <w:tcW w:type="dxa" w:w="4873"/>
            <w:vAlign w:val="center"/>
          </w:tcPr>
          <w:p>
            <w:pPr>
              <w:spacing w:line="276" w:lineRule="auto" w:before="0" w:after="0"/>
            </w:pPr>
            <w:r/>
            <w:r>
              <w:rPr>
                <w:rFonts w:ascii="Figtree" w:hAnsi="Figtree"/>
                <w:b w:val="0"/>
                <w:i w:val="0"/>
                <w:sz w:val="20"/>
              </w:rPr>
              <w:t>Covered Bond Compliance Package (APS 180 controls)</w:t>
            </w:r>
          </w:p>
        </w:tc>
        <w:tc>
          <w:tcPr>
            <w:tcW w:type="dxa" w:w="4873"/>
            <w:vAlign w:val="center"/>
          </w:tcPr>
          <w:p>
            <w:pPr>
              <w:spacing w:line="276" w:lineRule="auto" w:before="0" w:after="0"/>
            </w:pPr>
            <w:r/>
            <w:r>
              <w:rPr>
                <w:rFonts w:ascii="Figtree" w:hAnsi="Figtree"/>
                <w:b w:val="0"/>
                <w:i w:val="0"/>
                <w:sz w:val="20"/>
              </w:rPr>
              <w:t>60,000 - 100,000</w:t>
            </w:r>
          </w:p>
        </w:tc>
      </w:tr>
      <w:tr>
        <w:trPr>
          <w:trHeight w:val="425" w:hRule="atLeast"/>
        </w:trPr>
        <w:tc>
          <w:tcPr>
            <w:tcW w:type="dxa" w:w="4873"/>
            <w:vAlign w:val="center"/>
          </w:tcPr>
          <w:p>
            <w:pPr>
              <w:spacing w:line="276" w:lineRule="auto" w:before="0" w:after="0"/>
            </w:pPr>
            <w:r/>
            <w:r>
              <w:rPr>
                <w:rFonts w:ascii="Figtree" w:hAnsi="Figtree"/>
                <w:b w:val="0"/>
                <w:i w:val="0"/>
                <w:sz w:val="20"/>
              </w:rPr>
              <w:t>Sustainability-Linked Bond (SPT data feed + step mechanism)</w:t>
            </w:r>
          </w:p>
        </w:tc>
        <w:tc>
          <w:tcPr>
            <w:tcW w:type="dxa" w:w="4873"/>
            <w:vAlign w:val="center"/>
          </w:tcPr>
          <w:p>
            <w:pPr>
              <w:spacing w:line="276" w:lineRule="auto" w:before="0" w:after="0"/>
            </w:pPr>
            <w:r/>
            <w:r>
              <w:rPr>
                <w:rFonts w:ascii="Figtree" w:hAnsi="Figtree"/>
                <w:b w:val="0"/>
                <w:i w:val="0"/>
                <w:sz w:val="20"/>
              </w:rPr>
              <w:t>50,000 - 90,000</w:t>
            </w:r>
          </w:p>
        </w:tc>
      </w:tr>
      <w:tr>
        <w:trPr>
          <w:trHeight w:val="425" w:hRule="atLeast"/>
        </w:trPr>
        <w:tc>
          <w:tcPr>
            <w:tcW w:type="dxa" w:w="4873"/>
            <w:vAlign w:val="center"/>
          </w:tcPr>
          <w:p>
            <w:pPr>
              <w:spacing w:line="276" w:lineRule="auto" w:before="0" w:after="0"/>
            </w:pPr>
            <w:r/>
            <w:r>
              <w:rPr>
                <w:rFonts w:ascii="Figtree" w:hAnsi="Figtree"/>
                <w:b w:val="0"/>
                <w:i w:val="0"/>
                <w:sz w:val="20"/>
              </w:rPr>
              <w:t>Project Atom Readiness (wholesale CBDC interoperability testing)</w:t>
            </w:r>
          </w:p>
        </w:tc>
        <w:tc>
          <w:tcPr>
            <w:tcW w:type="dxa" w:w="4873"/>
            <w:vAlign w:val="center"/>
          </w:tcPr>
          <w:p>
            <w:pPr>
              <w:spacing w:line="276" w:lineRule="auto" w:before="0" w:after="0"/>
            </w:pPr>
            <w:r/>
            <w:r>
              <w:rPr>
                <w:rFonts w:ascii="Figtree" w:hAnsi="Figtree"/>
                <w:b w:val="0"/>
                <w:i w:val="0"/>
                <w:sz w:val="20"/>
              </w:rPr>
              <w:t>50,000 - 100,000</w:t>
            </w:r>
          </w:p>
        </w:tc>
      </w:tr>
      <w:tr>
        <w:trPr>
          <w:trHeight w:val="425" w:hRule="atLeast"/>
        </w:trPr>
        <w:tc>
          <w:tcPr>
            <w:tcW w:type="dxa" w:w="4873"/>
            <w:vAlign w:val="center"/>
          </w:tcPr>
          <w:p>
            <w:pPr>
              <w:spacing w:line="276" w:lineRule="auto" w:before="0" w:after="0"/>
            </w:pPr>
            <w:r/>
            <w:r>
              <w:rPr>
                <w:rFonts w:ascii="Figtree" w:hAnsi="Figtree"/>
                <w:b w:val="0"/>
                <w:i w:val="0"/>
                <w:sz w:val="20"/>
              </w:rPr>
              <w:t>International Distribution (USD/EUR denomination + SWIFT)</w:t>
            </w:r>
          </w:p>
        </w:tc>
        <w:tc>
          <w:tcPr>
            <w:tcW w:type="dxa" w:w="4873"/>
            <w:vAlign w:val="center"/>
          </w:tcPr>
          <w:p>
            <w:pPr>
              <w:spacing w:line="276" w:lineRule="auto" w:before="0" w:after="0"/>
            </w:pPr>
            <w:r/>
            <w:r>
              <w:rPr>
                <w:rFonts w:ascii="Figtree" w:hAnsi="Figtree"/>
                <w:b w:val="0"/>
                <w:i w:val="0"/>
                <w:sz w:val="20"/>
              </w:rPr>
              <w:t>40,000 - 80,000</w:t>
            </w:r>
          </w:p>
        </w:tc>
      </w:tr>
    </w:tbl>
    <w:p>
      <w:pPr>
        <w:spacing w:before="0" w:after="0" w:line="120" w:lineRule="exact"/>
      </w:pPr>
    </w:p>
    <w:p>
      <w:r>
        <w:br w:type="page"/>
      </w:r>
    </w:p>
    <w:p>
      <w:pPr>
        <w:pStyle w:val="H2"/>
        <w:numPr>
          <w:ilvl w:val="1"/>
          <w:numId w:val="1"/>
        </w:numPr>
      </w:pPr>
      <w:r>
        <w:t>5. Environment and Infrastructure Costs</w:t>
      </w:r>
    </w:p>
    <w:p>
      <w:pPr>
        <w:pStyle w:val="H3"/>
        <w:numPr>
          <w:ilvl w:val="2"/>
          <w:numId w:val="1"/>
        </w:numPr>
      </w:pPr>
      <w:r>
        <w:t>5.1 AWS Sydney (ap-southeast-2) — Pass-Through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68"/>
        <w:gridCol w:w="47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Annual Cost (USD)</w:t>
            </w:r>
          </w:p>
        </w:tc>
      </w:tr>
      <w:tr>
        <w:trPr>
          <w:trHeight w:val="425" w:hRule="atLeast"/>
        </w:trPr>
        <w:tc>
          <w:tcPr>
            <w:tcW w:type="dxa" w:w="4873"/>
            <w:vAlign w:val="center"/>
          </w:tcPr>
          <w:p>
            <w:pPr>
              <w:spacing w:line="276" w:lineRule="auto" w:before="0" w:after="0"/>
            </w:pPr>
            <w:r/>
            <w:r>
              <w:rPr>
                <w:rFonts w:ascii="Figtree" w:hAnsi="Figtree"/>
                <w:b w:val="0"/>
                <w:i w:val="0"/>
                <w:sz w:val="20"/>
              </w:rPr>
              <w:t>EKS cluster</w:t>
            </w:r>
          </w:p>
        </w:tc>
        <w:tc>
          <w:tcPr>
            <w:tcW w:type="dxa" w:w="4873"/>
            <w:vAlign w:val="center"/>
          </w:tcPr>
          <w:p>
            <w:pPr>
              <w:spacing w:line="276" w:lineRule="auto" w:before="0" w:after="0"/>
            </w:pPr>
            <w:r/>
            <w:r>
              <w:rPr>
                <w:rFonts w:ascii="Figtree" w:hAnsi="Figtree"/>
                <w:b w:val="0"/>
                <w:i w:val="0"/>
                <w:sz w:val="20"/>
              </w:rPr>
              <w:t>18,000 - 30,000</w:t>
            </w:r>
          </w:p>
        </w:tc>
      </w:tr>
      <w:tr>
        <w:trPr>
          <w:trHeight w:val="425" w:hRule="atLeast"/>
        </w:trPr>
        <w:tc>
          <w:tcPr>
            <w:tcW w:type="dxa" w:w="4873"/>
            <w:vAlign w:val="center"/>
          </w:tcPr>
          <w:p>
            <w:pPr>
              <w:spacing w:line="276" w:lineRule="auto" w:before="0" w:after="0"/>
            </w:pPr>
            <w:r/>
            <w:r>
              <w:rPr>
                <w:rFonts w:ascii="Figtree" w:hAnsi="Figtree"/>
                <w:b w:val="0"/>
                <w:i w:val="0"/>
                <w:sz w:val="20"/>
              </w:rPr>
              <w:t>Aurora PostgreSQL Multi-AZ</w:t>
            </w:r>
          </w:p>
        </w:tc>
        <w:tc>
          <w:tcPr>
            <w:tcW w:type="dxa" w:w="4873"/>
            <w:vAlign w:val="center"/>
          </w:tcPr>
          <w:p>
            <w:pPr>
              <w:spacing w:line="276" w:lineRule="auto" w:before="0" w:after="0"/>
            </w:pPr>
            <w:r/>
            <w:r>
              <w:rPr>
                <w:rFonts w:ascii="Figtree" w:hAnsi="Figtree"/>
                <w:b w:val="0"/>
                <w:i w:val="0"/>
                <w:sz w:val="20"/>
              </w:rPr>
              <w:t>10,000 - 18,000</w:t>
            </w:r>
          </w:p>
        </w:tc>
      </w:tr>
      <w:tr>
        <w:trPr>
          <w:trHeight w:val="425" w:hRule="atLeast"/>
        </w:trPr>
        <w:tc>
          <w:tcPr>
            <w:tcW w:type="dxa" w:w="4873"/>
            <w:vAlign w:val="center"/>
          </w:tcPr>
          <w:p>
            <w:pPr>
              <w:spacing w:line="276" w:lineRule="auto" w:before="0" w:after="0"/>
            </w:pPr>
            <w:r/>
            <w:r>
              <w:rPr>
                <w:rFonts w:ascii="Figtree" w:hAnsi="Figtree"/>
                <w:b w:val="0"/>
                <w:i w:val="0"/>
                <w:sz w:val="20"/>
              </w:rPr>
              <w:t>CloudHSM</w:t>
            </w:r>
          </w:p>
        </w:tc>
        <w:tc>
          <w:tcPr>
            <w:tcW w:type="dxa" w:w="4873"/>
            <w:vAlign w:val="center"/>
          </w:tcPr>
          <w:p>
            <w:pPr>
              <w:spacing w:line="276" w:lineRule="auto" w:before="0" w:after="0"/>
            </w:pPr>
            <w:r/>
            <w:r>
              <w:rPr>
                <w:rFonts w:ascii="Figtree" w:hAnsi="Figtree"/>
                <w:b w:val="0"/>
                <w:i w:val="0"/>
                <w:sz w:val="20"/>
              </w:rPr>
              <w:t>15,000 - 20,000</w:t>
            </w:r>
          </w:p>
        </w:tc>
      </w:tr>
      <w:tr>
        <w:trPr>
          <w:trHeight w:val="425" w:hRule="atLeast"/>
        </w:trPr>
        <w:tc>
          <w:tcPr>
            <w:tcW w:type="dxa" w:w="4873"/>
            <w:vAlign w:val="center"/>
          </w:tcPr>
          <w:p>
            <w:pPr>
              <w:spacing w:line="276" w:lineRule="auto" w:before="0" w:after="0"/>
            </w:pPr>
            <w:r/>
            <w:r>
              <w:rPr>
                <w:rFonts w:ascii="Figtree" w:hAnsi="Figtree"/>
                <w:b w:val="0"/>
                <w:i w:val="0"/>
                <w:sz w:val="20"/>
              </w:rPr>
              <w:t>S3, KMS, networking</w:t>
            </w:r>
          </w:p>
        </w:tc>
        <w:tc>
          <w:tcPr>
            <w:tcW w:type="dxa" w:w="4873"/>
            <w:vAlign w:val="center"/>
          </w:tcPr>
          <w:p>
            <w:pPr>
              <w:spacing w:line="276" w:lineRule="auto" w:before="0" w:after="0"/>
            </w:pPr>
            <w:r/>
            <w:r>
              <w:rPr>
                <w:rFonts w:ascii="Figtree" w:hAnsi="Figtree"/>
                <w:b w:val="0"/>
                <w:i w:val="0"/>
                <w:sz w:val="20"/>
              </w:rPr>
              <w:t>5,000 - 10,000</w:t>
            </w:r>
          </w:p>
        </w:tc>
      </w:tr>
      <w:tr>
        <w:trPr>
          <w:trHeight w:val="425" w:hRule="atLeast"/>
        </w:trPr>
        <w:tc>
          <w:tcPr>
            <w:tcW w:type="dxa" w:w="4873"/>
            <w:vAlign w:val="center"/>
          </w:tcPr>
          <w:p>
            <w:pPr>
              <w:spacing w:line="276" w:lineRule="auto" w:before="0" w:after="0"/>
            </w:pPr>
            <w:r/>
            <w:r>
              <w:rPr>
                <w:rFonts w:ascii="Figtree" w:hAnsi="Figtree"/>
                <w:b/>
                <w:i w:val="0"/>
                <w:sz w:val="20"/>
              </w:rPr>
              <w:t>Total AWS (production)</w:t>
            </w:r>
          </w:p>
        </w:tc>
        <w:tc>
          <w:tcPr>
            <w:tcW w:type="dxa" w:w="4873"/>
            <w:vAlign w:val="center"/>
          </w:tcPr>
          <w:p>
            <w:pPr>
              <w:spacing w:line="276" w:lineRule="auto" w:before="0" w:after="0"/>
            </w:pPr>
            <w:r/>
            <w:r>
              <w:rPr>
                <w:rFonts w:ascii="Figtree" w:hAnsi="Figtree"/>
                <w:b/>
                <w:i w:val="0"/>
                <w:sz w:val="20"/>
              </w:rPr>
              <w:t>48,000 - 78,000/year</w:t>
            </w:r>
          </w:p>
        </w:tc>
      </w:tr>
    </w:tbl>
    <w:p>
      <w:pPr>
        <w:spacing w:before="0" w:after="0" w:line="120" w:lineRule="exact"/>
      </w:pPr>
    </w:p>
    <w:p>
      <w:r>
        <w:rPr>
          <w:rFonts w:ascii="Figtree" w:hAnsi="Figtree"/>
          <w:b w:val="0"/>
          <w:i/>
          <w:sz w:val="22"/>
        </w:rPr>
        <w:t>CBA's existing AWS agreements may reduce these costs significantly.</w:t>
      </w:r>
    </w:p>
    <w:p>
      <w:pPr>
        <w:pStyle w:val="H3"/>
        <w:numPr>
          <w:ilvl w:val="2"/>
          <w:numId w:val="1"/>
        </w:numPr>
      </w:pPr>
      <w:r>
        <w:t>5.2 Third-Party Pass-Through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1"/>
        <w:gridCol w:w="570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Service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Arrangement</w:t>
            </w:r>
          </w:p>
        </w:tc>
      </w:tr>
      <w:tr>
        <w:trPr>
          <w:trHeight w:val="425" w:hRule="atLeast"/>
        </w:trPr>
        <w:tc>
          <w:tcPr>
            <w:tcW w:type="dxa" w:w="4873"/>
            <w:vAlign w:val="center"/>
          </w:tcPr>
          <w:p>
            <w:pPr>
              <w:spacing w:line="276" w:lineRule="auto" w:before="0" w:after="0"/>
            </w:pPr>
            <w:r/>
            <w:r>
              <w:rPr>
                <w:rFonts w:ascii="Figtree" w:hAnsi="Figtree"/>
                <w:b w:val="0"/>
                <w:i w:val="0"/>
                <w:sz w:val="20"/>
              </w:rPr>
              <w:t>Fireblocks</w:t>
            </w:r>
          </w:p>
        </w:tc>
        <w:tc>
          <w:tcPr>
            <w:tcW w:type="dxa" w:w="4873"/>
            <w:vAlign w:val="center"/>
          </w:tcPr>
          <w:p>
            <w:pPr>
              <w:spacing w:line="276" w:lineRule="auto" w:before="0" w:after="0"/>
            </w:pPr>
            <w:r/>
            <w:r>
              <w:rPr>
                <w:rFonts w:ascii="Figtree" w:hAnsi="Figtree"/>
                <w:b w:val="0"/>
                <w:i w:val="0"/>
                <w:sz w:val="20"/>
              </w:rPr>
              <w:t>CBA contracts directly; no SettleMint markup</w:t>
            </w:r>
          </w:p>
        </w:tc>
      </w:tr>
      <w:tr>
        <w:trPr>
          <w:trHeight w:val="425" w:hRule="atLeast"/>
        </w:trPr>
        <w:tc>
          <w:tcPr>
            <w:tcW w:type="dxa" w:w="4873"/>
            <w:vAlign w:val="center"/>
          </w:tcPr>
          <w:p>
            <w:pPr>
              <w:spacing w:line="276" w:lineRule="auto" w:before="0" w:after="0"/>
            </w:pPr>
            <w:r/>
            <w:r>
              <w:rPr>
                <w:rFonts w:ascii="Figtree" w:hAnsi="Figtree"/>
                <w:b w:val="0"/>
                <w:i w:val="0"/>
                <w:sz w:val="20"/>
              </w:rPr>
              <w:t>AUD stablecoin reserve management</w:t>
            </w:r>
          </w:p>
        </w:tc>
        <w:tc>
          <w:tcPr>
            <w:tcW w:type="dxa" w:w="4873"/>
            <w:vAlign w:val="center"/>
          </w:tcPr>
          <w:p>
            <w:pPr>
              <w:spacing w:line="276" w:lineRule="auto" w:before="0" w:after="0"/>
            </w:pPr>
            <w:r/>
            <w:r>
              <w:rPr>
                <w:rFonts w:ascii="Figtree" w:hAnsi="Figtree"/>
                <w:b w:val="0"/>
                <w:i w:val="0"/>
                <w:sz w:val="20"/>
              </w:rPr>
              <w:t>CBA's treasury function; outside SettleMint scope</w:t>
            </w:r>
          </w:p>
        </w:tc>
      </w:tr>
      <w:tr>
        <w:trPr>
          <w:trHeight w:val="425" w:hRule="atLeast"/>
        </w:trPr>
        <w:tc>
          <w:tcPr>
            <w:tcW w:type="dxa" w:w="4873"/>
            <w:vAlign w:val="center"/>
          </w:tcPr>
          <w:p>
            <w:pPr>
              <w:spacing w:line="276" w:lineRule="auto" w:before="0" w:after="0"/>
            </w:pPr>
            <w:r/>
            <w:r>
              <w:rPr>
                <w:rFonts w:ascii="Figtree" w:hAnsi="Figtree"/>
                <w:b w:val="0"/>
                <w:i w:val="0"/>
                <w:sz w:val="20"/>
              </w:rPr>
              <w:t>CHESS API access</w:t>
            </w:r>
          </w:p>
        </w:tc>
        <w:tc>
          <w:tcPr>
            <w:tcW w:type="dxa" w:w="4873"/>
            <w:vAlign w:val="center"/>
          </w:tcPr>
          <w:p>
            <w:pPr>
              <w:spacing w:line="276" w:lineRule="auto" w:before="0" w:after="0"/>
            </w:pPr>
            <w:r/>
            <w:r>
              <w:rPr>
                <w:rFonts w:ascii="Figtree" w:hAnsi="Figtree"/>
                <w:b w:val="0"/>
                <w:i w:val="0"/>
                <w:sz w:val="20"/>
              </w:rPr>
              <w:t>Through CBA's existing ASX depository participant membership</w:t>
            </w:r>
          </w:p>
        </w:tc>
      </w:tr>
    </w:tbl>
    <w:p>
      <w:pPr>
        <w:spacing w:before="0" w:after="0" w:line="120" w:lineRule="exact"/>
      </w:pPr>
    </w:p>
    <w:p>
      <w:r>
        <w:br w:type="page"/>
      </w:r>
    </w:p>
    <w:p>
      <w:pPr>
        <w:pStyle w:val="H2"/>
        <w:numPr>
          <w:ilvl w:val="1"/>
          <w:numId w:val="1"/>
        </w:numPr>
      </w:pPr>
      <w:r>
        <w:t>6. Support and Maintenance Fees</w:t>
      </w:r>
    </w:p>
    <w:p>
      <w:pPr>
        <w:pStyle w:val="H3"/>
        <w:numPr>
          <w:ilvl w:val="2"/>
          <w:numId w:val="1"/>
        </w:numPr>
      </w:pPr>
      <w:r>
        <w:t>6.1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18"/>
        <w:gridCol w:w="40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APRA incident notification</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i w:val="0"/>
          <w:sz w:val="22"/>
        </w:rPr>
        <w:t>Enterprise Support Fee:</w:t>
      </w:r>
      <w:r>
        <w:rPr>
          <w:rFonts w:ascii="Figtree" w:hAnsi="Figtree"/>
          <w:b w:val="0"/>
          <w:i w:val="0"/>
          <w:sz w:val="22"/>
        </w:rPr>
        <w:t xml:space="preserve"> [CLIENT-SPECIFIC — indicative range EUR 90,000-140,000/year based on programme scope and bond portfolio complexity]</w:t>
      </w:r>
    </w:p>
    <w:p>
      <w:r>
        <w:br w:type="page"/>
      </w:r>
    </w:p>
    <w:p>
      <w:pPr>
        <w:pStyle w:val="H2"/>
        <w:numPr>
          <w:ilvl w:val="1"/>
          <w:numId w:val="1"/>
        </w:numPr>
      </w:pPr>
      <w:r>
        <w:t>7. Total Cost of Ownership Analysis</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4"/>
        <w:gridCol w:w="1620"/>
        <w:gridCol w:w="1512"/>
        <w:gridCol w:w="1512"/>
        <w:gridCol w:w="248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(EUR)</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1,260,000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380,000-560,000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380,000-560,000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90,000-140,000</w:t>
            </w:r>
          </w:p>
        </w:tc>
        <w:tc>
          <w:tcPr>
            <w:tcW w:type="dxa" w:w="1949"/>
            <w:vAlign w:val="center"/>
          </w:tcPr>
          <w:p>
            <w:pPr>
              <w:spacing w:line="276" w:lineRule="auto" w:before="0" w:after="0"/>
            </w:pPr>
            <w:r/>
            <w:r>
              <w:rPr>
                <w:rFonts w:ascii="Figtree" w:hAnsi="Figtree"/>
                <w:b w:val="0"/>
                <w:i w:val="0"/>
                <w:sz w:val="20"/>
              </w:rPr>
              <w:t>90,000-140,000</w:t>
            </w:r>
          </w:p>
        </w:tc>
        <w:tc>
          <w:tcPr>
            <w:tcW w:type="dxa" w:w="1949"/>
            <w:vAlign w:val="center"/>
          </w:tcPr>
          <w:p>
            <w:pPr>
              <w:spacing w:line="276" w:lineRule="auto" w:before="0" w:after="0"/>
            </w:pPr>
            <w:r/>
            <w:r>
              <w:rPr>
                <w:rFonts w:ascii="Figtree" w:hAnsi="Figtree"/>
                <w:b w:val="0"/>
                <w:i w:val="0"/>
                <w:sz w:val="20"/>
              </w:rPr>
              <w:t>90,000-140,000</w:t>
            </w:r>
          </w:p>
        </w:tc>
        <w:tc>
          <w:tcPr>
            <w:tcW w:type="dxa" w:w="1949"/>
            <w:vAlign w:val="center"/>
          </w:tcPr>
          <w:p>
            <w:pPr>
              <w:spacing w:line="276" w:lineRule="auto" w:before="0" w:after="0"/>
            </w:pPr>
            <w:r/>
            <w:r>
              <w:rPr>
                <w:rFonts w:ascii="Figtree" w:hAnsi="Figtree"/>
                <w:b w:val="0"/>
                <w:i w:val="0"/>
                <w:sz w:val="20"/>
              </w:rPr>
              <w:t>270,000-420,000</w:t>
            </w:r>
          </w:p>
        </w:tc>
      </w:tr>
      <w:tr>
        <w:trPr>
          <w:trHeight w:val="425" w:hRule="atLeast"/>
        </w:trPr>
        <w:tc>
          <w:tcPr>
            <w:tcW w:type="dxa" w:w="1949"/>
            <w:vAlign w:val="center"/>
          </w:tcPr>
          <w:p>
            <w:pPr>
              <w:spacing w:line="276" w:lineRule="auto" w:before="0" w:after="0"/>
            </w:pPr>
            <w:r/>
            <w:r>
              <w:rPr>
                <w:rFonts w:ascii="Figtree" w:hAnsi="Figtree"/>
                <w:b w:val="0"/>
                <w:i w:val="0"/>
                <w:sz w:val="20"/>
              </w:rPr>
              <w:t>AWS Infrastructure</w:t>
            </w:r>
          </w:p>
        </w:tc>
        <w:tc>
          <w:tcPr>
            <w:tcW w:type="dxa" w:w="1949"/>
            <w:vAlign w:val="center"/>
          </w:tcPr>
          <w:p>
            <w:pPr>
              <w:spacing w:line="276" w:lineRule="auto" w:before="0" w:after="0"/>
            </w:pPr>
            <w:r/>
            <w:r>
              <w:rPr>
                <w:rFonts w:ascii="Figtree" w:hAnsi="Figtree"/>
                <w:b w:val="0"/>
                <w:i w:val="0"/>
                <w:sz w:val="20"/>
              </w:rPr>
              <w:t>~55,000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~65,000</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i w:val="0"/>
                <w:sz w:val="20"/>
              </w:rPr>
              <w:t>Total Range</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2,090,000-2,420,000</w:t>
            </w:r>
          </w:p>
        </w:tc>
      </w:tr>
    </w:tbl>
    <w:p>
      <w:pPr>
        <w:spacing w:before="0" w:after="0" w:line="120" w:lineRule="exact"/>
      </w:pPr>
    </w:p>
    <w:p>
      <w:pPr>
        <w:pStyle w:val="H3"/>
        <w:numPr>
          <w:ilvl w:val="2"/>
          <w:numId w:val="1"/>
        </w:numPr>
      </w:pPr>
      <w:r>
        <w:t>7.2 Commerzbank Reference: EUR 7 Million Annual Savings</w:t>
      </w:r>
    </w:p>
    <w:p>
      <w:r>
        <w:rPr>
          <w:rFonts w:ascii="Figtree" w:hAnsi="Figtree"/>
          <w:b w:val="0"/>
          <w:i w:val="0"/>
          <w:sz w:val="22"/>
        </w:rPr>
        <w:t>The Commerzbank deployment identified EUR 7 million in annual savings potential from: reduced counterparty risk, eliminated listing inefficiencies, and settlement under 10 seconds. Applied to CBA's AUD bond market at comparable scale, the operational savings potential is material.</w:t>
      </w:r>
    </w:p>
    <w:p>
      <w:r>
        <w:rPr>
          <w:rFonts w:ascii="Figtree" w:hAnsi="Figtree"/>
          <w:b w:val="0"/>
          <w:i w:val="0"/>
          <w:sz w:val="22"/>
        </w:rPr>
        <w:t>For CBA's bond programme specifically:</w:t>
      </w:r>
    </w:p>
    <w:p>
      <w:pPr>
        <w:pStyle w:val="ListParagraph"/>
        <w:numPr>
          <w:ilvl w:val="0"/>
          <w:numId w:val="4"/>
        </w:numPr>
      </w:pPr>
      <w:r>
        <w:rPr>
          <w:rFonts w:ascii="Figtree" w:hAnsi="Figtree"/>
          <w:b/>
          <w:i w:val="0"/>
          <w:sz w:val="22"/>
        </w:rPr>
        <w:t>Coupon distribution automation:</w:t>
      </w:r>
      <w:r>
        <w:rPr>
          <w:rFonts w:ascii="Figtree" w:hAnsi="Figtree"/>
          <w:b w:val="0"/>
          <w:i w:val="0"/>
          <w:sz w:val="22"/>
        </w:rPr>
        <w:t xml:space="preserve"> Eliminating manual coupon payment processing across all bond series</w:t>
      </w:r>
    </w:p>
    <w:p>
      <w:pPr>
        <w:pStyle w:val="ListParagraph"/>
        <w:numPr>
          <w:ilvl w:val="0"/>
          <w:numId w:val="4"/>
        </w:numPr>
      </w:pPr>
      <w:r>
        <w:rPr>
          <w:rFonts w:ascii="Figtree" w:hAnsi="Figtree"/>
          <w:b/>
          <w:i w:val="0"/>
          <w:sz w:val="22"/>
        </w:rPr>
        <w:t>Primary allocation audit trail:</w:t>
      </w:r>
      <w:r>
        <w:rPr>
          <w:rFonts w:ascii="Figtree" w:hAnsi="Figtree"/>
          <w:b w:val="0"/>
          <w:i w:val="0"/>
          <w:sz w:val="22"/>
        </w:rPr>
        <w:t xml:space="preserve"> Eliminating post-allocation reconciliation between bookbuild records and CHESS registry</w:t>
      </w:r>
    </w:p>
    <w:p>
      <w:pPr>
        <w:pStyle w:val="ListParagraph"/>
        <w:numPr>
          <w:ilvl w:val="0"/>
          <w:numId w:val="4"/>
        </w:numPr>
      </w:pPr>
      <w:r>
        <w:rPr>
          <w:rFonts w:ascii="Figtree" w:hAnsi="Figtree"/>
          <w:b/>
          <w:i w:val="0"/>
          <w:sz w:val="22"/>
        </w:rPr>
        <w:t>Counterparty risk reduction:</w:t>
      </w:r>
      <w:r>
        <w:rPr>
          <w:rFonts w:ascii="Figtree" w:hAnsi="Figtree"/>
          <w:b w:val="0"/>
          <w:i w:val="0"/>
          <w:sz w:val="22"/>
        </w:rPr>
        <w:t xml:space="preserve"> T+0 atomic DvP versus T+2 settlement exposure</w:t>
      </w:r>
    </w:p>
    <w:p>
      <w:pPr>
        <w:pStyle w:val="ListParagraph"/>
        <w:numPr>
          <w:ilvl w:val="0"/>
          <w:numId w:val="4"/>
        </w:numPr>
      </w:pPr>
      <w:r>
        <w:rPr>
          <w:rFonts w:ascii="Figtree" w:hAnsi="Figtree"/>
          <w:b/>
          <w:i w:val="0"/>
          <w:sz w:val="22"/>
        </w:rPr>
        <w:t>Secondary market transparency:</w:t>
      </w:r>
      <w:r>
        <w:rPr>
          <w:rFonts w:ascii="Figtree" w:hAnsi="Figtree"/>
          <w:b w:val="0"/>
          <w:i w:val="0"/>
          <w:sz w:val="22"/>
        </w:rPr>
        <w:t xml:space="preserve"> Real-time beneficial ownership visibility for compliance reporting</w:t>
      </w:r>
    </w:p>
    <w:p>
      <w:pPr>
        <w:pStyle w:val="H3"/>
        <w:numPr>
          <w:ilvl w:val="2"/>
          <w:numId w:val="1"/>
        </w:numPr>
      </w:pPr>
      <w:r>
        <w:t>7.3 Build vs. Buy</w:t>
      </w:r>
    </w:p>
    <w:p>
      <w:r>
        <w:rPr>
          <w:rFonts w:ascii="Figtree" w:hAnsi="Figtree"/>
          <w:b w:val="0"/>
          <w:i w:val="0"/>
          <w:sz w:val="22"/>
        </w:rPr>
        <w:t>Custom development of a comparable bond tokenization platform:</w:t>
      </w:r>
    </w:p>
    <w:p>
      <w:pPr>
        <w:pStyle w:val="ListParagraph"/>
        <w:numPr>
          <w:ilvl w:val="0"/>
          <w:numId w:val="4"/>
        </w:numPr>
      </w:pPr>
      <w:r>
        <w:rPr>
          <w:rFonts w:ascii="Figtree" w:hAnsi="Figtree"/>
          <w:b w:val="0"/>
          <w:i w:val="0"/>
          <w:sz w:val="22"/>
        </w:rPr>
        <w:t>Smart contracts and ASIC compliance engine: EUR 400,000-800,000</w:t>
      </w:r>
    </w:p>
    <w:p>
      <w:pPr>
        <w:pStyle w:val="ListParagraph"/>
        <w:numPr>
          <w:ilvl w:val="0"/>
          <w:numId w:val="4"/>
        </w:numPr>
      </w:pPr>
      <w:r>
        <w:rPr>
          <w:rFonts w:ascii="Figtree" w:hAnsi="Figtree"/>
          <w:b w:val="0"/>
          <w:i w:val="0"/>
          <w:sz w:val="22"/>
        </w:rPr>
        <w:t>Bond lifecycle automation (coupon, maturity, SLB): EUR 300,000-600,000</w:t>
      </w:r>
    </w:p>
    <w:p>
      <w:pPr>
        <w:pStyle w:val="ListParagraph"/>
        <w:numPr>
          <w:ilvl w:val="0"/>
          <w:numId w:val="4"/>
        </w:numPr>
      </w:pPr>
      <w:r>
        <w:rPr>
          <w:rFonts w:ascii="Figtree" w:hAnsi="Figtree"/>
          <w:b w:val="0"/>
          <w:i w:val="0"/>
          <w:sz w:val="22"/>
        </w:rPr>
        <w:t>Integration (CHESS, NPP, SWIFT, AUSTRAC): EUR 250,000-500,000</w:t>
      </w:r>
    </w:p>
    <w:p>
      <w:pPr>
        <w:pStyle w:val="ListParagraph"/>
        <w:numPr>
          <w:ilvl w:val="0"/>
          <w:numId w:val="4"/>
        </w:numPr>
      </w:pPr>
      <w:r>
        <w:rPr>
          <w:rFonts w:ascii="Figtree" w:hAnsi="Figtree"/>
          <w:b w:val="0"/>
          <w:i w:val="0"/>
          <w:sz w:val="22"/>
        </w:rPr>
        <w:t>Security and operational tooling: EUR 150,000-300,000</w:t>
      </w:r>
    </w:p>
    <w:p>
      <w:pPr>
        <w:pStyle w:val="ListParagraph"/>
        <w:numPr>
          <w:ilvl w:val="0"/>
          <w:numId w:val="4"/>
        </w:numPr>
      </w:pPr>
      <w:r>
        <w:rPr>
          <w:rFonts w:ascii="Figtree" w:hAnsi="Figtree"/>
          <w:b w:val="0"/>
          <w:i w:val="0"/>
          <w:sz w:val="22"/>
        </w:rPr>
        <w:t>Ongoing maintenance (3 years): EUR 500,000-1,000,000</w:t>
      </w:r>
    </w:p>
    <w:p>
      <w:pPr>
        <w:pStyle w:val="ListParagraph"/>
        <w:numPr>
          <w:ilvl w:val="0"/>
          <w:numId w:val="4"/>
        </w:numPr>
      </w:pPr>
      <w:r>
        <w:rPr>
          <w:rFonts w:ascii="Figtree" w:hAnsi="Figtree"/>
          <w:b/>
          <w:i w:val="0"/>
          <w:sz w:val="22"/>
        </w:rPr>
        <w:t>Total custom: EUR 1,600,000-3,200,000</w:t>
      </w:r>
    </w:p>
    <w:p>
      <w:r>
        <w:rPr>
          <w:rFonts w:ascii="Figtree" w:hAnsi="Figtree"/>
          <w:b w:val="0"/>
          <w:i w:val="0"/>
          <w:sz w:val="22"/>
        </w:rPr>
        <w:t>Custom development also carries: 18-24 month timeline (vs. 19 weeks); no pre-audited covered bond collateral ratio module; no APRA-validated deployment reference; no Project Atom-compatible settlement architecture.</w:t>
      </w:r>
    </w:p>
    <w:p>
      <w:r>
        <w:br w:type="page"/>
      </w:r>
    </w:p>
    <w:p>
      <w:pPr>
        <w:pStyle w:val="H2"/>
        <w:numPr>
          <w:ilvl w:val="1"/>
          <w:numId w:val="1"/>
        </w:numPr>
      </w:pPr>
      <w:r>
        <w:t>8. Payment Terms and Milestones</w:t>
      </w:r>
    </w:p>
    <w:p>
      <w:pPr>
        <w:pStyle w:val="H3"/>
        <w:numPr>
          <w:ilvl w:val="2"/>
          <w:numId w:val="1"/>
        </w:numPr>
      </w:pPr>
      <w:r>
        <w:t>8.1 Platform License</w:t>
      </w:r>
    </w:p>
    <w:p>
      <w:r>
        <w:rPr>
          <w:rFonts w:ascii="Figtree" w:hAnsi="Figtree"/>
          <w:b w:val="0"/>
          <w:i w:val="0"/>
          <w:sz w:val="22"/>
        </w:rPr>
        <w:t>Annual, upfront. First payment: within 30 days of contract execution.</w:t>
      </w:r>
    </w:p>
    <w:p>
      <w:pPr>
        <w:pStyle w:val="H3"/>
        <w:numPr>
          <w:ilvl w:val="2"/>
          <w:numId w:val="1"/>
        </w:numPr>
      </w:pPr>
      <w:r>
        <w:t>8.2 Implementation Milestones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86"/>
        <w:gridCol w:w="338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Percentage</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Phase 1 Complete</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Phase 2 Complete</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Phase 3 Complete</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Phase 4 Complete</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Phase 5+6 Complete</w:t>
            </w:r>
          </w:p>
        </w:tc>
        <w:tc>
          <w:tcPr>
            <w:tcW w:type="dxa" w:w="4873"/>
            <w:vAlign w:val="center"/>
          </w:tcPr>
          <w:p>
            <w:pPr>
              <w:spacing w:line="276" w:lineRule="auto" w:before="0" w:after="0"/>
            </w:pPr>
            <w:r/>
            <w:r>
              <w:rPr>
                <w:rFonts w:ascii="Figtree" w:hAnsi="Figtree"/>
                <w:b w:val="0"/>
                <w:i w:val="0"/>
                <w:sz w:val="20"/>
              </w:rPr>
              <w:t>10%</w:t>
            </w:r>
          </w:p>
        </w:tc>
      </w:tr>
    </w:tbl>
    <w:p>
      <w:pPr>
        <w:spacing w:before="0" w:after="0" w:line="120" w:lineRule="exact"/>
      </w:pPr>
    </w:p>
    <w:p>
      <w:pPr>
        <w:pStyle w:val="H3"/>
        <w:numPr>
          <w:ilvl w:val="2"/>
          <w:numId w:val="1"/>
        </w:numPr>
      </w:pPr>
      <w:r>
        <w:t>8.3 Currency</w:t>
      </w:r>
    </w:p>
    <w:p>
      <w:r>
        <w:rPr>
          <w:rFonts w:ascii="Figtree" w:hAnsi="Figtree"/>
          <w:b w:val="0"/>
          <w:i w:val="0"/>
          <w:sz w:val="22"/>
        </w:rPr>
        <w:t>EUR invoicing. AUD equivalent provided at contract execution rate for CBA budget planning.</w:t>
      </w:r>
    </w:p>
    <w:p>
      <w:r>
        <w:br w:type="page"/>
      </w:r>
    </w:p>
    <w:p>
      <w:pPr>
        <w:pStyle w:val="H2"/>
        <w:numPr>
          <w:ilvl w:val="1"/>
          <w:numId w:val="1"/>
        </w:numPr>
      </w:pPr>
      <w:r>
        <w:t>9.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3"/>
        <w:gridCol w:w="731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GST</w:t>
            </w:r>
          </w:p>
        </w:tc>
        <w:tc>
          <w:tcPr>
            <w:tcW w:type="dxa" w:w="4873"/>
            <w:vAlign w:val="center"/>
          </w:tcPr>
          <w:p>
            <w:pPr>
              <w:spacing w:line="276" w:lineRule="auto" w:before="0" w:after="0"/>
            </w:pPr>
            <w:r/>
            <w:r>
              <w:rPr>
                <w:rFonts w:ascii="Figtree" w:hAnsi="Figtree"/>
                <w:b w:val="0"/>
                <w:i w:val="0"/>
                <w:sz w:val="20"/>
              </w:rPr>
              <w:t>Australian GST (10%) applied to services delivered in Australia</w:t>
            </w:r>
          </w:p>
        </w:tc>
      </w:tr>
      <w:tr>
        <w:trPr>
          <w:trHeight w:val="425" w:hRule="atLeast"/>
        </w:trPr>
        <w:tc>
          <w:tcPr>
            <w:tcW w:type="dxa" w:w="4873"/>
            <w:vAlign w:val="center"/>
          </w:tcPr>
          <w:p>
            <w:pPr>
              <w:spacing w:line="276" w:lineRule="auto" w:before="0" w:after="0"/>
            </w:pPr>
            <w:r/>
            <w:r>
              <w:rPr>
                <w:rFonts w:ascii="Figtree" w:hAnsi="Figtree"/>
                <w:b w:val="0"/>
                <w:i w:val="0"/>
                <w:sz w:val="20"/>
              </w:rPr>
              <w:t>Price hold</w:t>
            </w:r>
          </w:p>
        </w:tc>
        <w:tc>
          <w:tcPr>
            <w:tcW w:type="dxa" w:w="4873"/>
            <w:vAlign w:val="center"/>
          </w:tcPr>
          <w:p>
            <w:pPr>
              <w:spacing w:line="276" w:lineRule="auto" w:before="0" w:after="0"/>
            </w:pPr>
            <w:r/>
            <w:r>
              <w:rPr>
                <w:rFonts w:ascii="Figtree" w:hAnsi="Figtree"/>
                <w:b w:val="0"/>
                <w:i w:val="0"/>
                <w:sz w:val="20"/>
              </w:rPr>
              <w:t>90 days from submission (until 19 June 2026)</w:t>
            </w:r>
          </w:p>
        </w:tc>
      </w:tr>
      <w:tr>
        <w:trPr>
          <w:trHeight w:val="425" w:hRule="atLeast"/>
        </w:trPr>
        <w:tc>
          <w:tcPr>
            <w:tcW w:type="dxa" w:w="4873"/>
            <w:vAlign w:val="center"/>
          </w:tcPr>
          <w:p>
            <w:pPr>
              <w:spacing w:line="276" w:lineRule="auto" w:before="0" w:after="0"/>
            </w:pPr>
            <w:r/>
            <w:r>
              <w:rPr>
                <w:rFonts w:ascii="Figtree" w:hAnsi="Figtree"/>
                <w:b w:val="0"/>
                <w:i w:val="0"/>
                <w:sz w:val="20"/>
              </w:rPr>
              <w:t>Annual increase cap</w:t>
            </w:r>
          </w:p>
        </w:tc>
        <w:tc>
          <w:tcPr>
            <w:tcW w:type="dxa" w:w="4873"/>
            <w:vAlign w:val="center"/>
          </w:tcPr>
          <w:p>
            <w:pPr>
              <w:spacing w:line="276" w:lineRule="auto" w:before="0" w:after="0"/>
            </w:pPr>
            <w:r/>
            <w:r>
              <w:rPr>
                <w:rFonts w:ascii="Figtree" w:hAnsi="Figtree"/>
                <w:b w:val="0"/>
                <w:i w:val="0"/>
                <w:sz w:val="20"/>
              </w:rPr>
              <w:t>Lower of 5% or EU HICP</w:t>
            </w:r>
          </w:p>
        </w:tc>
      </w:tr>
      <w:tr>
        <w:trPr>
          <w:trHeight w:val="425" w:hRule="atLeast"/>
        </w:trPr>
        <w:tc>
          <w:tcPr>
            <w:tcW w:type="dxa" w:w="4873"/>
            <w:vAlign w:val="center"/>
          </w:tcPr>
          <w:p>
            <w:pPr>
              <w:spacing w:line="276" w:lineRule="auto" w:before="0" w:after="0"/>
            </w:pPr>
            <w:r/>
            <w:r>
              <w:rPr>
                <w:rFonts w:ascii="Figtree" w:hAnsi="Figtree"/>
                <w:b w:val="0"/>
                <w:i w:val="0"/>
                <w:sz w:val="20"/>
              </w:rPr>
              <w:t>Minimum term</w:t>
            </w:r>
          </w:p>
        </w:tc>
        <w:tc>
          <w:tcPr>
            <w:tcW w:type="dxa" w:w="4873"/>
            <w:vAlign w:val="center"/>
          </w:tcPr>
          <w:p>
            <w:pPr>
              <w:spacing w:line="276" w:lineRule="auto" w:before="0" w:after="0"/>
            </w:pPr>
            <w:r/>
            <w:r>
              <w:rPr>
                <w:rFonts w:ascii="Figtree" w:hAnsi="Figtree"/>
                <w:b w:val="0"/>
                <w:i w:val="0"/>
                <w:sz w:val="20"/>
              </w:rPr>
              <w:t>3 years</w:t>
            </w:r>
          </w:p>
        </w:tc>
      </w:tr>
      <w:tr>
        <w:trPr>
          <w:trHeight w:val="425" w:hRule="atLeast"/>
        </w:trPr>
        <w:tc>
          <w:tcPr>
            <w:tcW w:type="dxa" w:w="4873"/>
            <w:vAlign w:val="center"/>
          </w:tcPr>
          <w:p>
            <w:pPr>
              <w:spacing w:line="276" w:lineRule="auto" w:before="0" w:after="0"/>
            </w:pPr>
            <w:r/>
            <w:r>
              <w:rPr>
                <w:rFonts w:ascii="Figtree" w:hAnsi="Figtree"/>
                <w:b w:val="0"/>
                <w:i w:val="0"/>
                <w:sz w:val="20"/>
              </w:rPr>
              <w:t>AUD stablecoin</w:t>
            </w:r>
          </w:p>
        </w:tc>
        <w:tc>
          <w:tcPr>
            <w:tcW w:type="dxa" w:w="4873"/>
            <w:vAlign w:val="center"/>
          </w:tcPr>
          <w:p>
            <w:pPr>
              <w:spacing w:line="276" w:lineRule="auto" w:before="0" w:after="0"/>
            </w:pPr>
            <w:r/>
            <w:r>
              <w:rPr>
                <w:rFonts w:ascii="Figtree" w:hAnsi="Figtree"/>
                <w:b w:val="0"/>
                <w:i w:val="0"/>
                <w:sz w:val="20"/>
              </w:rPr>
              <w:t>Implementation assumes CBA issues its own AUD stablecoin; NPP-coordinated settlement available if stablecoin issuance is deferred</w:t>
            </w:r>
          </w:p>
        </w:tc>
      </w:tr>
      <w:tr>
        <w:trPr>
          <w:trHeight w:val="425" w:hRule="atLeast"/>
        </w:trPr>
        <w:tc>
          <w:tcPr>
            <w:tcW w:type="dxa" w:w="4873"/>
            <w:vAlign w:val="center"/>
          </w:tcPr>
          <w:p>
            <w:pPr>
              <w:spacing w:line="276" w:lineRule="auto" w:before="0" w:after="0"/>
            </w:pPr>
            <w:r/>
            <w:r>
              <w:rPr>
                <w:rFonts w:ascii="Figtree" w:hAnsi="Figtree"/>
                <w:b w:val="0"/>
                <w:i w:val="0"/>
                <w:sz w:val="20"/>
              </w:rPr>
              <w:t>APRA model validation</w:t>
            </w:r>
          </w:p>
        </w:tc>
        <w:tc>
          <w:tcPr>
            <w:tcW w:type="dxa" w:w="4873"/>
            <w:vAlign w:val="center"/>
          </w:tcPr>
          <w:p>
            <w:pPr>
              <w:spacing w:line="276" w:lineRule="auto" w:before="0" w:after="0"/>
            </w:pPr>
            <w:r/>
            <w:r>
              <w:rPr>
                <w:rFonts w:ascii="Figtree" w:hAnsi="Figtree"/>
                <w:b w:val="0"/>
                <w:i w:val="0"/>
                <w:sz w:val="20"/>
              </w:rPr>
              <w:t>CBA's APRA regulatory engagement for model validation is outside SettleMint's scope; SettleMint provides technical platform documentation</w:t>
            </w:r>
          </w:p>
        </w:tc>
      </w:tr>
      <w:tr>
        <w:trPr>
          <w:trHeight w:val="425" w:hRule="atLeast"/>
        </w:trPr>
        <w:tc>
          <w:tcPr>
            <w:tcW w:type="dxa" w:w="4873"/>
            <w:vAlign w:val="center"/>
          </w:tcPr>
          <w:p>
            <w:pPr>
              <w:spacing w:line="276" w:lineRule="auto" w:before="0" w:after="0"/>
            </w:pPr>
            <w:r/>
            <w:r>
              <w:rPr>
                <w:rFonts w:ascii="Figtree" w:hAnsi="Figtree"/>
                <w:b w:val="0"/>
                <w:i w:val="0"/>
                <w:sz w:val="20"/>
              </w:rPr>
              <w:t>CHESS API</w:t>
            </w:r>
          </w:p>
        </w:tc>
        <w:tc>
          <w:tcPr>
            <w:tcW w:type="dxa" w:w="4873"/>
            <w:vAlign w:val="center"/>
          </w:tcPr>
          <w:p>
            <w:pPr>
              <w:spacing w:line="276" w:lineRule="auto" w:before="0" w:after="0"/>
            </w:pPr>
            <w:r/>
            <w:r>
              <w:rPr>
                <w:rFonts w:ascii="Figtree" w:hAnsi="Figtree"/>
                <w:b w:val="0"/>
                <w:i w:val="0"/>
                <w:sz w:val="20"/>
              </w:rPr>
              <w:t>CBA provides CHESS API access through ASX depository participant membership</w:t>
            </w:r>
          </w:p>
        </w:tc>
      </w:tr>
      <w:tr>
        <w:trPr>
          <w:trHeight w:val="425" w:hRule="atLeast"/>
        </w:trPr>
        <w:tc>
          <w:tcPr>
            <w:tcW w:type="dxa" w:w="4873"/>
            <w:vAlign w:val="center"/>
          </w:tcPr>
          <w:p>
            <w:pPr>
              <w:spacing w:line="276" w:lineRule="auto" w:before="0" w:after="0"/>
            </w:pPr>
            <w:r/>
            <w:r>
              <w:rPr>
                <w:rFonts w:ascii="Figtree" w:hAnsi="Figtree"/>
                <w:b w:val="0"/>
                <w:i w:val="0"/>
                <w:sz w:val="20"/>
              </w:rPr>
              <w:t>Project Atom</w:t>
            </w:r>
          </w:p>
        </w:tc>
        <w:tc>
          <w:tcPr>
            <w:tcW w:type="dxa" w:w="4873"/>
            <w:vAlign w:val="center"/>
          </w:tcPr>
          <w:p>
            <w:pPr>
              <w:spacing w:line="276" w:lineRule="auto" w:before="0" w:after="0"/>
            </w:pPr>
            <w:r/>
            <w:r>
              <w:rPr>
                <w:rFonts w:ascii="Figtree" w:hAnsi="Figtree"/>
                <w:b w:val="0"/>
                <w:i w:val="0"/>
                <w:sz w:val="20"/>
              </w:rPr>
              <w:t>No hard dependency; AUD stablecoin interim model operational from go-live</w:t>
            </w:r>
          </w:p>
        </w:tc>
      </w:tr>
      <w:tr>
        <w:trPr>
          <w:trHeight w:val="425" w:hRule="atLeast"/>
        </w:trPr>
        <w:tc>
          <w:tcPr>
            <w:tcW w:type="dxa" w:w="4873"/>
            <w:vAlign w:val="center"/>
          </w:tcPr>
          <w:p>
            <w:pPr>
              <w:spacing w:line="276" w:lineRule="auto" w:before="0" w:after="0"/>
            </w:pPr>
            <w:r/>
            <w:r>
              <w:rPr>
                <w:rFonts w:ascii="Figtree" w:hAnsi="Figtree"/>
                <w:b w:val="0"/>
                <w:i w:val="0"/>
                <w:sz w:val="20"/>
              </w:rPr>
              <w:t>Covered bond cover pool</w:t>
            </w:r>
          </w:p>
        </w:tc>
        <w:tc>
          <w:tcPr>
            <w:tcW w:type="dxa" w:w="4873"/>
            <w:vAlign w:val="center"/>
          </w:tcPr>
          <w:p>
            <w:pPr>
              <w:spacing w:line="276" w:lineRule="auto" w:before="0" w:after="0"/>
            </w:pPr>
            <w:r/>
            <w:r>
              <w:rPr>
                <w:rFonts w:ascii="Figtree" w:hAnsi="Figtree"/>
                <w:b w:val="0"/>
                <w:i w:val="0"/>
                <w:sz w:val="20"/>
              </w:rPr>
              <w:t>APS 180 cover pool eligibility determination is CBA's responsibility; DALP enforces collateral ratios based on CBA-provided attestation</w:t>
            </w:r>
          </w:p>
        </w:tc>
      </w:tr>
    </w:tbl>
    <w:p>
      <w:pPr>
        <w:spacing w:before="0" w:after="0" w:line="120" w:lineRule="exact"/>
      </w:pPr>
    </w:p>
    <w:p>
      <w:r>
        <w:br w:type="page"/>
      </w:r>
    </w:p>
    <w:p>
      <w:pPr>
        <w:pStyle w:val="H2"/>
        <w:numPr>
          <w:ilvl w:val="1"/>
          <w:numId w:val="1"/>
        </w:numPr>
      </w:pPr>
      <w:r>
        <w:t>10. Exit and Transition Terms</w:t>
      </w:r>
    </w:p>
    <w:p>
      <w:pPr>
        <w:pStyle w:val="H3"/>
        <w:numPr>
          <w:ilvl w:val="2"/>
          <w:numId w:val="1"/>
        </w:numPr>
      </w:pPr>
      <w:r>
        <w:t>10.1 Data Portability</w:t>
      </w:r>
    </w:p>
    <w:p>
      <w:r>
        <w:rPr>
          <w:rFonts w:ascii="Figtree" w:hAnsi="Figtree"/>
          <w:b w:val="0"/>
          <w:i w:val="0"/>
          <w:sz w:val="22"/>
        </w:rPr>
        <w:t>Full data portability:</w:t>
      </w:r>
    </w:p>
    <w:p>
      <w:pPr>
        <w:pStyle w:val="ListParagraph"/>
        <w:numPr>
          <w:ilvl w:val="0"/>
          <w:numId w:val="4"/>
        </w:numPr>
      </w:pPr>
      <w:r>
        <w:rPr>
          <w:rFonts w:ascii="Figtree" w:hAnsi="Figtree"/>
          <w:b w:val="0"/>
          <w:i w:val="0"/>
          <w:sz w:val="22"/>
        </w:rPr>
        <w:t>All bond event logs exportable via time-windowed API queries</w:t>
      </w:r>
    </w:p>
    <w:p>
      <w:pPr>
        <w:pStyle w:val="ListParagraph"/>
        <w:numPr>
          <w:ilvl w:val="0"/>
          <w:numId w:val="4"/>
        </w:numPr>
      </w:pPr>
      <w:r>
        <w:rPr>
          <w:rFonts w:ascii="Figtree" w:hAnsi="Figtree"/>
          <w:b w:val="0"/>
          <w:i w:val="0"/>
          <w:sz w:val="22"/>
        </w:rPr>
        <w:t>All ISIN-indexed transaction records exportable in standard JSON</w:t>
      </w:r>
    </w:p>
    <w:p>
      <w:pPr>
        <w:pStyle w:val="ListParagraph"/>
        <w:numPr>
          <w:ilvl w:val="0"/>
          <w:numId w:val="4"/>
        </w:numPr>
      </w:pPr>
      <w:r>
        <w:rPr>
          <w:rFonts w:ascii="Figtree" w:hAnsi="Figtree"/>
          <w:b w:val="0"/>
          <w:i w:val="0"/>
          <w:sz w:val="22"/>
        </w:rPr>
        <w:t>Bond token contracts remain on-chain, independent of SettleMint contract status</w:t>
      </w:r>
    </w:p>
    <w:p>
      <w:pPr>
        <w:pStyle w:val="ListParagraph"/>
        <w:numPr>
          <w:ilvl w:val="0"/>
          <w:numId w:val="4"/>
        </w:numPr>
      </w:pPr>
      <w:r>
        <w:rPr>
          <w:rFonts w:ascii="Figtree" w:hAnsi="Figtree"/>
          <w:b w:val="0"/>
          <w:i w:val="0"/>
          <w:sz w:val="22"/>
        </w:rPr>
        <w:t>CHESS coordination records maintained in both DALP event log and CHESS registry</w:t>
      </w:r>
    </w:p>
    <w:p>
      <w:pPr>
        <w:pStyle w:val="H3"/>
        <w:numPr>
          <w:ilvl w:val="2"/>
          <w:numId w:val="1"/>
        </w:numPr>
      </w:pPr>
      <w:r>
        <w:t>10.2 Transition Assistance</w:t>
      </w:r>
    </w:p>
    <w:p>
      <w:r>
        <w:rPr>
          <w:rFonts w:ascii="Figtree" w:hAnsi="Figtree"/>
          <w:b w:val="0"/>
          <w:i w:val="0"/>
          <w:sz w:val="22"/>
        </w:rPr>
        <w:t>90-day transition support with data export, configuration documentation, and knowledge transfer on contract termination.</w:t>
      </w:r>
    </w:p>
    <w:p>
      <w:pPr>
        <w:pStyle w:val="H3"/>
        <w:numPr>
          <w:ilvl w:val="2"/>
          <w:numId w:val="1"/>
        </w:numPr>
      </w:pPr>
      <w:r>
        <w:t>10.3 APRA Exit Requirements</w:t>
      </w:r>
    </w:p>
    <w:p>
      <w:r>
        <w:rPr>
          <w:rFonts w:ascii="Figtree" w:hAnsi="Figtree"/>
          <w:b w:val="0"/>
          <w:i w:val="0"/>
          <w:sz w:val="22"/>
        </w:rPr>
        <w:t>Transition plan consistent with APRA's outsourcing exit provisions: 12-month notice for material service changes; operational continuity provisions; documentation for APRA outsourcing review.</w:t>
      </w:r>
    </w:p>
    <w:p>
      <w:r>
        <w:br w:type="page"/>
      </w:r>
    </w:p>
    <w:p>
      <w:pPr>
        <w:pStyle w:val="H2"/>
        <w:numPr>
          <w:ilvl w:val="1"/>
          <w:numId w:val="1"/>
        </w:numPr>
      </w:pPr>
      <w:r>
        <w:t>11. Value Justification</w:t>
      </w:r>
    </w:p>
    <w:p>
      <w:pPr>
        <w:pStyle w:val="H3"/>
        <w:numPr>
          <w:ilvl w:val="2"/>
          <w:numId w:val="1"/>
        </w:numPr>
      </w:pPr>
      <w:r>
        <w:t>11.1 Commerzbank Benchmark Applied to Australia</w:t>
      </w:r>
    </w:p>
    <w:p>
      <w:r>
        <w:rPr>
          <w:rFonts w:ascii="Figtree" w:hAnsi="Figtree"/>
          <w:b w:val="0"/>
          <w:i w:val="0"/>
          <w:sz w:val="22"/>
        </w:rPr>
        <w:t>Commerzbank's EUR 7 million annual savings from digital ETP issuance provides a conservative benchmark for CBA's bond programme. Australia's bond market is larger than Germany's ETP market in comparable terms. The savings mechanisms — reduced counterparty risk, eliminated listing inefficiencies, automated coupon distribution — scale with bond market volume.</w:t>
      </w:r>
    </w:p>
    <w:p>
      <w:r>
        <w:rPr>
          <w:rFonts w:ascii="Figtree" w:hAnsi="Figtree"/>
          <w:b w:val="0"/>
          <w:i w:val="0"/>
          <w:sz w:val="22"/>
        </w:rPr>
        <w:t>For CBA's bond programme, which spans AUD billions in annual issuance across multiple bond types, the three-year cost of DALP (EUR 1.26 million in platform licenses plus implementation and support) is a small fraction of the potential savings from operational automation and settlement efficiency.</w:t>
      </w:r>
    </w:p>
    <w:p>
      <w:pPr>
        <w:pStyle w:val="H3"/>
        <w:numPr>
          <w:ilvl w:val="2"/>
          <w:numId w:val="1"/>
        </w:numPr>
      </w:pPr>
      <w:r>
        <w:t>11.2 Project Atom Positioning: First-Mover Advantage</w:t>
      </w:r>
    </w:p>
    <w:p>
      <w:r>
        <w:rPr>
          <w:rFonts w:ascii="Figtree" w:hAnsi="Figtree"/>
          <w:b w:val="0"/>
          <w:i w:val="0"/>
          <w:sz w:val="22"/>
        </w:rPr>
        <w:t>The RBA's Project Atom positions Australia as a leader in wholesale CBDC for tokenized asset settlement. CBA's tokenized bond programme, built on DALP's Project Atom-compatible architecture, positions CBA as the first major Australian bank with production-ready digital bond infrastructure when Project Atom transitions from pilot to production.</w:t>
      </w:r>
    </w:p>
    <w:p>
      <w:r>
        <w:rPr>
          <w:rFonts w:ascii="Figtree" w:hAnsi="Figtree"/>
          <w:b w:val="0"/>
          <w:i w:val="0"/>
          <w:sz w:val="22"/>
        </w:rPr>
        <w:t>This first-mover advantage — being the infrastructure-ready institution when Project Atom production capability becomes available — is a strategic commercial value that does not appear in the cost model but is real.</w:t>
      </w:r>
    </w:p>
    <w:p>
      <w:pPr>
        <w:pStyle w:val="H3"/>
        <w:numPr>
          <w:ilvl w:val="2"/>
          <w:numId w:val="1"/>
        </w:numPr>
      </w:pPr>
      <w:r>
        <w:t>11.3 No Transaction Fees as Volume Scales</w:t>
      </w:r>
    </w:p>
    <w:p>
      <w:r>
        <w:rPr>
          <w:rFonts w:ascii="Figtree" w:hAnsi="Figtree"/>
          <w:b w:val="0"/>
          <w:i w:val="0"/>
          <w:sz w:val="22"/>
        </w:rPr>
        <w:t>CBA's bond issuance volumes will grow as the programme matures and additional bond types are added. With DALP's environment-based licensing, volume growth costs CBA nothing in additional platform fees. The commercial model is designed to scale with CBA's programme without creating a commercial incentive for SettleMint to limit programme growth.</w:t>
      </w:r>
    </w:p>
    <w:p>
      <w:r>
        <w:br w:type="page"/>
      </w:r>
    </w:p>
    <w:p>
      <w:r>
        <w:rPr>
          <w:rFonts w:ascii="Figtree" w:hAnsi="Figtree"/>
          <w:b w:val="0"/>
          <w:i/>
          <w:sz w:val="22"/>
        </w:rPr>
        <w:t>End of Commercial Proposal: Commonwealth Bank of Australia — Tokenized Bond Issuance Platform</w:t>
      </w:r>
    </w:p>
    <w:p>
      <w:r>
        <w:rPr>
          <w:rFonts w:ascii="Figtree" w:hAnsi="Figtree"/>
          <w:b w:val="0"/>
          <w:i/>
          <w:sz w:val="22"/>
        </w:rPr>
        <w:t>Document version: 1.0 Draft | Prepared: 20 March 2026 | SettleMint Confidential</w:t>
      </w:r>
    </w:p>
    <w:p>
      <w:r>
        <w:rPr>
          <w:rFonts w:ascii="Figtree" w:hAnsi="Figtree"/>
          <w:b w:val="0"/>
          <w:i/>
          <w:sz w:val="22"/>
        </w:rPr>
        <w:t>All prices exclude applicable taxes and VAT including Australian GST.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