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Commercial Proposal</w:t>
          </w:r>
          <w:r>
            <w:tab/>
          </w:r>
          <w:r>
            <w:t xml:space="preserve">3</w:t>
          </w:r>
        </w:p>
        <w:p>
          <w:pPr>
            <w:pStyle w:val="TOC2"/>
            <w:tabs>
              <w:tab w:val="right" w:leader="dot" w:pos="9072"/>
            </w:tabs>
          </w:pPr>
          <w:r>
            <w:t xml:space="preserve">Table of Contents</w:t>
          </w:r>
          <w:r>
            <w:tab/>
          </w:r>
          <w:r>
            <w:t xml:space="preserve">4</w:t>
          </w:r>
        </w:p>
        <w:p>
          <w:pPr>
            <w:pStyle w:val="TOC2"/>
            <w:tabs>
              <w:tab w:val="right" w:leader="dot" w:pos="9072"/>
            </w:tabs>
          </w:pPr>
          <w:r>
            <w:t xml:space="preserve">Commercial Summary</w:t>
          </w:r>
          <w:r>
            <w:tab/>
          </w:r>
          <w:r>
            <w:t xml:space="preserve">5</w:t>
          </w:r>
        </w:p>
        <w:p>
          <w:pPr>
            <w:pStyle w:val="TOC3"/>
            <w:tabs>
              <w:tab w:val="right" w:leader="dot" w:pos="9072"/>
            </w:tabs>
          </w:pPr>
          <w:r>
            <w:t xml:space="preserve">Commercial Architecture Diagram</w:t>
          </w:r>
          <w:r>
            <w:tab/>
          </w:r>
          <w:r>
            <w:t xml:space="preserve">6</w:t>
          </w:r>
        </w:p>
        <w:p>
          <w:pPr>
            <w:pStyle w:val="TOC3"/>
            <w:tabs>
              <w:tab w:val="right" w:leader="dot" w:pos="9072"/>
            </w:tabs>
          </w:pPr>
          <w:r>
            <w:t xml:space="preserve">Document Map</w:t>
          </w:r>
          <w:r>
            <w:tab/>
          </w:r>
          <w:r>
            <w:t xml:space="preserve">7</w:t>
          </w:r>
        </w:p>
        <w:p>
          <w:pPr>
            <w:pStyle w:val="TOC2"/>
            <w:tabs>
              <w:tab w:val="right" w:leader="dot" w:pos="9072"/>
            </w:tabs>
          </w:pPr>
          <w:r>
            <w:t xml:space="preserve">Pricing Structure</w:t>
          </w:r>
          <w:r>
            <w:tab/>
          </w:r>
          <w:r>
            <w:t xml:space="preserve">8</w:t>
          </w:r>
        </w:p>
        <w:p>
          <w:pPr>
            <w:pStyle w:val="TOC3"/>
            <w:tabs>
              <w:tab w:val="right" w:leader="dot" w:pos="9072"/>
            </w:tabs>
          </w:pPr>
          <w:r>
            <w:t xml:space="preserve">Platform License Fees</w:t>
          </w:r>
          <w:r>
            <w:tab/>
          </w:r>
          <w:r>
            <w:t xml:space="preserve">9</w:t>
          </w:r>
        </w:p>
        <w:p>
          <w:pPr>
            <w:pStyle w:val="TOC3"/>
            <w:tabs>
              <w:tab w:val="right" w:leader="dot" w:pos="9072"/>
            </w:tabs>
          </w:pPr>
          <w:r>
            <w:t xml:space="preserve">Recommended Environment Configuration</w:t>
          </w:r>
          <w:r>
            <w:tab/>
          </w:r>
          <w:r>
            <w:t xml:space="preserve">10</w:t>
          </w:r>
        </w:p>
        <w:p>
          <w:pPr>
            <w:pStyle w:val="TOC3"/>
            <w:tabs>
              <w:tab w:val="right" w:leader="dot" w:pos="9072"/>
            </w:tabs>
          </w:pPr>
          <w:r>
            <w:t xml:space="preserve">License Fee Summary</w:t>
          </w:r>
          <w:r>
            <w:tab/>
          </w:r>
          <w:r>
            <w:t xml:space="preserve">11</w:t>
          </w:r>
        </w:p>
        <w:p>
          <w:pPr>
            <w:pStyle w:val="TOC2"/>
            <w:tabs>
              <w:tab w:val="right" w:leader="dot" w:pos="9072"/>
            </w:tabs>
          </w:pPr>
          <w:r>
            <w:t xml:space="preserve">Licensing Model</w:t>
          </w:r>
          <w:r>
            <w:tab/>
          </w:r>
          <w:r>
            <w:t xml:space="preserve">12</w:t>
          </w:r>
        </w:p>
        <w:p>
          <w:pPr>
            <w:pStyle w:val="TOC3"/>
            <w:tabs>
              <w:tab w:val="right" w:leader="dot" w:pos="9072"/>
            </w:tabs>
          </w:pPr>
          <w:r>
            <w:t xml:space="preserve">What the License Includes</w:t>
          </w:r>
          <w:r>
            <w:tab/>
          </w:r>
          <w:r>
            <w:t xml:space="preserve">13</w:t>
          </w:r>
        </w:p>
        <w:p>
          <w:pPr>
            <w:pStyle w:val="TOC3"/>
            <w:tabs>
              <w:tab w:val="right" w:leader="dot" w:pos="9072"/>
            </w:tabs>
          </w:pPr>
          <w:r>
            <w:t xml:space="preserve">What the License Does Not Include</w:t>
          </w:r>
          <w:r>
            <w:tab/>
          </w:r>
          <w:r>
            <w:t xml:space="preserve">14</w:t>
          </w:r>
        </w:p>
        <w:p>
          <w:pPr>
            <w:pStyle w:val="TOC3"/>
            <w:tabs>
              <w:tab w:val="right" w:leader="dot" w:pos="9072"/>
            </w:tabs>
          </w:pPr>
          <w:r>
            <w:t xml:space="preserve">License Terms</w:t>
          </w:r>
          <w:r>
            <w:tab/>
          </w:r>
          <w:r>
            <w:t xml:space="preserve">15</w:t>
          </w:r>
        </w:p>
        <w:p>
          <w:pPr>
            <w:pStyle w:val="TOC2"/>
            <w:tabs>
              <w:tab w:val="right" w:leader="dot" w:pos="9072"/>
            </w:tabs>
          </w:pPr>
          <w:r>
            <w:t xml:space="preserve">Implementation Investment</w:t>
          </w:r>
          <w:r>
            <w:tab/>
          </w:r>
          <w:r>
            <w:t xml:space="preserve">16</w:t>
          </w:r>
        </w:p>
        <w:p>
          <w:pPr>
            <w:pStyle w:val="TOC3"/>
            <w:tabs>
              <w:tab w:val="right" w:leader="dot" w:pos="9072"/>
            </w:tabs>
          </w:pPr>
          <w:r>
            <w:t xml:space="preserve">Implementation Scope</w:t>
          </w:r>
          <w:r>
            <w:tab/>
          </w:r>
          <w:r>
            <w:t xml:space="preserve">17</w:t>
          </w:r>
        </w:p>
        <w:p>
          <w:pPr>
            <w:pStyle w:val="TOC3"/>
            <w:tabs>
              <w:tab w:val="right" w:leader="dot" w:pos="9072"/>
            </w:tabs>
          </w:pPr>
          <w:r>
            <w:t xml:space="preserve">Implementation Pricing</w:t>
          </w:r>
          <w:r>
            <w:tab/>
          </w:r>
          <w:r>
            <w:t xml:space="preserve">18</w:t>
          </w:r>
        </w:p>
        <w:p>
          <w:pPr>
            <w:pStyle w:val="TOC3"/>
            <w:tabs>
              <w:tab w:val="right" w:leader="dot" w:pos="9072"/>
            </w:tabs>
          </w:pPr>
          <w:r>
            <w:t xml:space="preserve">Fixed-Price vs. Time-and-Materials</w:t>
          </w:r>
          <w:r>
            <w:tab/>
          </w:r>
          <w:r>
            <w:t xml:space="preserve">19</w:t>
          </w:r>
        </w:p>
        <w:p>
          <w:pPr>
            <w:pStyle w:val="TOC2"/>
            <w:tabs>
              <w:tab w:val="right" w:leader="dot" w:pos="9072"/>
            </w:tabs>
          </w:pPr>
          <w:r>
            <w:t xml:space="preserve">Support and Maintenance</w:t>
          </w:r>
          <w:r>
            <w:tab/>
          </w:r>
          <w:r>
            <w:t xml:space="preserve">20</w:t>
          </w:r>
        </w:p>
        <w:p>
          <w:pPr>
            <w:pStyle w:val="TOC3"/>
            <w:tabs>
              <w:tab w:val="right" w:leader="dot" w:pos="9072"/>
            </w:tabs>
          </w:pPr>
          <w:r>
            <w:t xml:space="preserve">Recommended Support Tier: Enterprise</w:t>
          </w:r>
          <w:r>
            <w:tab/>
          </w:r>
          <w:r>
            <w:t xml:space="preserve">21</w:t>
          </w:r>
        </w:p>
        <w:p>
          <w:pPr>
            <w:pStyle w:val="TOC3"/>
            <w:tabs>
              <w:tab w:val="right" w:leader="dot" w:pos="9072"/>
            </w:tabs>
          </w:pPr>
          <w:r>
            <w:t xml:space="preserve">Support Costs</w:t>
          </w:r>
          <w:r>
            <w:tab/>
          </w:r>
          <w:r>
            <w:t xml:space="preserve">22</w:t>
          </w:r>
        </w:p>
        <w:p>
          <w:pPr>
            <w:pStyle w:val="TOC2"/>
            <w:tabs>
              <w:tab w:val="right" w:leader="dot" w:pos="9072"/>
            </w:tabs>
          </w:pPr>
          <w:r>
            <w:t xml:space="preserve">Total Cost of Ownership</w:t>
          </w:r>
          <w:r>
            <w:tab/>
          </w:r>
          <w:r>
            <w:t xml:space="preserve">23</w:t>
          </w:r>
        </w:p>
        <w:p>
          <w:pPr>
            <w:pStyle w:val="TOC3"/>
            <w:tabs>
              <w:tab w:val="right" w:leader="dot" w:pos="9072"/>
            </w:tabs>
          </w:pPr>
          <w:r>
            <w:t xml:space="preserve">Three-Year TCO Model</w:t>
          </w:r>
          <w:r>
            <w:tab/>
          </w:r>
          <w:r>
            <w:t xml:space="preserve">24</w:t>
          </w:r>
        </w:p>
        <w:p>
          <w:pPr>
            <w:pStyle w:val="TOC3"/>
            <w:tabs>
              <w:tab w:val="right" w:leader="dot" w:pos="9072"/>
            </w:tabs>
          </w:pPr>
          <w:r>
            <w:t xml:space="preserve">Build vs. Buy Analysis</w:t>
          </w:r>
          <w:r>
            <w:tab/>
          </w:r>
          <w:r>
            <w:t xml:space="preserve">25</w:t>
          </w:r>
        </w:p>
        <w:p>
          <w:pPr>
            <w:pStyle w:val="TOC3"/>
            <w:tabs>
              <w:tab w:val="right" w:leader="dot" w:pos="9072"/>
            </w:tabs>
          </w:pPr>
          <w:r>
            <w:t xml:space="preserve">Infrastructure Cost Guidance</w:t>
          </w:r>
          <w:r>
            <w:tab/>
          </w:r>
          <w:r>
            <w:t xml:space="preserve">26</w:t>
          </w:r>
        </w:p>
        <w:p>
          <w:pPr>
            <w:pStyle w:val="TOC2"/>
            <w:tabs>
              <w:tab w:val="right" w:leader="dot" w:pos="9072"/>
            </w:tabs>
          </w:pPr>
          <w:r>
            <w:t xml:space="preserve">Payment Terms and Conditions</w:t>
          </w:r>
          <w:r>
            <w:tab/>
          </w:r>
          <w:r>
            <w:t xml:space="preserve">27</w:t>
          </w:r>
        </w:p>
        <w:p>
          <w:pPr>
            <w:pStyle w:val="TOC3"/>
            <w:tabs>
              <w:tab w:val="right" w:leader="dot" w:pos="9072"/>
            </w:tabs>
          </w:pPr>
          <w:r>
            <w:t xml:space="preserve">Platform License Payment</w:t>
          </w:r>
          <w:r>
            <w:tab/>
          </w:r>
          <w:r>
            <w:t xml:space="preserve">28</w:t>
          </w:r>
        </w:p>
        <w:p>
          <w:pPr>
            <w:pStyle w:val="TOC3"/>
            <w:tabs>
              <w:tab w:val="right" w:leader="dot" w:pos="9072"/>
            </w:tabs>
          </w:pPr>
          <w:r>
            <w:t xml:space="preserve">Implementation Services Payment</w:t>
          </w:r>
          <w:r>
            <w:tab/>
          </w:r>
          <w:r>
            <w:t xml:space="preserve">29</w:t>
          </w:r>
        </w:p>
        <w:p>
          <w:pPr>
            <w:pStyle w:val="TOC3"/>
            <w:tabs>
              <w:tab w:val="right" w:leader="dot" w:pos="9072"/>
            </w:tabs>
          </w:pPr>
          <w:r>
            <w:t xml:space="preserve">Support and Maintenance Payment</w:t>
          </w:r>
          <w:r>
            <w:tab/>
          </w:r>
          <w:r>
            <w:t xml:space="preserve">30</w:t>
          </w:r>
        </w:p>
        <w:p>
          <w:pPr>
            <w:pStyle w:val="TOC3"/>
            <w:tabs>
              <w:tab w:val="right" w:leader="dot" w:pos="9072"/>
            </w:tabs>
          </w:pPr>
          <w:r>
            <w:t xml:space="preserve">Currency</w:t>
          </w:r>
          <w:r>
            <w:tab/>
          </w:r>
          <w:r>
            <w:t xml:space="preserve">31</w:t>
          </w:r>
        </w:p>
        <w:p>
          <w:pPr>
            <w:pStyle w:val="TOC2"/>
            <w:tabs>
              <w:tab w:val="right" w:leader="dot" w:pos="9072"/>
            </w:tabs>
          </w:pPr>
          <w:r>
            <w:t xml:space="preserve">Value Analysis and ROI</w:t>
          </w:r>
          <w:r>
            <w:tab/>
          </w:r>
          <w:r>
            <w:t xml:space="preserve">32</w:t>
          </w:r>
        </w:p>
        <w:p>
          <w:pPr>
            <w:pStyle w:val="TOC3"/>
            <w:tabs>
              <w:tab w:val="right" w:leader="dot" w:pos="9072"/>
            </w:tabs>
          </w:pPr>
          <w:r>
            <w:t xml:space="preserve">Business Value Framework</w:t>
          </w:r>
          <w:r>
            <w:tab/>
          </w:r>
          <w:r>
            <w:t xml:space="preserve">33</w:t>
          </w:r>
        </w:p>
        <w:p>
          <w:pPr>
            <w:pStyle w:val="TOC3"/>
            <w:tabs>
              <w:tab w:val="right" w:leader="dot" w:pos="9072"/>
            </w:tabs>
          </w:pPr>
          <w:r>
            <w:t xml:space="preserve">ROI Indicators</w:t>
          </w:r>
          <w:r>
            <w:tab/>
          </w:r>
          <w:r>
            <w:t xml:space="preserve">34</w:t>
          </w:r>
        </w:p>
        <w:p>
          <w:pPr>
            <w:pStyle w:val="TOC3"/>
            <w:tabs>
              <w:tab w:val="right" w:leader="dot" w:pos="9072"/>
            </w:tabs>
          </w:pPr>
          <w:r>
            <w:t xml:space="preserve">Reference for ROI Validation</w:t>
          </w:r>
          <w:r>
            <w:tab/>
          </w:r>
          <w:r>
            <w:t xml:space="preserve">35</w:t>
          </w:r>
        </w:p>
        <w:p>
          <w:pPr>
            <w:pStyle w:val="TOC2"/>
            <w:tabs>
              <w:tab w:val="right" w:leader="dot" w:pos="9072"/>
            </w:tabs>
          </w:pPr>
          <w:r>
            <w:t xml:space="preserve">Contract Framework</w:t>
          </w:r>
          <w:r>
            <w:tab/>
          </w:r>
          <w:r>
            <w:t xml:space="preserve">36</w:t>
          </w:r>
        </w:p>
        <w:p>
          <w:pPr>
            <w:pStyle w:val="TOC3"/>
            <w:tabs>
              <w:tab w:val="right" w:leader="dot" w:pos="9072"/>
            </w:tabs>
          </w:pPr>
          <w:r>
            <w:t xml:space="preserve">Contract Structure</w:t>
          </w:r>
          <w:r>
            <w:tab/>
          </w:r>
          <w:r>
            <w:t xml:space="preserve">37</w:t>
          </w:r>
        </w:p>
        <w:p>
          <w:pPr>
            <w:pStyle w:val="TOC3"/>
            <w:tabs>
              <w:tab w:val="right" w:leader="dot" w:pos="9072"/>
            </w:tabs>
          </w:pPr>
          <w:r>
            <w:t xml:space="preserve">Warranty Terms</w:t>
          </w:r>
          <w:r>
            <w:tab/>
          </w:r>
          <w:r>
            <w:t xml:space="preserve">38</w:t>
          </w:r>
        </w:p>
        <w:p>
          <w:pPr>
            <w:pStyle w:val="TOC3"/>
            <w:tabs>
              <w:tab w:val="right" w:leader="dot" w:pos="9072"/>
            </w:tabs>
          </w:pPr>
          <w:r>
            <w:t xml:space="preserve">IP Ownership</w:t>
          </w:r>
          <w:r>
            <w:tab/>
          </w:r>
          <w:r>
            <w:t xml:space="preserve">39</w:t>
          </w:r>
        </w:p>
        <w:p>
          <w:pPr>
            <w:pStyle w:val="TOC3"/>
            <w:tabs>
              <w:tab w:val="right" w:leader="dot" w:pos="9072"/>
            </w:tabs>
          </w:pPr>
          <w:r>
            <w:t xml:space="preserve">Liability and Indemnification</w:t>
          </w:r>
          <w:r>
            <w:tab/>
          </w:r>
          <w:r>
            <w:t xml:space="preserve">40</w:t>
          </w:r>
        </w:p>
        <w:p>
          <w:pPr>
            <w:pStyle w:val="TOC2"/>
            <w:tabs>
              <w:tab w:val="right" w:leader="dot" w:pos="9072"/>
            </w:tabs>
          </w:pPr>
          <w:r>
            <w:t xml:space="preserve">Commercial Assumptions and Exclusions</w:t>
          </w:r>
          <w:r>
            <w:tab/>
          </w:r>
          <w:r>
            <w:t xml:space="preserve">41</w:t>
          </w:r>
        </w:p>
        <w:p>
          <w:pPr>
            <w:pStyle w:val="TOC3"/>
            <w:tabs>
              <w:tab w:val="right" w:leader="dot" w:pos="9072"/>
            </w:tabs>
          </w:pPr>
          <w:r>
            <w:t xml:space="preserve">Assumptions</w:t>
          </w:r>
          <w:r>
            <w:tab/>
          </w:r>
          <w:r>
            <w:t xml:space="preserve">42</w:t>
          </w:r>
        </w:p>
        <w:p>
          <w:pPr>
            <w:pStyle w:val="TOC3"/>
            <w:tabs>
              <w:tab w:val="right" w:leader="dot" w:pos="9072"/>
            </w:tabs>
          </w:pPr>
          <w:r>
            <w:t xml:space="preserve">Exclusions</w:t>
          </w:r>
          <w:r>
            <w:tab/>
          </w:r>
          <w:r>
            <w:t xml:space="preserve">43</w:t>
          </w:r>
        </w:p>
        <w:p>
          <w:pPr>
            <w:pStyle w:val="TOC3"/>
            <w:tabs>
              <w:tab w:val="right" w:leader="dot" w:pos="9072"/>
            </w:tabs>
          </w:pPr>
          <w:r>
            <w:t xml:space="preserve">Change Management</w:t>
          </w:r>
          <w:r>
            <w:tab/>
          </w:r>
          <w:r>
            <w:t xml:space="preserve">44</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document-type: Commercial Proposal</w:t>
      </w:r>
    </w:p>
    <w:p>
      <w:r>
        <w:rPr>
          <w:rFonts w:ascii="Figtree" w:hAnsi="Figtree"/>
          <w:b w:val="0"/>
          <w:i w:val="0"/>
          <w:sz w:val="22"/>
        </w:rPr>
        <w:t>institution: HDFC Bank</w:t>
      </w:r>
    </w:p>
    <w:p>
      <w:r>
        <w:rPr>
          <w:rFonts w:ascii="Figtree" w:hAnsi="Figtree"/>
          <w:b w:val="0"/>
          <w:i w:val="0"/>
          <w:sz w:val="22"/>
        </w:rPr>
        <w:t>subject: Tokenized Fixed Income Platform</w:t>
      </w:r>
    </w:p>
    <w:p>
      <w:r>
        <w:rPr>
          <w:rFonts w:ascii="Figtree" w:hAnsi="Figtree"/>
          <w:b w:val="0"/>
          <w:i w:val="0"/>
          <w:sz w:val="22"/>
        </w:rPr>
        <w:t>rfp-reference: HDFC-BANK-RFP-202603</w:t>
      </w:r>
    </w:p>
    <w:p>
      <w:r>
        <w:rPr>
          <w:rFonts w:ascii="Figtree" w:hAnsi="Figtree"/>
          <w:b w:val="0"/>
          <w:i w:val="0"/>
          <w:sz w:val="22"/>
        </w:rPr>
        <w:t>region: APAC</w:t>
      </w:r>
    </w:p>
    <w:p>
      <w:r>
        <w:rPr>
          <w:rFonts w:ascii="Figtree" w:hAnsi="Figtree"/>
          <w:b w:val="0"/>
          <w:i w:val="0"/>
          <w:sz w:val="22"/>
        </w:rPr>
        <w:t>country: India</w:t>
      </w:r>
    </w:p>
    <w:p>
      <w:r>
        <w:rPr>
          <w:rFonts w:ascii="Figtree" w:hAnsi="Figtree"/>
          <w:b w:val="0"/>
          <w:i w:val="0"/>
          <w:sz w:val="22"/>
        </w:rPr>
        <w:t>version: Final 2.0</w:t>
      </w:r>
    </w:p>
    <w:p>
      <w:r>
        <w:rPr>
          <w:rFonts w:ascii="Figtree" w:hAnsi="Figtree"/>
          <w:b w:val="0"/>
          <w:i w:val="0"/>
          <w:sz w:val="22"/>
        </w:rPr>
        <w:t>date: March 2026</w:t>
      </w:r>
    </w:p>
    <w:p>
      <w:r>
        <w:rPr>
          <w:rFonts w:ascii="Figtree" w:hAnsi="Figtree"/>
          <w:b w:val="0"/>
          <w:i w:val="0"/>
          <w:sz w:val="22"/>
        </w:rPr>
        <w:t>classification: Confidential – For Evaluation Purposes Only</w:t>
      </w:r>
    </w:p>
    <w:p>
      <w:r>
        <w:rPr>
          <w:rFonts w:ascii="Figtree" w:hAnsi="Figtree"/>
          <w:b w:val="0"/>
          <w:i w:val="0"/>
          <w:sz w:val="22"/>
        </w:rPr>
        <w:t>prepared-by: SettleMint NV</w:t>
      </w:r>
    </w:p>
    <w:p>
      <w:r>
        <w:br w:type="page"/>
      </w:r>
    </w:p>
    <w:p>
      <w:pPr>
        <w:pStyle w:val="H1"/>
        <w:numPr>
          <w:ilvl w:val="0"/>
          <w:numId w:val="1"/>
        </w:numPr>
      </w:pPr>
      <w:r>
        <w:t>Commercial Proposal</w:t>
      </w:r>
    </w:p>
    <w:p>
      <w:r>
        <w:rPr>
          <w:rFonts w:ascii="Figtree" w:hAnsi="Figtree"/>
          <w:b/>
          <w:i w:val="0"/>
          <w:sz w:val="22"/>
        </w:rPr>
        <w:t>Tokenized Fixed Income Platform</w:t>
      </w:r>
    </w:p>
    <w:p>
      <w:r>
        <w:rPr>
          <w:rFonts w:ascii="Figtree" w:hAnsi="Figtree"/>
          <w:b/>
          <w:i w:val="0"/>
          <w:sz w:val="22"/>
        </w:rPr>
        <w:t>Submitted to: HDFC Bank</w:t>
      </w:r>
    </w:p>
    <w:p>
      <w:r>
        <w:rPr>
          <w:rFonts w:ascii="Figtree" w:hAnsi="Figtree"/>
          <w:b/>
          <w:i w:val="0"/>
          <w:sz w:val="22"/>
        </w:rPr>
        <w:t>RFP Reference: HDFC-BANK-RFP-202603</w:t>
      </w:r>
    </w:p>
    <w:p>
      <w:r>
        <w:rPr>
          <w:rFonts w:ascii="Figtree" w:hAnsi="Figtree"/>
          <w:b/>
          <w:i w:val="0"/>
          <w:sz w:val="22"/>
        </w:rPr>
        <w:t>Date: March 2026</w:t>
      </w:r>
    </w:p>
    <w:p>
      <w:r>
        <w:rPr>
          <w:rFonts w:ascii="Figtree" w:hAnsi="Figtree"/>
          <w:b/>
          <w:i w:val="0"/>
          <w:sz w:val="22"/>
        </w:rPr>
        <w:t>Version: 2.0 Final</w:t>
      </w:r>
    </w:p>
    <w:p>
      <w:r>
        <w:rPr>
          <w:rFonts w:ascii="Figtree" w:hAnsi="Figtree"/>
          <w:b/>
          <w:i w:val="0"/>
          <w:sz w:val="22"/>
        </w:rPr>
        <w:t>Prepared by: SettleMint NV, Leuven, Belgium</w:t>
      </w:r>
    </w:p>
    <w:p>
      <w:r>
        <w:rPr>
          <w:rFonts w:ascii="Figtree" w:hAnsi="Figtree"/>
          <w:b/>
          <w:i w:val="0"/>
          <w:sz w:val="22"/>
        </w:rPr>
        <w:t>Classification: Confidential – For Evaluation Purposes Only</w:t>
      </w:r>
    </w:p>
    <w:p>
      <w:r>
        <w:rPr>
          <w:rFonts w:ascii="Figtree" w:hAnsi="Figtree"/>
          <w:b w:val="0"/>
          <w:i w:val="0"/>
          <w:sz w:val="22"/>
        </w:rPr>
        <w:t>&gt; All prices exclude applicable taxes and VAT. Taxes are added separately based on HDFC Bank's jurisdiction and applicable tax treaties.</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Commercial Summary</w:t>
      </w:r>
    </w:p>
    <w:p>
      <w:pPr>
        <w:pStyle w:val="ListParagraph"/>
        <w:numPr>
          <w:ilvl w:val="0"/>
          <w:numId w:val="6"/>
        </w:numPr>
      </w:pPr>
      <w:r>
        <w:rPr>
          <w:rFonts w:ascii="Figtree" w:hAnsi="Figtree"/>
          <w:b w:val="0"/>
          <w:i w:val="0"/>
          <w:sz w:val="22"/>
        </w:rPr>
        <w:t>Pricing Structure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Support and Maintenance</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Payment Terms and Conditions</w:t>
      </w:r>
    </w:p>
    <w:p>
      <w:pPr>
        <w:pStyle w:val="ListParagraph"/>
        <w:numPr>
          <w:ilvl w:val="0"/>
          <w:numId w:val="6"/>
        </w:numPr>
      </w:pPr>
      <w:r>
        <w:rPr>
          <w:rFonts w:ascii="Figtree" w:hAnsi="Figtree"/>
          <w:b w:val="0"/>
          <w:i w:val="0"/>
          <w:sz w:val="22"/>
        </w:rPr>
        <w:t>Value Analysis and ROI</w:t>
      </w:r>
    </w:p>
    <w:p>
      <w:pPr>
        <w:pStyle w:val="ListParagraph"/>
        <w:numPr>
          <w:ilvl w:val="0"/>
          <w:numId w:val="6"/>
        </w:numPr>
      </w:pPr>
      <w:r>
        <w:rPr>
          <w:rFonts w:ascii="Figtree" w:hAnsi="Figtree"/>
          <w:b w:val="0"/>
          <w:i w:val="0"/>
          <w:sz w:val="22"/>
        </w:rPr>
        <w:t>Contract Framework</w:t>
      </w:r>
    </w:p>
    <w:p>
      <w:pPr>
        <w:pStyle w:val="ListParagraph"/>
        <w:numPr>
          <w:ilvl w:val="0"/>
          <w:numId w:val="6"/>
        </w:numPr>
      </w:pPr>
      <w:r>
        <w:rPr>
          <w:rFonts w:ascii="Figtree" w:hAnsi="Figtree"/>
          <w:b w:val="0"/>
          <w:i w:val="0"/>
          <w:sz w:val="22"/>
        </w:rPr>
        <w:t>Commercial Assumptions and Exclusions</w:t>
      </w:r>
    </w:p>
    <w:p>
      <w:r>
        <w:br w:type="page"/>
      </w:r>
    </w:p>
    <w:p>
      <w:pPr>
        <w:pStyle w:val="H2"/>
        <w:numPr>
          <w:ilvl w:val="1"/>
          <w:numId w:val="1"/>
        </w:numPr>
      </w:pPr>
      <w:r>
        <w:t>Commercial Summary</w:t>
      </w:r>
    </w:p>
    <w:p>
      <w:r>
        <w:rPr>
          <w:rFonts w:ascii="Figtree" w:hAnsi="Figtree"/>
          <w:b w:val="0"/>
          <w:i w:val="0"/>
          <w:sz w:val="22"/>
        </w:rPr>
        <w:t>This commercial proposal sets out SettleMint's pricing, licensing structure, implementation investment, and total cost of ownership for the DALP tokenized fixed income platform deployment at HDFC Bank. It is the companion document to SettleMint's technical proposal responding to HDFC-BANK-RFP-202603.</w:t>
      </w:r>
    </w:p>
    <w:p>
      <w:r>
        <w:rPr>
          <w:rFonts w:ascii="Figtree" w:hAnsi="Figtree"/>
          <w:b w:val="0"/>
          <w:i w:val="0"/>
          <w:sz w:val="22"/>
        </w:rPr>
        <w:t>The commercial proposal is structured for four distinct audiences on HDFC Bank's evaluation committee: procurement and sourcing teams who need clear pricing terms and contractual structures; business sponsors who need to understand the investment relative to expected business value; technology and operations leads who need to understand the support model; and finance teams who need to understand the total cost model over a multi-year horizon.</w:t>
      </w:r>
    </w:p>
    <w:p>
      <w:pPr>
        <w:pStyle w:val="H3"/>
        <w:numPr>
          <w:ilvl w:val="2"/>
          <w:numId w:val="1"/>
        </w:numPr>
      </w:pPr>
      <w:r>
        <w:t>Commercial Architecture Diagram</w:t>
      </w:r>
    </w:p>
    <w:p>
      <w:pPr>
        <w:jc w:val="center"/>
      </w:pPr>
      <w:r>
        <w:drawing>
          <wp:inline xmlns:a="http://schemas.openxmlformats.org/drawingml/2006/main" xmlns:pic="http://schemas.openxmlformats.org/drawingml/2006/picture">
            <wp:extent cx="5486400" cy="2358312"/>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358312"/>
                    </a:xfrm>
                    <a:prstGeom prst="rect"/>
                  </pic:spPr>
                </pic:pic>
              </a:graphicData>
            </a:graphic>
          </wp:inline>
        </w:drawing>
      </w:r>
    </w:p>
    <w:p>
      <w:pPr>
        <w:pStyle w:val="H3"/>
        <w:numPr>
          <w:ilvl w:val="2"/>
          <w:numId w:val="1"/>
        </w:numPr>
      </w:pPr>
      <w:r>
        <w:t>Document Map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92"/>
        <w:gridCol w:w="3788"/>
        <w:gridCol w:w="279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Primary Audience</w:t>
            </w:r>
          </w:p>
        </w:tc>
      </w:tr>
      <w:tr>
        <w:trPr>
          <w:trHeight w:val="425" w:hRule="atLeast"/>
        </w:trPr>
        <w:tc>
          <w:tcPr>
            <w:tcW w:type="dxa" w:w="3249"/>
            <w:vAlign w:val="center"/>
          </w:tcPr>
          <w:p>
            <w:pPr>
              <w:spacing w:line="276" w:lineRule="auto" w:before="0" w:after="0"/>
            </w:pPr>
            <w:r/>
            <w:r>
              <w:rPr>
                <w:rFonts w:ascii="Figtree" w:hAnsi="Figtree"/>
                <w:b w:val="0"/>
                <w:i w:val="0"/>
                <w:sz w:val="20"/>
              </w:rPr>
              <w:t>Pricing Structure</w:t>
            </w:r>
          </w:p>
        </w:tc>
        <w:tc>
          <w:tcPr>
            <w:tcW w:type="dxa" w:w="3249"/>
            <w:vAlign w:val="center"/>
          </w:tcPr>
          <w:p>
            <w:pPr>
              <w:spacing w:line="276" w:lineRule="auto" w:before="0" w:after="0"/>
            </w:pPr>
            <w:r/>
            <w:r>
              <w:rPr>
                <w:rFonts w:ascii="Figtree" w:hAnsi="Figtree"/>
                <w:b w:val="0"/>
                <w:i w:val="0"/>
                <w:sz w:val="20"/>
              </w:rPr>
              <w:t>Platform license fees and structure</w:t>
            </w:r>
          </w:p>
        </w:tc>
        <w:tc>
          <w:tcPr>
            <w:tcW w:type="dxa" w:w="3249"/>
            <w:vAlign w:val="center"/>
          </w:tcPr>
          <w:p>
            <w:pPr>
              <w:spacing w:line="276" w:lineRule="auto" w:before="0" w:after="0"/>
            </w:pPr>
            <w:r/>
            <w:r>
              <w:rPr>
                <w:rFonts w:ascii="Figtree" w:hAnsi="Figtree"/>
                <w:b w:val="0"/>
                <w:i w:val="0"/>
                <w:sz w:val="20"/>
              </w:rPr>
              <w:t>Procurement, Finance</w:t>
            </w:r>
          </w:p>
        </w:tc>
      </w:tr>
      <w:tr>
        <w:trPr>
          <w:trHeight w:val="425" w:hRule="atLeast"/>
        </w:trPr>
        <w:tc>
          <w:tcPr>
            <w:tcW w:type="dxa" w:w="3249"/>
            <w:vAlign w:val="center"/>
          </w:tcPr>
          <w:p>
            <w:pPr>
              <w:spacing w:line="276" w:lineRule="auto" w:before="0" w:after="0"/>
            </w:pPr>
            <w:r/>
            <w:r>
              <w:rPr>
                <w:rFonts w:ascii="Figtree" w:hAnsi="Figtree"/>
                <w:b w:val="0"/>
                <w:i w:val="0"/>
                <w:sz w:val="20"/>
              </w:rPr>
              <w:t>Licensing Model</w:t>
            </w:r>
          </w:p>
        </w:tc>
        <w:tc>
          <w:tcPr>
            <w:tcW w:type="dxa" w:w="3249"/>
            <w:vAlign w:val="center"/>
          </w:tcPr>
          <w:p>
            <w:pPr>
              <w:spacing w:line="276" w:lineRule="auto" w:before="0" w:after="0"/>
            </w:pPr>
            <w:r/>
            <w:r>
              <w:rPr>
                <w:rFonts w:ascii="Figtree" w:hAnsi="Figtree"/>
                <w:b w:val="0"/>
                <w:i w:val="0"/>
                <w:sz w:val="20"/>
              </w:rPr>
              <w:t>License types, environments, terms</w:t>
            </w:r>
          </w:p>
        </w:tc>
        <w:tc>
          <w:tcPr>
            <w:tcW w:type="dxa" w:w="3249"/>
            <w:vAlign w:val="center"/>
          </w:tcPr>
          <w:p>
            <w:pPr>
              <w:spacing w:line="276" w:lineRule="auto" w:before="0" w:after="0"/>
            </w:pPr>
            <w:r/>
            <w:r>
              <w:rPr>
                <w:rFonts w:ascii="Figtree" w:hAnsi="Figtree"/>
                <w:b w:val="0"/>
                <w:i w:val="0"/>
                <w:sz w:val="20"/>
              </w:rPr>
              <w:t>Procurement, Technology</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Investment</w:t>
            </w:r>
          </w:p>
        </w:tc>
        <w:tc>
          <w:tcPr>
            <w:tcW w:type="dxa" w:w="3249"/>
            <w:vAlign w:val="center"/>
          </w:tcPr>
          <w:p>
            <w:pPr>
              <w:spacing w:line="276" w:lineRule="auto" w:before="0" w:after="0"/>
            </w:pPr>
            <w:r/>
            <w:r>
              <w:rPr>
                <w:rFonts w:ascii="Figtree" w:hAnsi="Figtree"/>
                <w:b w:val="0"/>
                <w:i w:val="0"/>
                <w:sz w:val="20"/>
              </w:rPr>
              <w:t>One-time delivery costs</w:t>
            </w:r>
          </w:p>
        </w:tc>
        <w:tc>
          <w:tcPr>
            <w:tcW w:type="dxa" w:w="3249"/>
            <w:vAlign w:val="center"/>
          </w:tcPr>
          <w:p>
            <w:pPr>
              <w:spacing w:line="276" w:lineRule="auto" w:before="0" w:after="0"/>
            </w:pPr>
            <w:r/>
            <w:r>
              <w:rPr>
                <w:rFonts w:ascii="Figtree" w:hAnsi="Figtree"/>
                <w:b w:val="0"/>
                <w:i w:val="0"/>
                <w:sz w:val="20"/>
              </w:rPr>
              <w:t>Business Sponsors, Finance</w:t>
            </w:r>
          </w:p>
        </w:tc>
      </w:tr>
      <w:tr>
        <w:trPr>
          <w:trHeight w:val="425" w:hRule="atLeast"/>
        </w:trPr>
        <w:tc>
          <w:tcPr>
            <w:tcW w:type="dxa" w:w="3249"/>
            <w:vAlign w:val="center"/>
          </w:tcPr>
          <w:p>
            <w:pPr>
              <w:spacing w:line="276" w:lineRule="auto" w:before="0" w:after="0"/>
            </w:pPr>
            <w:r/>
            <w:r>
              <w:rPr>
                <w:rFonts w:ascii="Figtree" w:hAnsi="Figtree"/>
                <w:b w:val="0"/>
                <w:i w:val="0"/>
                <w:sz w:val="20"/>
              </w:rPr>
              <w:t>Support and Maintenance</w:t>
            </w:r>
          </w:p>
        </w:tc>
        <w:tc>
          <w:tcPr>
            <w:tcW w:type="dxa" w:w="3249"/>
            <w:vAlign w:val="center"/>
          </w:tcPr>
          <w:p>
            <w:pPr>
              <w:spacing w:line="276" w:lineRule="auto" w:before="0" w:after="0"/>
            </w:pPr>
            <w:r/>
            <w:r>
              <w:rPr>
                <w:rFonts w:ascii="Figtree" w:hAnsi="Figtree"/>
                <w:b w:val="0"/>
                <w:i w:val="0"/>
                <w:sz w:val="20"/>
              </w:rPr>
              <w:t>Ongoing support model and costs</w:t>
            </w:r>
          </w:p>
        </w:tc>
        <w:tc>
          <w:tcPr>
            <w:tcW w:type="dxa" w:w="3249"/>
            <w:vAlign w:val="center"/>
          </w:tcPr>
          <w:p>
            <w:pPr>
              <w:spacing w:line="276" w:lineRule="auto" w:before="0" w:after="0"/>
            </w:pPr>
            <w:r/>
            <w:r>
              <w:rPr>
                <w:rFonts w:ascii="Figtree" w:hAnsi="Figtree"/>
                <w:b w:val="0"/>
                <w:i w:val="0"/>
                <w:sz w:val="20"/>
              </w:rPr>
              <w:t>Technology, Operations</w:t>
            </w:r>
          </w:p>
        </w:tc>
      </w:tr>
      <w:tr>
        <w:trPr>
          <w:trHeight w:val="425" w:hRule="atLeast"/>
        </w:trPr>
        <w:tc>
          <w:tcPr>
            <w:tcW w:type="dxa" w:w="3249"/>
            <w:vAlign w:val="center"/>
          </w:tcPr>
          <w:p>
            <w:pPr>
              <w:spacing w:line="276" w:lineRule="auto" w:before="0" w:after="0"/>
            </w:pPr>
            <w:r/>
            <w:r>
              <w:rPr>
                <w:rFonts w:ascii="Figtree" w:hAnsi="Figtree"/>
                <w:b w:val="0"/>
                <w:i w:val="0"/>
                <w:sz w:val="20"/>
              </w:rPr>
              <w:t>Total Cost of Ownership</w:t>
            </w:r>
          </w:p>
        </w:tc>
        <w:tc>
          <w:tcPr>
            <w:tcW w:type="dxa" w:w="3249"/>
            <w:vAlign w:val="center"/>
          </w:tcPr>
          <w:p>
            <w:pPr>
              <w:spacing w:line="276" w:lineRule="auto" w:before="0" w:after="0"/>
            </w:pPr>
            <w:r/>
            <w:r>
              <w:rPr>
                <w:rFonts w:ascii="Figtree" w:hAnsi="Figtree"/>
                <w:b w:val="0"/>
                <w:i w:val="0"/>
                <w:sz w:val="20"/>
              </w:rPr>
              <w:t>Multi-year cost model</w:t>
            </w:r>
          </w:p>
        </w:tc>
        <w:tc>
          <w:tcPr>
            <w:tcW w:type="dxa" w:w="3249"/>
            <w:vAlign w:val="center"/>
          </w:tcPr>
          <w:p>
            <w:pPr>
              <w:spacing w:line="276" w:lineRule="auto" w:before="0" w:after="0"/>
            </w:pPr>
            <w:r/>
            <w:r>
              <w:rPr>
                <w:rFonts w:ascii="Figtree" w:hAnsi="Figtree"/>
                <w:b w:val="0"/>
                <w:i w:val="0"/>
                <w:sz w:val="20"/>
              </w:rPr>
              <w:t>Finance, Business Sponsors</w:t>
            </w:r>
          </w:p>
        </w:tc>
      </w:tr>
      <w:tr>
        <w:trPr>
          <w:trHeight w:val="425" w:hRule="atLeast"/>
        </w:trPr>
        <w:tc>
          <w:tcPr>
            <w:tcW w:type="dxa" w:w="3249"/>
            <w:vAlign w:val="center"/>
          </w:tcPr>
          <w:p>
            <w:pPr>
              <w:spacing w:line="276" w:lineRule="auto" w:before="0" w:after="0"/>
            </w:pPr>
            <w:r/>
            <w:r>
              <w:rPr>
                <w:rFonts w:ascii="Figtree" w:hAnsi="Figtree"/>
                <w:b w:val="0"/>
                <w:i w:val="0"/>
                <w:sz w:val="20"/>
              </w:rPr>
              <w:t>Payment Terms</w:t>
            </w:r>
          </w:p>
        </w:tc>
        <w:tc>
          <w:tcPr>
            <w:tcW w:type="dxa" w:w="3249"/>
            <w:vAlign w:val="center"/>
          </w:tcPr>
          <w:p>
            <w:pPr>
              <w:spacing w:line="276" w:lineRule="auto" w:before="0" w:after="0"/>
            </w:pPr>
            <w:r/>
            <w:r>
              <w:rPr>
                <w:rFonts w:ascii="Figtree" w:hAnsi="Figtree"/>
                <w:b w:val="0"/>
                <w:i w:val="0"/>
                <w:sz w:val="20"/>
              </w:rPr>
              <w:t>Payment schedule and contractual terms</w:t>
            </w:r>
          </w:p>
        </w:tc>
        <w:tc>
          <w:tcPr>
            <w:tcW w:type="dxa" w:w="3249"/>
            <w:vAlign w:val="center"/>
          </w:tcPr>
          <w:p>
            <w:pPr>
              <w:spacing w:line="276" w:lineRule="auto" w:before="0" w:after="0"/>
            </w:pPr>
            <w:r/>
            <w:r>
              <w:rPr>
                <w:rFonts w:ascii="Figtree" w:hAnsi="Figtree"/>
                <w:b w:val="0"/>
                <w:i w:val="0"/>
                <w:sz w:val="20"/>
              </w:rPr>
              <w:t>Procurement, Finance</w:t>
            </w:r>
          </w:p>
        </w:tc>
      </w:tr>
      <w:tr>
        <w:trPr>
          <w:trHeight w:val="425" w:hRule="atLeast"/>
        </w:trPr>
        <w:tc>
          <w:tcPr>
            <w:tcW w:type="dxa" w:w="3249"/>
            <w:vAlign w:val="center"/>
          </w:tcPr>
          <w:p>
            <w:pPr>
              <w:spacing w:line="276" w:lineRule="auto" w:before="0" w:after="0"/>
            </w:pPr>
            <w:r/>
            <w:r>
              <w:rPr>
                <w:rFonts w:ascii="Figtree" w:hAnsi="Figtree"/>
                <w:b w:val="0"/>
                <w:i w:val="0"/>
                <w:sz w:val="20"/>
              </w:rPr>
              <w:t>Value Analysis and ROI</w:t>
            </w:r>
          </w:p>
        </w:tc>
        <w:tc>
          <w:tcPr>
            <w:tcW w:type="dxa" w:w="3249"/>
            <w:vAlign w:val="center"/>
          </w:tcPr>
          <w:p>
            <w:pPr>
              <w:spacing w:line="276" w:lineRule="auto" w:before="0" w:after="0"/>
            </w:pPr>
            <w:r/>
            <w:r>
              <w:rPr>
                <w:rFonts w:ascii="Figtree" w:hAnsi="Figtree"/>
                <w:b w:val="0"/>
                <w:i w:val="0"/>
                <w:sz w:val="20"/>
              </w:rPr>
              <w:t>Business value and investment return</w:t>
            </w:r>
          </w:p>
        </w:tc>
        <w:tc>
          <w:tcPr>
            <w:tcW w:type="dxa" w:w="3249"/>
            <w:vAlign w:val="center"/>
          </w:tcPr>
          <w:p>
            <w:pPr>
              <w:spacing w:line="276" w:lineRule="auto" w:before="0" w:after="0"/>
            </w:pPr>
            <w:r/>
            <w:r>
              <w:rPr>
                <w:rFonts w:ascii="Figtree" w:hAnsi="Figtree"/>
                <w:b w:val="0"/>
                <w:i w:val="0"/>
                <w:sz w:val="20"/>
              </w:rPr>
              <w:t>Business Sponsors, Executive</w:t>
            </w:r>
          </w:p>
        </w:tc>
      </w:tr>
      <w:tr>
        <w:trPr>
          <w:trHeight w:val="425" w:hRule="atLeast"/>
        </w:trPr>
        <w:tc>
          <w:tcPr>
            <w:tcW w:type="dxa" w:w="3249"/>
            <w:vAlign w:val="center"/>
          </w:tcPr>
          <w:p>
            <w:pPr>
              <w:spacing w:line="276" w:lineRule="auto" w:before="0" w:after="0"/>
            </w:pPr>
            <w:r/>
            <w:r>
              <w:rPr>
                <w:rFonts w:ascii="Figtree" w:hAnsi="Figtree"/>
                <w:b w:val="0"/>
                <w:i w:val="0"/>
                <w:sz w:val="20"/>
              </w:rPr>
              <w:t>Commercial Assumptions</w:t>
            </w:r>
          </w:p>
        </w:tc>
        <w:tc>
          <w:tcPr>
            <w:tcW w:type="dxa" w:w="3249"/>
            <w:vAlign w:val="center"/>
          </w:tcPr>
          <w:p>
            <w:pPr>
              <w:spacing w:line="276" w:lineRule="auto" w:before="0" w:after="0"/>
            </w:pPr>
            <w:r/>
            <w:r>
              <w:rPr>
                <w:rFonts w:ascii="Figtree" w:hAnsi="Figtree"/>
                <w:b w:val="0"/>
                <w:i w:val="0"/>
                <w:sz w:val="20"/>
              </w:rPr>
              <w:t>Scope boundaries and exclusions</w:t>
            </w:r>
          </w:p>
        </w:tc>
        <w:tc>
          <w:tcPr>
            <w:tcW w:type="dxa" w:w="3249"/>
            <w:vAlign w:val="center"/>
          </w:tcPr>
          <w:p>
            <w:pPr>
              <w:spacing w:line="276" w:lineRule="auto" w:before="0" w:after="0"/>
            </w:pPr>
            <w:r/>
            <w:r>
              <w:rPr>
                <w:rFonts w:ascii="Figtree" w:hAnsi="Figtree"/>
                <w:b w:val="0"/>
                <w:i w:val="0"/>
                <w:sz w:val="20"/>
              </w:rPr>
              <w:t>All audiences</w:t>
            </w:r>
          </w:p>
        </w:tc>
      </w:tr>
    </w:tbl>
    <w:p>
      <w:pPr>
        <w:spacing w:before="0" w:after="0" w:line="120" w:lineRule="exact"/>
      </w:pPr>
    </w:p>
    <w:p>
      <w:r>
        <w:br w:type="page"/>
      </w:r>
    </w:p>
    <w:p>
      <w:pPr>
        <w:pStyle w:val="H2"/>
        <w:numPr>
          <w:ilvl w:val="1"/>
          <w:numId w:val="1"/>
        </w:numPr>
      </w:pPr>
      <w:r>
        <w:t>Pricing Structure</w:t>
      </w:r>
    </w:p>
    <w:p>
      <w:pPr>
        <w:pStyle w:val="H3"/>
        <w:numPr>
          <w:ilvl w:val="2"/>
          <w:numId w:val="1"/>
        </w:numPr>
      </w:pPr>
      <w:r>
        <w:t>Platform License Fees</w:t>
      </w:r>
    </w:p>
    <w:p>
      <w:r>
        <w:rPr>
          <w:rFonts w:ascii="Figtree" w:hAnsi="Figtree"/>
          <w:b w:val="0"/>
          <w:i w:val="0"/>
          <w:sz w:val="22"/>
        </w:rPr>
        <w:t>SettleMint's platform licensing follows a per-environment annual model. The base license rates are: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24"/>
        <w:gridCol w:w="2864"/>
        <w:gridCol w:w="318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License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Equivalent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Fee (upfront)</w:t>
            </w:r>
          </w:p>
        </w:tc>
      </w:tr>
      <w:tr>
        <w:trPr>
          <w:trHeight w:val="425" w:hRule="atLeast"/>
        </w:trPr>
        <w:tc>
          <w:tcPr>
            <w:tcW w:type="dxa" w:w="3249"/>
            <w:vAlign w:val="center"/>
          </w:tcPr>
          <w:p>
            <w:pPr>
              <w:spacing w:line="276" w:lineRule="auto" w:before="0" w:after="0"/>
            </w:pPr>
            <w:r/>
            <w:r>
              <w:rPr>
                <w:rFonts w:ascii="Figtree" w:hAnsi="Figtree"/>
                <w:b w:val="0"/>
                <w:i w:val="0"/>
                <w:sz w:val="20"/>
              </w:rPr>
              <w:t>Production License</w:t>
            </w:r>
          </w:p>
        </w:tc>
        <w:tc>
          <w:tcPr>
            <w:tcW w:type="dxa" w:w="3249"/>
            <w:vAlign w:val="center"/>
          </w:tcPr>
          <w:p>
            <w:pPr>
              <w:spacing w:line="276" w:lineRule="auto" w:before="0" w:after="0"/>
            </w:pPr>
            <w:r/>
            <w:r>
              <w:rPr>
                <w:rFonts w:ascii="Figtree" w:hAnsi="Figtree"/>
                <w:b w:val="0"/>
                <w:i w:val="0"/>
                <w:sz w:val="20"/>
              </w:rPr>
              <w:t>€25,000/month</w:t>
            </w:r>
          </w:p>
        </w:tc>
        <w:tc>
          <w:tcPr>
            <w:tcW w:type="dxa" w:w="3249"/>
            <w:vAlign w:val="center"/>
          </w:tcPr>
          <w:p>
            <w:pPr>
              <w:spacing w:line="276" w:lineRule="auto" w:before="0" w:after="0"/>
            </w:pPr>
            <w:r/>
            <w:r>
              <w:rPr>
                <w:rFonts w:ascii="Figtree" w:hAnsi="Figtree"/>
                <w:b w:val="0"/>
                <w:i w:val="0"/>
                <w:sz w:val="20"/>
              </w:rPr>
              <w:t>€300,000/year</w:t>
            </w:r>
          </w:p>
        </w:tc>
      </w:tr>
      <w:tr>
        <w:trPr>
          <w:trHeight w:val="425" w:hRule="atLeast"/>
        </w:trPr>
        <w:tc>
          <w:tcPr>
            <w:tcW w:type="dxa" w:w="3249"/>
            <w:vAlign w:val="center"/>
          </w:tcPr>
          <w:p>
            <w:pPr>
              <w:spacing w:line="276" w:lineRule="auto" w:before="0" w:after="0"/>
            </w:pPr>
            <w:r/>
            <w:r>
              <w:rPr>
                <w:rFonts w:ascii="Figtree" w:hAnsi="Figtree"/>
                <w:b w:val="0"/>
                <w:i w:val="0"/>
                <w:sz w:val="20"/>
              </w:rPr>
              <w:t>Development License</w:t>
            </w:r>
          </w:p>
        </w:tc>
        <w:tc>
          <w:tcPr>
            <w:tcW w:type="dxa" w:w="3249"/>
            <w:vAlign w:val="center"/>
          </w:tcPr>
          <w:p>
            <w:pPr>
              <w:spacing w:line="276" w:lineRule="auto" w:before="0" w:after="0"/>
            </w:pPr>
            <w:r/>
            <w:r>
              <w:rPr>
                <w:rFonts w:ascii="Figtree" w:hAnsi="Figtree"/>
                <w:b w:val="0"/>
                <w:i w:val="0"/>
                <w:sz w:val="20"/>
              </w:rPr>
              <w:t>€10,000/month</w:t>
            </w:r>
          </w:p>
        </w:tc>
        <w:tc>
          <w:tcPr>
            <w:tcW w:type="dxa" w:w="3249"/>
            <w:vAlign w:val="center"/>
          </w:tcPr>
          <w:p>
            <w:pPr>
              <w:spacing w:line="276" w:lineRule="auto" w:before="0" w:after="0"/>
            </w:pPr>
            <w:r/>
            <w:r>
              <w:rPr>
                <w:rFonts w:ascii="Figtree" w:hAnsi="Figtree"/>
                <w:b w:val="0"/>
                <w:i w:val="0"/>
                <w:sz w:val="20"/>
              </w:rPr>
              <w:t>€120,000/year</w:t>
            </w:r>
          </w:p>
        </w:tc>
      </w:tr>
    </w:tbl>
    <w:p>
      <w:pPr>
        <w:spacing w:before="0" w:after="0" w:line="120" w:lineRule="exact"/>
      </w:pPr>
    </w:p>
    <w:p>
      <w:r>
        <w:rPr>
          <w:rFonts w:ascii="Figtree" w:hAnsi="Figtree"/>
          <w:b w:val="0"/>
          <w:i w:val="0"/>
          <w:sz w:val="22"/>
        </w:rPr>
        <w:t xml:space="preserve">&gt; </w:t>
      </w:r>
      <w:r>
        <w:rPr>
          <w:rFonts w:ascii="Figtree" w:hAnsi="Figtree"/>
          <w:b/>
          <w:i w:val="0"/>
          <w:sz w:val="22"/>
        </w:rPr>
        <w:t>Payment terms: Annual, upfront. All prices exclude applicable taxes and VAT.</w:t>
      </w:r>
    </w:p>
    <w:p>
      <w:pPr>
        <w:pStyle w:val="H3"/>
        <w:numPr>
          <w:ilvl w:val="2"/>
          <w:numId w:val="1"/>
        </w:numPr>
      </w:pPr>
      <w:r>
        <w:t>Recommended Environment Configuration</w:t>
      </w:r>
    </w:p>
    <w:p>
      <w:r>
        <w:rPr>
          <w:rFonts w:ascii="Figtree" w:hAnsi="Figtree"/>
          <w:b w:val="0"/>
          <w:i w:val="0"/>
          <w:sz w:val="22"/>
        </w:rPr>
        <w:t>For HDFC Bank's tokenized fixed income programme, SettleMint recommends the following environment configuration: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24"/>
        <w:gridCol w:w="4193"/>
        <w:gridCol w:w="1027"/>
        <w:gridCol w:w="102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License 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Annual Fee</w:t>
            </w:r>
          </w:p>
        </w:tc>
      </w:tr>
      <w:tr>
        <w:trPr>
          <w:trHeight w:val="425" w:hRule="atLeast"/>
        </w:trPr>
        <w:tc>
          <w:tcPr>
            <w:tcW w:type="dxa" w:w="2436"/>
            <w:vAlign w:val="center"/>
          </w:tcPr>
          <w:p>
            <w:pPr>
              <w:spacing w:line="276" w:lineRule="auto" w:before="0" w:after="0"/>
            </w:pPr>
            <w:r/>
            <w:r>
              <w:rPr>
                <w:rFonts w:ascii="Figtree" w:hAnsi="Figtree"/>
                <w:b w:val="0"/>
                <w:i w:val="0"/>
                <w:sz w:val="20"/>
              </w:rPr>
              <w:t>Production</w:t>
            </w:r>
          </w:p>
        </w:tc>
        <w:tc>
          <w:tcPr>
            <w:tcW w:type="dxa" w:w="2436"/>
            <w:vAlign w:val="center"/>
          </w:tcPr>
          <w:p>
            <w:pPr>
              <w:spacing w:line="276" w:lineRule="auto" w:before="0" w:after="0"/>
            </w:pPr>
            <w:r/>
            <w:r>
              <w:rPr>
                <w:rFonts w:ascii="Figtree" w:hAnsi="Figtree"/>
                <w:b w:val="0"/>
                <w:i w:val="0"/>
                <w:sz w:val="20"/>
              </w:rPr>
              <w:t>Live transaction processing</w:t>
            </w:r>
          </w:p>
        </w:tc>
        <w:tc>
          <w:tcPr>
            <w:tcW w:type="dxa" w:w="2436"/>
            <w:vAlign w:val="center"/>
          </w:tcPr>
          <w:p>
            <w:pPr>
              <w:spacing w:line="276" w:lineRule="auto" w:before="0" w:after="0"/>
            </w:pPr>
            <w:r/>
            <w:r>
              <w:rPr>
                <w:rFonts w:ascii="Figtree" w:hAnsi="Figtree"/>
                <w:b w:val="0"/>
                <w:i w:val="0"/>
                <w:sz w:val="20"/>
              </w:rPr>
              <w:t>Production</w:t>
            </w:r>
          </w:p>
        </w:tc>
        <w:tc>
          <w:tcPr>
            <w:tcW w:type="dxa" w:w="2436"/>
            <w:vAlign w:val="center"/>
          </w:tcPr>
          <w:p>
            <w:pPr>
              <w:spacing w:line="276" w:lineRule="auto" w:before="0" w:after="0"/>
            </w:pPr>
            <w:r/>
            <w:r>
              <w:rPr>
                <w:rFonts w:ascii="Figtree" w:hAnsi="Figtree"/>
                <w:b w:val="0"/>
                <w:i w:val="0"/>
                <w:sz w:val="20"/>
              </w:rPr>
              <w:t>€300,000</w:t>
            </w:r>
          </w:p>
        </w:tc>
      </w:tr>
      <w:tr>
        <w:trPr>
          <w:trHeight w:val="425" w:hRule="atLeast"/>
        </w:trPr>
        <w:tc>
          <w:tcPr>
            <w:tcW w:type="dxa" w:w="2436"/>
            <w:vAlign w:val="center"/>
          </w:tcPr>
          <w:p>
            <w:pPr>
              <w:spacing w:line="276" w:lineRule="auto" w:before="0" w:after="0"/>
            </w:pPr>
            <w:r/>
            <w:r>
              <w:rPr>
                <w:rFonts w:ascii="Figtree" w:hAnsi="Figtree"/>
                <w:b w:val="0"/>
                <w:i w:val="0"/>
                <w:sz w:val="20"/>
              </w:rPr>
              <w:t>Staging/UAT</w:t>
            </w:r>
          </w:p>
        </w:tc>
        <w:tc>
          <w:tcPr>
            <w:tcW w:type="dxa" w:w="2436"/>
            <w:vAlign w:val="center"/>
          </w:tcPr>
          <w:p>
            <w:pPr>
              <w:spacing w:line="276" w:lineRule="auto" w:before="0" w:after="0"/>
            </w:pPr>
            <w:r/>
            <w:r>
              <w:rPr>
                <w:rFonts w:ascii="Figtree" w:hAnsi="Figtree"/>
                <w:b w:val="0"/>
                <w:i w:val="0"/>
                <w:sz w:val="20"/>
              </w:rPr>
              <w:t>Pre-production validation and integration testing</w:t>
            </w:r>
          </w:p>
        </w:tc>
        <w:tc>
          <w:tcPr>
            <w:tcW w:type="dxa" w:w="2436"/>
            <w:vAlign w:val="center"/>
          </w:tcPr>
          <w:p>
            <w:pPr>
              <w:spacing w:line="276" w:lineRule="auto" w:before="0" w:after="0"/>
            </w:pPr>
            <w:r/>
            <w:r>
              <w:rPr>
                <w:rFonts w:ascii="Figtree" w:hAnsi="Figtree"/>
                <w:b w:val="0"/>
                <w:i w:val="0"/>
                <w:sz w:val="20"/>
              </w:rPr>
              <w:t>Development</w:t>
            </w:r>
          </w:p>
        </w:tc>
        <w:tc>
          <w:tcPr>
            <w:tcW w:type="dxa" w:w="2436"/>
            <w:vAlign w:val="center"/>
          </w:tcPr>
          <w:p>
            <w:pPr>
              <w:spacing w:line="276" w:lineRule="auto" w:before="0" w:after="0"/>
            </w:pPr>
            <w:r/>
            <w:r>
              <w:rPr>
                <w:rFonts w:ascii="Figtree" w:hAnsi="Figtree"/>
                <w:b w:val="0"/>
                <w:i w:val="0"/>
                <w:sz w:val="20"/>
              </w:rPr>
              <w:t>€120,000</w:t>
            </w:r>
          </w:p>
        </w:tc>
      </w:tr>
      <w:tr>
        <w:trPr>
          <w:trHeight w:val="425" w:hRule="atLeast"/>
        </w:trPr>
        <w:tc>
          <w:tcPr>
            <w:tcW w:type="dxa" w:w="2436"/>
            <w:vAlign w:val="center"/>
          </w:tcPr>
          <w:p>
            <w:pPr>
              <w:spacing w:line="276" w:lineRule="auto" w:before="0" w:after="0"/>
            </w:pPr>
            <w:r/>
            <w:r>
              <w:rPr>
                <w:rFonts w:ascii="Figtree" w:hAnsi="Figtree"/>
                <w:b w:val="0"/>
                <w:i w:val="0"/>
                <w:sz w:val="20"/>
              </w:rPr>
              <w:t>Development</w:t>
            </w:r>
          </w:p>
        </w:tc>
        <w:tc>
          <w:tcPr>
            <w:tcW w:type="dxa" w:w="2436"/>
            <w:vAlign w:val="center"/>
          </w:tcPr>
          <w:p>
            <w:pPr>
              <w:spacing w:line="276" w:lineRule="auto" w:before="0" w:after="0"/>
            </w:pPr>
            <w:r/>
            <w:r>
              <w:rPr>
                <w:rFonts w:ascii="Figtree" w:hAnsi="Figtree"/>
                <w:b w:val="0"/>
                <w:i w:val="0"/>
                <w:sz w:val="20"/>
              </w:rPr>
              <w:t>Feature development and internal testing</w:t>
            </w:r>
          </w:p>
        </w:tc>
        <w:tc>
          <w:tcPr>
            <w:tcW w:type="dxa" w:w="2436"/>
            <w:vAlign w:val="center"/>
          </w:tcPr>
          <w:p>
            <w:pPr>
              <w:spacing w:line="276" w:lineRule="auto" w:before="0" w:after="0"/>
            </w:pPr>
            <w:r/>
            <w:r>
              <w:rPr>
                <w:rFonts w:ascii="Figtree" w:hAnsi="Figtree"/>
                <w:b w:val="0"/>
                <w:i w:val="0"/>
                <w:sz w:val="20"/>
              </w:rPr>
              <w:t>Development</w:t>
            </w:r>
          </w:p>
        </w:tc>
        <w:tc>
          <w:tcPr>
            <w:tcW w:type="dxa" w:w="2436"/>
            <w:vAlign w:val="center"/>
          </w:tcPr>
          <w:p>
            <w:pPr>
              <w:spacing w:line="276" w:lineRule="auto" w:before="0" w:after="0"/>
            </w:pPr>
            <w:r/>
            <w:r>
              <w:rPr>
                <w:rFonts w:ascii="Figtree" w:hAnsi="Figtree"/>
                <w:b w:val="0"/>
                <w:i w:val="0"/>
                <w:sz w:val="20"/>
              </w:rPr>
              <w:t>€120,000</w:t>
            </w:r>
          </w:p>
        </w:tc>
      </w:tr>
      <w:tr>
        <w:trPr>
          <w:trHeight w:val="425" w:hRule="atLeast"/>
        </w:trPr>
        <w:tc>
          <w:tcPr>
            <w:tcW w:type="dxa" w:w="2436"/>
            <w:vAlign w:val="center"/>
          </w:tcPr>
          <w:p>
            <w:pPr>
              <w:spacing w:line="276" w:lineRule="auto" w:before="0" w:after="0"/>
            </w:pPr>
            <w:r/>
            <w:r>
              <w:rPr>
                <w:rFonts w:ascii="Figtree" w:hAnsi="Figtree"/>
                <w:b/>
                <w:i w:val="0"/>
                <w:sz w:val="20"/>
              </w:rPr>
              <w:t>Annual Platform License Total</w:t>
            </w:r>
          </w:p>
        </w:tc>
        <w:tc>
          <w:tcPr>
            <w:tcW w:type="dxa" w:w="2436"/>
            <w:vAlign w:val="center"/>
          </w:tcPr>
          <w:p>
            <w:pPr>
              <w:spacing w:line="276" w:lineRule="auto" w:before="0" w:after="0"/>
            </w:pPr>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€540,000</w:t>
            </w:r>
          </w:p>
        </w:tc>
      </w:tr>
    </w:tbl>
    <w:p>
      <w:pPr>
        <w:spacing w:before="0" w:after="0" w:line="120" w:lineRule="exact"/>
      </w:pPr>
    </w:p>
    <w:p>
      <w:r>
        <w:rPr>
          <w:rFonts w:ascii="Figtree" w:hAnsi="Figtree"/>
          <w:b w:val="0"/>
          <w:i w:val="0"/>
          <w:sz w:val="22"/>
        </w:rPr>
        <w:t>&gt; Multi-environment combined pricing: €540,000/year upfront for Production + two Development environments. All prices exclude applicable taxes and VAT.</w:t>
      </w:r>
    </w:p>
    <w:p>
      <w:pPr>
        <w:pStyle w:val="H3"/>
        <w:numPr>
          <w:ilvl w:val="2"/>
          <w:numId w:val="1"/>
        </w:numPr>
      </w:pPr>
      <w:r>
        <w:t>License Fee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68"/>
        <w:gridCol w:w="2212"/>
        <w:gridCol w:w="589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Platform License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Year 1</w:t>
            </w:r>
          </w:p>
        </w:tc>
        <w:tc>
          <w:tcPr>
            <w:tcW w:type="dxa" w:w="3249"/>
            <w:vAlign w:val="center"/>
          </w:tcPr>
          <w:p>
            <w:pPr>
              <w:spacing w:line="276" w:lineRule="auto" w:before="0" w:after="0"/>
            </w:pPr>
            <w:r/>
            <w:r>
              <w:rPr>
                <w:rFonts w:ascii="Figtree" w:hAnsi="Figtree"/>
                <w:b w:val="0"/>
                <w:i w:val="0"/>
                <w:sz w:val="20"/>
              </w:rPr>
              <w:t>€540,000</w:t>
            </w:r>
          </w:p>
        </w:tc>
        <w:tc>
          <w:tcPr>
            <w:tcW w:type="dxa" w:w="3249"/>
            <w:vAlign w:val="center"/>
          </w:tcPr>
          <w:p>
            <w:pPr>
              <w:spacing w:line="276" w:lineRule="auto" w:before="0" w:after="0"/>
            </w:pPr>
            <w:r/>
            <w:r>
              <w:rPr>
                <w:rFonts w:ascii="Figtree" w:hAnsi="Figtree"/>
                <w:b w:val="0"/>
                <w:i w:val="0"/>
                <w:sz w:val="20"/>
              </w:rPr>
              <w:t>Three environments (1 Production, 2 Development)</w:t>
            </w:r>
          </w:p>
        </w:tc>
      </w:tr>
      <w:tr>
        <w:trPr>
          <w:trHeight w:val="425" w:hRule="atLeast"/>
        </w:trPr>
        <w:tc>
          <w:tcPr>
            <w:tcW w:type="dxa" w:w="3249"/>
            <w:vAlign w:val="center"/>
          </w:tcPr>
          <w:p>
            <w:pPr>
              <w:spacing w:line="276" w:lineRule="auto" w:before="0" w:after="0"/>
            </w:pPr>
            <w:r/>
            <w:r>
              <w:rPr>
                <w:rFonts w:ascii="Figtree" w:hAnsi="Figtree"/>
                <w:b w:val="0"/>
                <w:i w:val="0"/>
                <w:sz w:val="20"/>
              </w:rPr>
              <w:t>Year 2+</w:t>
            </w:r>
          </w:p>
        </w:tc>
        <w:tc>
          <w:tcPr>
            <w:tcW w:type="dxa" w:w="3249"/>
            <w:vAlign w:val="center"/>
          </w:tcPr>
          <w:p>
            <w:pPr>
              <w:spacing w:line="276" w:lineRule="auto" w:before="0" w:after="0"/>
            </w:pPr>
            <w:r/>
            <w:r>
              <w:rPr>
                <w:rFonts w:ascii="Figtree" w:hAnsi="Figtree"/>
                <w:b w:val="0"/>
                <w:i w:val="0"/>
                <w:sz w:val="20"/>
              </w:rPr>
              <w:t>€540,000/year</w:t>
            </w:r>
          </w:p>
        </w:tc>
        <w:tc>
          <w:tcPr>
            <w:tcW w:type="dxa" w:w="3249"/>
            <w:vAlign w:val="center"/>
          </w:tcPr>
          <w:p>
            <w:pPr>
              <w:spacing w:line="276" w:lineRule="auto" w:before="0" w:after="0"/>
            </w:pPr>
            <w:r/>
            <w:r>
              <w:rPr>
                <w:rFonts w:ascii="Figtree" w:hAnsi="Figtree"/>
                <w:b w:val="0"/>
                <w:i w:val="0"/>
                <w:sz w:val="20"/>
              </w:rPr>
              <w:t>Same structure, subject to annual renewal</w:t>
            </w:r>
          </w:p>
        </w:tc>
      </w:tr>
    </w:tbl>
    <w:p>
      <w:pPr>
        <w:spacing w:before="0" w:after="0" w:line="120" w:lineRule="exact"/>
      </w:pPr>
    </w:p>
    <w:p>
      <w:r>
        <w:br w:type="page"/>
      </w:r>
    </w:p>
    <w:p>
      <w:pPr>
        <w:pStyle w:val="H2"/>
        <w:numPr>
          <w:ilvl w:val="1"/>
          <w:numId w:val="1"/>
        </w:numPr>
      </w:pPr>
      <w:r>
        <w:t>Licensing Model</w:t>
      </w:r>
    </w:p>
    <w:p>
      <w:pPr>
        <w:pStyle w:val="H3"/>
        <w:numPr>
          <w:ilvl w:val="2"/>
          <w:numId w:val="1"/>
        </w:numPr>
      </w:pPr>
      <w:r>
        <w:t>What the License Includes</w:t>
      </w:r>
    </w:p>
    <w:p>
      <w:r>
        <w:rPr>
          <w:rFonts w:ascii="Figtree" w:hAnsi="Figtree"/>
          <w:b w:val="0"/>
          <w:i w:val="0"/>
          <w:sz w:val="22"/>
        </w:rPr>
        <w:t>The DALP platform license includes the following for each licensed environment:</w:t>
      </w:r>
    </w:p>
    <w:p>
      <w:r>
        <w:rPr>
          <w:rFonts w:ascii="Figtree" w:hAnsi="Figtree"/>
          <w:b/>
          <w:i w:val="0"/>
          <w:sz w:val="22"/>
        </w:rPr>
        <w:t>Platform Software.</w:t>
      </w:r>
      <w:r>
        <w:rPr>
          <w:rFonts w:ascii="Figtree" w:hAnsi="Figtree"/>
          <w:b w:val="0"/>
          <w:i w:val="0"/>
          <w:sz w:val="22"/>
        </w:rPr>
        <w:t xml:space="preserve"> Full access to the DALP platform software stack: Asset Console (web UI), Unified API (OpenAPI 3.1), TypeScript SDK, Execution Engine, Key Guardian, Chain Indexer, Chain Gateway, Feeds System, and all SMART Protocol smart contracts including the DALPAsset contract and all compliance modules.</w:t>
      </w:r>
    </w:p>
    <w:p>
      <w:r>
        <w:rPr>
          <w:rFonts w:ascii="Figtree" w:hAnsi="Figtree"/>
          <w:b/>
          <w:i w:val="0"/>
          <w:sz w:val="22"/>
        </w:rPr>
        <w:t>Platform Updates.</w:t>
      </w:r>
      <w:r>
        <w:rPr>
          <w:rFonts w:ascii="Figtree" w:hAnsi="Figtree"/>
          <w:b w:val="0"/>
          <w:i w:val="0"/>
          <w:sz w:val="22"/>
        </w:rPr>
        <w:t xml:space="preserve"> Continuous platform updates delivered by SettleMint, including security patches, compliance module updates, and feature releases. Updates are deployed according to the support tier's update cadence.</w:t>
      </w:r>
    </w:p>
    <w:p>
      <w:r>
        <w:rPr>
          <w:rFonts w:ascii="Figtree" w:hAnsi="Figtree"/>
          <w:b/>
          <w:i w:val="0"/>
          <w:sz w:val="22"/>
        </w:rPr>
        <w:t>Documentation.</w:t>
      </w:r>
      <w:r>
        <w:rPr>
          <w:rFonts w:ascii="Figtree" w:hAnsi="Figtree"/>
          <w:b w:val="0"/>
          <w:i w:val="0"/>
          <w:sz w:val="22"/>
        </w:rPr>
        <w:t xml:space="preserve"> Full technical documentation, API reference, runbooks, operational procedures, and integration guides. Documentation is updated with each platform release.</w:t>
      </w:r>
    </w:p>
    <w:p>
      <w:r>
        <w:rPr>
          <w:rFonts w:ascii="Figtree" w:hAnsi="Figtree"/>
          <w:b/>
          <w:i w:val="0"/>
          <w:sz w:val="22"/>
        </w:rPr>
        <w:t>Smart Contract Deployment Rights.</w:t>
      </w:r>
      <w:r>
        <w:rPr>
          <w:rFonts w:ascii="Figtree" w:hAnsi="Figtree"/>
          <w:b w:val="0"/>
          <w:i w:val="0"/>
          <w:sz w:val="22"/>
        </w:rPr>
        <w:t xml:space="preserve"> Right to deploy DALP smart contracts on the licensed blockchain networks as configured in the deployment agreement.</w:t>
      </w:r>
    </w:p>
    <w:p>
      <w:pPr>
        <w:pStyle w:val="H3"/>
        <w:numPr>
          <w:ilvl w:val="2"/>
          <w:numId w:val="1"/>
        </w:numPr>
      </w:pPr>
      <w:r>
        <w:t>What the License Does Not Include</w:t>
      </w:r>
    </w:p>
    <w:p>
      <w:r>
        <w:rPr>
          <w:rFonts w:ascii="Figtree" w:hAnsi="Figtree"/>
          <w:b w:val="0"/>
          <w:i w:val="0"/>
          <w:sz w:val="22"/>
        </w:rPr>
        <w:t>The platform license does not include:</w:t>
      </w:r>
    </w:p>
    <w:p>
      <w:pPr>
        <w:pStyle w:val="ListParagraph"/>
        <w:numPr>
          <w:ilvl w:val="0"/>
          <w:numId w:val="4"/>
        </w:numPr>
      </w:pPr>
      <w:r>
        <w:rPr>
          <w:rFonts w:ascii="Figtree" w:hAnsi="Figtree"/>
          <w:b w:val="0"/>
          <w:i w:val="0"/>
          <w:sz w:val="22"/>
        </w:rPr>
        <w:t>Implementation and professional services (priced separately, see Section 4)</w:t>
      </w:r>
    </w:p>
    <w:p>
      <w:pPr>
        <w:pStyle w:val="ListParagraph"/>
        <w:numPr>
          <w:ilvl w:val="0"/>
          <w:numId w:val="4"/>
        </w:numPr>
      </w:pPr>
      <w:r>
        <w:rPr>
          <w:rFonts w:ascii="Figtree" w:hAnsi="Figtree"/>
          <w:b w:val="0"/>
          <w:i w:val="0"/>
          <w:sz w:val="22"/>
        </w:rPr>
        <w:t>Cloud or on-premises infrastructure costs (pass-through at cost for managed services; borne by client for private cloud or on-premises)</w:t>
      </w:r>
    </w:p>
    <w:p>
      <w:pPr>
        <w:pStyle w:val="ListParagraph"/>
        <w:numPr>
          <w:ilvl w:val="0"/>
          <w:numId w:val="4"/>
        </w:numPr>
      </w:pPr>
      <w:r>
        <w:rPr>
          <w:rFonts w:ascii="Figtree" w:hAnsi="Figtree"/>
          <w:b w:val="0"/>
          <w:i w:val="0"/>
          <w:sz w:val="22"/>
        </w:rPr>
        <w:t>Third-party software licenses (KYC systems, payment rail connectors, HSM software, custody providers)</w:t>
      </w:r>
    </w:p>
    <w:p>
      <w:pPr>
        <w:pStyle w:val="ListParagraph"/>
        <w:numPr>
          <w:ilvl w:val="0"/>
          <w:numId w:val="4"/>
        </w:numPr>
      </w:pPr>
      <w:r>
        <w:rPr>
          <w:rFonts w:ascii="Figtree" w:hAnsi="Figtree"/>
          <w:b w:val="0"/>
          <w:i w:val="0"/>
          <w:sz w:val="22"/>
        </w:rPr>
        <w:t>Custom smart contract development beyond the standard DALP catalog</w:t>
      </w:r>
    </w:p>
    <w:p>
      <w:pPr>
        <w:pStyle w:val="H3"/>
        <w:numPr>
          <w:ilvl w:val="2"/>
          <w:numId w:val="1"/>
        </w:numPr>
      </w:pPr>
      <w:r>
        <w:t>License Terms</w:t>
      </w:r>
    </w:p>
    <w:p>
      <w:pPr>
        <w:pStyle w:val="ListParagraph"/>
        <w:numPr>
          <w:ilvl w:val="0"/>
          <w:numId w:val="4"/>
        </w:numPr>
      </w:pPr>
      <w:r>
        <w:rPr>
          <w:rFonts w:ascii="Figtree" w:hAnsi="Figtree"/>
          <w:b w:val="0"/>
          <w:i w:val="0"/>
          <w:sz w:val="22"/>
        </w:rPr>
        <w:t>License term: minimum 12 months, renewable annually</w:t>
      </w:r>
    </w:p>
    <w:p>
      <w:pPr>
        <w:pStyle w:val="ListParagraph"/>
        <w:numPr>
          <w:ilvl w:val="0"/>
          <w:numId w:val="4"/>
        </w:numPr>
      </w:pPr>
      <w:r>
        <w:rPr>
          <w:rFonts w:ascii="Figtree" w:hAnsi="Figtree"/>
          <w:b w:val="0"/>
          <w:i w:val="0"/>
          <w:sz w:val="22"/>
        </w:rPr>
        <w:t>License is non-transferable and non-sublicensable</w:t>
      </w:r>
    </w:p>
    <w:p>
      <w:pPr>
        <w:pStyle w:val="ListParagraph"/>
        <w:numPr>
          <w:ilvl w:val="0"/>
          <w:numId w:val="4"/>
        </w:numPr>
      </w:pPr>
      <w:r>
        <w:rPr>
          <w:rFonts w:ascii="Figtree" w:hAnsi="Figtree"/>
          <w:b w:val="0"/>
          <w:i w:val="0"/>
          <w:sz w:val="22"/>
        </w:rPr>
        <w:t>License is scoped to the specific environments and blockchain networks defined in the deployment agreement</w:t>
      </w:r>
    </w:p>
    <w:p>
      <w:pPr>
        <w:pStyle w:val="ListParagraph"/>
        <w:numPr>
          <w:ilvl w:val="0"/>
          <w:numId w:val="4"/>
        </w:numPr>
      </w:pPr>
      <w:r>
        <w:rPr>
          <w:rFonts w:ascii="Figtree" w:hAnsi="Figtree"/>
          <w:b w:val="0"/>
          <w:i w:val="0"/>
          <w:sz w:val="22"/>
        </w:rPr>
        <w:t>License does not expire mid-term if the platform is operational; SettleMint will not suspend a live production environment for non-renewal without 90 days' written notice</w:t>
      </w:r>
    </w:p>
    <w:p>
      <w:r>
        <w:br w:type="page"/>
      </w:r>
    </w:p>
    <w:p>
      <w:pPr>
        <w:pStyle w:val="H2"/>
        <w:numPr>
          <w:ilvl w:val="1"/>
          <w:numId w:val="1"/>
        </w:numPr>
      </w:pPr>
      <w:r>
        <w:t>Implementation Investment</w:t>
      </w:r>
    </w:p>
    <w:p>
      <w:pPr>
        <w:pStyle w:val="H3"/>
        <w:numPr>
          <w:ilvl w:val="2"/>
          <w:numId w:val="1"/>
        </w:numPr>
      </w:pPr>
      <w:r>
        <w:t>Implementation Scope</w:t>
      </w:r>
    </w:p>
    <w:p>
      <w:r>
        <w:rPr>
          <w:rFonts w:ascii="Figtree" w:hAnsi="Figtree"/>
          <w:b w:val="0"/>
          <w:i w:val="0"/>
          <w:sz w:val="22"/>
        </w:rPr>
        <w:t>Implementation services cover the delivery of a production-ready DALP deployment for HDFC Bank's tokenized fixed income programme. The implementation follows SettleMint's five-phase methodology (19 weeks) as described in the technical proposal.</w:t>
      </w:r>
    </w:p>
    <w:p>
      <w:pPr>
        <w:pStyle w:val="H3"/>
        <w:numPr>
          <w:ilvl w:val="2"/>
          <w:numId w:val="1"/>
        </w:numPr>
      </w:pPr>
      <w:r>
        <w:t>Implementation Pricing</w:t>
      </w:r>
    </w:p>
    <w:p>
      <w:r>
        <w:rPr>
          <w:rFonts w:ascii="Figtree" w:hAnsi="Figtree"/>
          <w:b w:val="0"/>
          <w:i w:val="0"/>
          <w:sz w:val="22"/>
        </w:rPr>
        <w:t>Implementation costs are specific to HDFC Bank's programme scope, integration complexity, and deployment model. The figures below represent SettleMint's standard ranges for APAC bank deployments of comparable scope. Final pricing is subject to scope validation during Phase 1.</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56"/>
        <w:gridCol w:w="5040"/>
        <w:gridCol w:w="217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Workstream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 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Investment Range</w:t>
            </w:r>
          </w:p>
        </w:tc>
      </w:tr>
      <w:tr>
        <w:trPr>
          <w:trHeight w:val="425" w:hRule="atLeast"/>
        </w:trPr>
        <w:tc>
          <w:tcPr>
            <w:tcW w:type="dxa" w:w="3249"/>
            <w:vAlign w:val="center"/>
          </w:tcPr>
          <w:p>
            <w:pPr>
              <w:spacing w:line="276" w:lineRule="auto" w:before="0" w:after="0"/>
            </w:pPr>
            <w:r/>
            <w:r>
              <w:rPr>
                <w:rFonts w:ascii="Figtree" w:hAnsi="Figtree"/>
                <w:b w:val="0"/>
                <w:i w:val="0"/>
                <w:sz w:val="20"/>
              </w:rPr>
              <w:t>Discovery and Architecture</w:t>
            </w:r>
          </w:p>
        </w:tc>
        <w:tc>
          <w:tcPr>
            <w:tcW w:type="dxa" w:w="3249"/>
            <w:vAlign w:val="center"/>
          </w:tcPr>
          <w:p>
            <w:pPr>
              <w:spacing w:line="276" w:lineRule="auto" w:before="0" w:after="0"/>
            </w:pPr>
            <w:r/>
            <w:r>
              <w:rPr>
                <w:rFonts w:ascii="Figtree" w:hAnsi="Figtree"/>
                <w:b w:val="0"/>
                <w:i w:val="0"/>
                <w:sz w:val="20"/>
              </w:rPr>
              <w:t>Requirements workshops, architecture design, regulatory mapping, compliance blueprint</w:t>
            </w:r>
          </w:p>
        </w:tc>
        <w:tc>
          <w:tcPr>
            <w:tcW w:type="dxa" w:w="3249"/>
            <w:vAlign w:val="center"/>
          </w:tcPr>
          <w:p>
            <w:pPr>
              <w:spacing w:line="276" w:lineRule="auto" w:before="0" w:after="0"/>
            </w:pPr>
            <w:r/>
            <w:r>
              <w:rPr>
                <w:rFonts w:ascii="Figtree" w:hAnsi="Figtree"/>
                <w:b w:val="0"/>
                <w:i w:val="0"/>
                <w:sz w:val="20"/>
              </w:rPr>
              <w:t>[CLIENT-SPECIFIC: scoped at contract]</w:t>
            </w:r>
          </w:p>
        </w:tc>
      </w:tr>
      <w:tr>
        <w:trPr>
          <w:trHeight w:val="425" w:hRule="atLeast"/>
        </w:trPr>
        <w:tc>
          <w:tcPr>
            <w:tcW w:type="dxa" w:w="3249"/>
            <w:vAlign w:val="center"/>
          </w:tcPr>
          <w:p>
            <w:pPr>
              <w:spacing w:line="276" w:lineRule="auto" w:before="0" w:after="0"/>
            </w:pPr>
            <w:r/>
            <w:r>
              <w:rPr>
                <w:rFonts w:ascii="Figtree" w:hAnsi="Figtree"/>
                <w:b w:val="0"/>
                <w:i w:val="0"/>
                <w:sz w:val="20"/>
              </w:rPr>
              <w:t>Foundation and Setup</w:t>
            </w:r>
          </w:p>
        </w:tc>
        <w:tc>
          <w:tcPr>
            <w:tcW w:type="dxa" w:w="3249"/>
            <w:vAlign w:val="center"/>
          </w:tcPr>
          <w:p>
            <w:pPr>
              <w:spacing w:line="276" w:lineRule="auto" w:before="0" w:after="0"/>
            </w:pPr>
            <w:r/>
            <w:r>
              <w:rPr>
                <w:rFonts w:ascii="Figtree" w:hAnsi="Figtree"/>
                <w:b w:val="0"/>
                <w:i w:val="0"/>
                <w:sz w:val="20"/>
              </w:rPr>
              <w:t>Environment provisioning, blockchain network initialization, identity framework</w:t>
            </w:r>
          </w:p>
        </w:tc>
        <w:tc>
          <w:tcPr>
            <w:tcW w:type="dxa" w:w="3249"/>
            <w:vAlign w:val="center"/>
          </w:tcPr>
          <w:p>
            <w:pPr>
              <w:spacing w:line="276" w:lineRule="auto" w:before="0" w:after="0"/>
            </w:pPr>
            <w:r/>
            <w:r>
              <w:rPr>
                <w:rFonts w:ascii="Figtree" w:hAnsi="Figtree"/>
                <w:b w:val="0"/>
                <w:i w:val="0"/>
                <w:sz w:val="20"/>
              </w:rPr>
              <w:t>[CLIENT-SPECIFIC: scoped at contract]</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and Compliance</w:t>
            </w:r>
          </w:p>
        </w:tc>
        <w:tc>
          <w:tcPr>
            <w:tcW w:type="dxa" w:w="3249"/>
            <w:vAlign w:val="center"/>
          </w:tcPr>
          <w:p>
            <w:pPr>
              <w:spacing w:line="276" w:lineRule="auto" w:before="0" w:after="0"/>
            </w:pPr>
            <w:r/>
            <w:r>
              <w:rPr>
                <w:rFonts w:ascii="Figtree" w:hAnsi="Figtree"/>
                <w:b w:val="0"/>
                <w:i w:val="0"/>
                <w:sz w:val="20"/>
              </w:rPr>
              <w:t>Asset template configuration, compliance module setup, workflow configuration</w:t>
            </w:r>
          </w:p>
        </w:tc>
        <w:tc>
          <w:tcPr>
            <w:tcW w:type="dxa" w:w="3249"/>
            <w:vAlign w:val="center"/>
          </w:tcPr>
          <w:p>
            <w:pPr>
              <w:spacing w:line="276" w:lineRule="auto" w:before="0" w:after="0"/>
            </w:pPr>
            <w:r/>
            <w:r>
              <w:rPr>
                <w:rFonts w:ascii="Figtree" w:hAnsi="Figtree"/>
                <w:b w:val="0"/>
                <w:i w:val="0"/>
                <w:sz w:val="20"/>
              </w:rPr>
              <w:t>[CLIENT-SPECIFIC: scoped at contract]</w:t>
            </w:r>
          </w:p>
        </w:tc>
      </w:tr>
      <w:tr>
        <w:trPr>
          <w:trHeight w:val="425" w:hRule="atLeast"/>
        </w:trPr>
        <w:tc>
          <w:tcPr>
            <w:tcW w:type="dxa" w:w="3249"/>
            <w:vAlign w:val="center"/>
          </w:tcPr>
          <w:p>
            <w:pPr>
              <w:spacing w:line="276" w:lineRule="auto" w:before="0" w:after="0"/>
            </w:pPr>
            <w:r/>
            <w:r>
              <w:rPr>
                <w:rFonts w:ascii="Figtree" w:hAnsi="Figtree"/>
                <w:b w:val="0"/>
                <w:i w:val="0"/>
                <w:sz w:val="20"/>
              </w:rPr>
              <w:t>Integration Development</w:t>
            </w:r>
          </w:p>
        </w:tc>
        <w:tc>
          <w:tcPr>
            <w:tcW w:type="dxa" w:w="3249"/>
            <w:vAlign w:val="center"/>
          </w:tcPr>
          <w:p>
            <w:pPr>
              <w:spacing w:line="276" w:lineRule="auto" w:before="0" w:after="0"/>
            </w:pPr>
            <w:r/>
            <w:r>
              <w:rPr>
                <w:rFonts w:ascii="Figtree" w:hAnsi="Figtree"/>
                <w:b w:val="0"/>
                <w:i w:val="0"/>
                <w:sz w:val="20"/>
              </w:rPr>
              <w:t>Finacle GL integration, KYC system integration, RTGS/NDS-OM integration, reporting integrations</w:t>
            </w:r>
          </w:p>
        </w:tc>
        <w:tc>
          <w:tcPr>
            <w:tcW w:type="dxa" w:w="3249"/>
            <w:vAlign w:val="center"/>
          </w:tcPr>
          <w:p>
            <w:pPr>
              <w:spacing w:line="276" w:lineRule="auto" w:before="0" w:after="0"/>
            </w:pPr>
            <w:r/>
            <w:r>
              <w:rPr>
                <w:rFonts w:ascii="Figtree" w:hAnsi="Figtree"/>
                <w:b w:val="0"/>
                <w:i w:val="0"/>
                <w:sz w:val="20"/>
              </w:rPr>
              <w:t>[CLIENT-SPECIFIC: scoped at contract]</w:t>
            </w:r>
          </w:p>
        </w:tc>
      </w:tr>
      <w:tr>
        <w:trPr>
          <w:trHeight w:val="425" w:hRule="atLeast"/>
        </w:trPr>
        <w:tc>
          <w:tcPr>
            <w:tcW w:type="dxa" w:w="3249"/>
            <w:vAlign w:val="center"/>
          </w:tcPr>
          <w:p>
            <w:pPr>
              <w:spacing w:line="276" w:lineRule="auto" w:before="0" w:after="0"/>
            </w:pPr>
            <w:r/>
            <w:r>
              <w:rPr>
                <w:rFonts w:ascii="Figtree" w:hAnsi="Figtree"/>
                <w:b w:val="0"/>
                <w:i w:val="0"/>
                <w:sz w:val="20"/>
              </w:rPr>
              <w:t>Testing and Validation</w:t>
            </w:r>
          </w:p>
        </w:tc>
        <w:tc>
          <w:tcPr>
            <w:tcW w:type="dxa" w:w="3249"/>
            <w:vAlign w:val="center"/>
          </w:tcPr>
          <w:p>
            <w:pPr>
              <w:spacing w:line="276" w:lineRule="auto" w:before="0" w:after="0"/>
            </w:pPr>
            <w:r/>
            <w:r>
              <w:rPr>
                <w:rFonts w:ascii="Figtree" w:hAnsi="Figtree"/>
                <w:b w:val="0"/>
                <w:i w:val="0"/>
                <w:sz w:val="20"/>
              </w:rPr>
              <w:t>SIT, UAT support, performance testing, security testing, regulatory documentation</w:t>
            </w:r>
          </w:p>
        </w:tc>
        <w:tc>
          <w:tcPr>
            <w:tcW w:type="dxa" w:w="3249"/>
            <w:vAlign w:val="center"/>
          </w:tcPr>
          <w:p>
            <w:pPr>
              <w:spacing w:line="276" w:lineRule="auto" w:before="0" w:after="0"/>
            </w:pPr>
            <w:r/>
            <w:r>
              <w:rPr>
                <w:rFonts w:ascii="Figtree" w:hAnsi="Figtree"/>
                <w:b w:val="0"/>
                <w:i w:val="0"/>
                <w:sz w:val="20"/>
              </w:rPr>
              <w:t>[CLIENT-SPECIFIC: scoped at contract]</w:t>
            </w:r>
          </w:p>
        </w:tc>
      </w:tr>
      <w:tr>
        <w:trPr>
          <w:trHeight w:val="425" w:hRule="atLeast"/>
        </w:trPr>
        <w:tc>
          <w:tcPr>
            <w:tcW w:type="dxa" w:w="3249"/>
            <w:vAlign w:val="center"/>
          </w:tcPr>
          <w:p>
            <w:pPr>
              <w:spacing w:line="276" w:lineRule="auto" w:before="0" w:after="0"/>
            </w:pPr>
            <w:r/>
            <w:r>
              <w:rPr>
                <w:rFonts w:ascii="Figtree" w:hAnsi="Figtree"/>
                <w:b w:val="0"/>
                <w:i w:val="0"/>
                <w:sz w:val="20"/>
              </w:rPr>
              <w:t>Go-Live and Hypercare</w:t>
            </w:r>
          </w:p>
        </w:tc>
        <w:tc>
          <w:tcPr>
            <w:tcW w:type="dxa" w:w="3249"/>
            <w:vAlign w:val="center"/>
          </w:tcPr>
          <w:p>
            <w:pPr>
              <w:spacing w:line="276" w:lineRule="auto" w:before="0" w:after="0"/>
            </w:pPr>
            <w:r/>
            <w:r>
              <w:rPr>
                <w:rFonts w:ascii="Figtree" w:hAnsi="Figtree"/>
                <w:b w:val="0"/>
                <w:i w:val="0"/>
                <w:sz w:val="20"/>
              </w:rPr>
              <w:t>Production deployment, go-live support, knowledge transfer, 4 weeks intensive post-go-live</w:t>
            </w:r>
          </w:p>
        </w:tc>
        <w:tc>
          <w:tcPr>
            <w:tcW w:type="dxa" w:w="3249"/>
            <w:vAlign w:val="center"/>
          </w:tcPr>
          <w:p>
            <w:pPr>
              <w:spacing w:line="276" w:lineRule="auto" w:before="0" w:after="0"/>
            </w:pPr>
            <w:r/>
            <w:r>
              <w:rPr>
                <w:rFonts w:ascii="Figtree" w:hAnsi="Figtree"/>
                <w:b w:val="0"/>
                <w:i w:val="0"/>
                <w:sz w:val="20"/>
              </w:rPr>
              <w:t>[CLIENT-SPECIFIC: scoped at contract]</w:t>
            </w:r>
          </w:p>
        </w:tc>
      </w:tr>
      <w:tr>
        <w:trPr>
          <w:trHeight w:val="425" w:hRule="atLeast"/>
        </w:trPr>
        <w:tc>
          <w:tcPr>
            <w:tcW w:type="dxa" w:w="3249"/>
            <w:vAlign w:val="center"/>
          </w:tcPr>
          <w:p>
            <w:pPr>
              <w:spacing w:line="276" w:lineRule="auto" w:before="0" w:after="0"/>
            </w:pPr>
            <w:r/>
            <w:r>
              <w:rPr>
                <w:rFonts w:ascii="Figtree" w:hAnsi="Figtree"/>
                <w:b w:val="0"/>
                <w:i w:val="0"/>
                <w:sz w:val="20"/>
              </w:rPr>
              <w:t>Training</w:t>
            </w:r>
          </w:p>
        </w:tc>
        <w:tc>
          <w:tcPr>
            <w:tcW w:type="dxa" w:w="3249"/>
            <w:vAlign w:val="center"/>
          </w:tcPr>
          <w:p>
            <w:pPr>
              <w:spacing w:line="276" w:lineRule="auto" w:before="0" w:after="0"/>
            </w:pPr>
            <w:r/>
            <w:r>
              <w:rPr>
                <w:rFonts w:ascii="Figtree" w:hAnsi="Figtree"/>
                <w:b w:val="0"/>
                <w:i w:val="0"/>
                <w:sz w:val="20"/>
              </w:rPr>
              <w:t>Platform administration, operations, compliance officer, developer, train-the-trainer</w:t>
            </w:r>
          </w:p>
        </w:tc>
        <w:tc>
          <w:tcPr>
            <w:tcW w:type="dxa" w:w="3249"/>
            <w:vAlign w:val="center"/>
          </w:tcPr>
          <w:p>
            <w:pPr>
              <w:spacing w:line="276" w:lineRule="auto" w:before="0" w:after="0"/>
            </w:pPr>
            <w:r/>
            <w:r>
              <w:rPr>
                <w:rFonts w:ascii="Figtree" w:hAnsi="Figtree"/>
                <w:b w:val="0"/>
                <w:i w:val="0"/>
                <w:sz w:val="20"/>
              </w:rPr>
              <w:t>[CLIENT-SPECIFIC: scoped at contract]</w:t>
            </w:r>
          </w:p>
        </w:tc>
      </w:tr>
      <w:tr>
        <w:trPr>
          <w:trHeight w:val="425" w:hRule="atLeast"/>
        </w:trPr>
        <w:tc>
          <w:tcPr>
            <w:tcW w:type="dxa" w:w="3249"/>
            <w:vAlign w:val="center"/>
          </w:tcPr>
          <w:p>
            <w:pPr>
              <w:spacing w:line="276" w:lineRule="auto" w:before="0" w:after="0"/>
            </w:pPr>
            <w:r/>
            <w:r>
              <w:rPr>
                <w:rFonts w:ascii="Figtree" w:hAnsi="Figtree"/>
                <w:b/>
                <w:i w:val="0"/>
                <w:sz w:val="20"/>
              </w:rPr>
              <w:t>Total Implementation Investment</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i w:val="0"/>
                <w:sz w:val="20"/>
              </w:rPr>
              <w:t>[CLIENT-SPECIFIC: scoped at contract]</w:t>
            </w:r>
          </w:p>
        </w:tc>
      </w:tr>
    </w:tbl>
    <w:p>
      <w:pPr>
        <w:spacing w:before="0" w:after="0" w:line="120" w:lineRule="exact"/>
      </w:pPr>
    </w:p>
    <w:p>
      <w:r>
        <w:rPr>
          <w:rFonts w:ascii="Figtree" w:hAnsi="Figtree"/>
          <w:b w:val="0"/>
          <w:i w:val="0"/>
          <w:sz w:val="22"/>
        </w:rPr>
        <w:t>&gt; Implementation pricing is marked [CLIENT-SPECIFIC] and will be confirmed during scoping. For context: SettleMint's comparable APAC bank implementations for regulated tokenized fixed income programmes have ranged from €400,000 to €900,000 depending on integration complexity, number of instrument types, and regulatory scope.</w:t>
      </w:r>
    </w:p>
    <w:p>
      <w:pPr>
        <w:pStyle w:val="H3"/>
        <w:numPr>
          <w:ilvl w:val="2"/>
          <w:numId w:val="1"/>
        </w:numPr>
      </w:pPr>
      <w:r>
        <w:t>Fixed-Price vs. Time-and-Materials</w:t>
      </w:r>
    </w:p>
    <w:p>
      <w:r>
        <w:rPr>
          <w:rFonts w:ascii="Figtree" w:hAnsi="Figtree"/>
          <w:b w:val="0"/>
          <w:i w:val="0"/>
          <w:sz w:val="22"/>
        </w:rPr>
        <w:t xml:space="preserve">SettleMint offers implementation services on a </w:t>
      </w:r>
      <w:r>
        <w:rPr>
          <w:rFonts w:ascii="Figtree" w:hAnsi="Figtree"/>
          <w:b/>
          <w:i w:val="0"/>
          <w:sz w:val="22"/>
        </w:rPr>
        <w:t>fixed-price basis</w:t>
      </w:r>
      <w:r>
        <w:rPr>
          <w:rFonts w:ascii="Figtree" w:hAnsi="Figtree"/>
          <w:b w:val="0"/>
          <w:i w:val="0"/>
          <w:sz w:val="22"/>
        </w:rPr>
        <w:t xml:space="preserve"> for defined-scope workstreams. The fixed-price model requires a detailed scope agreement at the start of each phase. Out-of-scope work is managed through a formal change control process.</w:t>
      </w:r>
    </w:p>
    <w:p>
      <w:r>
        <w:rPr>
          <w:rFonts w:ascii="Figtree" w:hAnsi="Figtree"/>
          <w:b w:val="0"/>
          <w:i w:val="0"/>
          <w:sz w:val="22"/>
        </w:rPr>
        <w:t>Time-and-materials pricing is available for discovery phases and for open-ended integration workstreams where scope is not determinable in advance. The specific pricing model for each workstream is agreed during the commercial negotiation.</w:t>
      </w:r>
    </w:p>
    <w:p>
      <w:r>
        <w:br w:type="page"/>
      </w:r>
    </w:p>
    <w:p>
      <w:pPr>
        <w:pStyle w:val="H2"/>
        <w:numPr>
          <w:ilvl w:val="1"/>
          <w:numId w:val="1"/>
        </w:numPr>
      </w:pPr>
      <w:r>
        <w:t>Support and Maintenance</w:t>
      </w:r>
    </w:p>
    <w:p>
      <w:pPr>
        <w:pStyle w:val="H3"/>
        <w:numPr>
          <w:ilvl w:val="2"/>
          <w:numId w:val="1"/>
        </w:numPr>
      </w:pPr>
      <w:r>
        <w:t>Recommended Support Tier: Enterprise</w:t>
      </w:r>
    </w:p>
    <w:p>
      <w:r>
        <w:rPr>
          <w:rFonts w:ascii="Figtree" w:hAnsi="Figtree"/>
          <w:b w:val="0"/>
          <w:i w:val="0"/>
          <w:sz w:val="22"/>
        </w:rPr>
        <w:t xml:space="preserve">SettleMint recommends the </w:t>
      </w:r>
      <w:r>
        <w:rPr>
          <w:rFonts w:ascii="Figtree" w:hAnsi="Figtree"/>
          <w:b/>
          <w:i w:val="0"/>
          <w:sz w:val="22"/>
        </w:rPr>
        <w:t>Enterprise Support</w:t>
      </w:r>
      <w:r>
        <w:rPr>
          <w:rFonts w:ascii="Figtree" w:hAnsi="Figtree"/>
          <w:b w:val="0"/>
          <w:i w:val="0"/>
          <w:sz w:val="22"/>
        </w:rPr>
        <w:t xml:space="preserve"> tier for HDFC Bank's production deployment. This tier provides: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77"/>
        <w:gridCol w:w="549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Support</w:t>
            </w:r>
          </w:p>
        </w:tc>
      </w:tr>
      <w:tr>
        <w:trPr>
          <w:trHeight w:val="425" w:hRule="atLeast"/>
        </w:trPr>
        <w:tc>
          <w:tcPr>
            <w:tcW w:type="dxa" w:w="4873"/>
            <w:vAlign w:val="center"/>
          </w:tcPr>
          <w:p>
            <w:pPr>
              <w:spacing w:line="276" w:lineRule="auto" w:before="0" w:after="0"/>
            </w:pPr>
            <w:r/>
            <w:r>
              <w:rPr>
                <w:rFonts w:ascii="Figtree" w:hAnsi="Figtree"/>
                <w:b w:val="0"/>
                <w:i w:val="0"/>
                <w:sz w:val="20"/>
              </w:rPr>
              <w:t>Coverage Hours</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P2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Named Contacts</w:t>
            </w:r>
          </w:p>
        </w:tc>
        <w:tc>
          <w:tcPr>
            <w:tcW w:type="dxa" w:w="4873"/>
            <w:vAlign w:val="center"/>
          </w:tcPr>
          <w:p>
            <w:pPr>
              <w:spacing w:line="276" w:lineRule="auto" w:before="0" w:after="0"/>
            </w:pPr>
            <w:r/>
            <w:r>
              <w:rPr>
                <w:rFonts w:ascii="Figtree" w:hAnsi="Figtree"/>
                <w:b w:val="0"/>
                <w:i w:val="0"/>
                <w:sz w:val="20"/>
              </w:rPr>
              <w:t>Unlimited</w:t>
            </w:r>
          </w:p>
        </w:tc>
      </w:tr>
      <w:tr>
        <w:trPr>
          <w:trHeight w:val="425" w:hRule="atLeast"/>
        </w:trPr>
        <w:tc>
          <w:tcPr>
            <w:tcW w:type="dxa" w:w="4873"/>
            <w:vAlign w:val="center"/>
          </w:tcPr>
          <w:p>
            <w:pPr>
              <w:spacing w:line="276" w:lineRule="auto" w:before="0" w:after="0"/>
            </w:pPr>
            <w:r/>
            <w:r>
              <w:rPr>
                <w:rFonts w:ascii="Figtree" w:hAnsi="Figtree"/>
                <w:b w:val="0"/>
                <w:i w:val="0"/>
                <w:sz w:val="20"/>
              </w:rPr>
              <w:t>Account Management</w:t>
            </w:r>
          </w:p>
        </w:tc>
        <w:tc>
          <w:tcPr>
            <w:tcW w:type="dxa" w:w="4873"/>
            <w:vAlign w:val="center"/>
          </w:tcPr>
          <w:p>
            <w:pPr>
              <w:spacing w:line="276" w:lineRule="auto" w:before="0" w:after="0"/>
            </w:pPr>
            <w:r/>
            <w:r>
              <w:rPr>
                <w:rFonts w:ascii="Figtree" w:hAnsi="Figtree"/>
                <w:b w:val="0"/>
                <w:i w:val="0"/>
                <w:sz w:val="20"/>
              </w:rPr>
              <w:t>Bi-weekly review, named CSM</w:t>
            </w:r>
          </w:p>
        </w:tc>
      </w:tr>
      <w:tr>
        <w:trPr>
          <w:trHeight w:val="425" w:hRule="atLeast"/>
        </w:trPr>
        <w:tc>
          <w:tcPr>
            <w:tcW w:type="dxa" w:w="4873"/>
            <w:vAlign w:val="center"/>
          </w:tcPr>
          <w:p>
            <w:pPr>
              <w:spacing w:line="276" w:lineRule="auto" w:before="0" w:after="0"/>
            </w:pPr>
            <w:r/>
            <w:r>
              <w:rPr>
                <w:rFonts w:ascii="Figtree" w:hAnsi="Figtree"/>
                <w:b w:val="0"/>
                <w:i w:val="0"/>
                <w:sz w:val="20"/>
              </w:rPr>
              <w:t>Designated Support Team</w:t>
            </w:r>
          </w:p>
        </w:tc>
        <w:tc>
          <w:tcPr>
            <w:tcW w:type="dxa" w:w="4873"/>
            <w:vAlign w:val="center"/>
          </w:tcPr>
          <w:p>
            <w:pPr>
              <w:spacing w:line="276" w:lineRule="auto" w:before="0" w:after="0"/>
            </w:pPr>
            <w:r/>
            <w:r>
              <w:rPr>
                <w:rFonts w:ascii="Figtree" w:hAnsi="Figtree"/>
                <w:b w:val="0"/>
                <w:i w:val="0"/>
                <w:sz w:val="20"/>
              </w:rPr>
              <w:t>Named team, deep deployment familiarity</w:t>
            </w:r>
          </w:p>
        </w:tc>
      </w:tr>
      <w:tr>
        <w:trPr>
          <w:trHeight w:val="425" w:hRule="atLeast"/>
        </w:trPr>
        <w:tc>
          <w:tcPr>
            <w:tcW w:type="dxa" w:w="4873"/>
            <w:vAlign w:val="center"/>
          </w:tcPr>
          <w:p>
            <w:pPr>
              <w:spacing w:line="276" w:lineRule="auto" w:before="0" w:after="0"/>
            </w:pPr>
            <w:r/>
            <w:r>
              <w:rPr>
                <w:rFonts w:ascii="Figtree" w:hAnsi="Figtree"/>
                <w:b w:val="0"/>
                <w:i w:val="0"/>
                <w:sz w:val="20"/>
              </w:rPr>
              <w:t>Solution Architect Access</w:t>
            </w:r>
          </w:p>
        </w:tc>
        <w:tc>
          <w:tcPr>
            <w:tcW w:type="dxa" w:w="4873"/>
            <w:vAlign w:val="center"/>
          </w:tcPr>
          <w:p>
            <w:pPr>
              <w:spacing w:line="276" w:lineRule="auto" w:before="0" w:after="0"/>
            </w:pPr>
            <w:r/>
            <w:r>
              <w:rPr>
                <w:rFonts w:ascii="Figtree" w:hAnsi="Figtree"/>
                <w:b w:val="0"/>
                <w:i w:val="0"/>
                <w:sz w:val="20"/>
              </w:rPr>
              <w:t>Quarterly architecture reviews</w:t>
            </w:r>
          </w:p>
        </w:tc>
      </w:tr>
    </w:tbl>
    <w:p>
      <w:pPr>
        <w:spacing w:before="0" w:after="0" w:line="120" w:lineRule="exact"/>
      </w:pPr>
    </w:p>
    <w:p>
      <w:pPr>
        <w:pStyle w:val="H3"/>
        <w:numPr>
          <w:ilvl w:val="2"/>
          <w:numId w:val="1"/>
        </w:numPr>
      </w:pPr>
      <w:r>
        <w:t>Support Costs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827"/>
        <w:gridCol w:w="424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Support Element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Cost</w:t>
            </w:r>
          </w:p>
        </w:tc>
      </w:tr>
      <w:tr>
        <w:trPr>
          <w:trHeight w:val="425" w:hRule="atLeast"/>
        </w:trPr>
        <w:tc>
          <w:tcPr>
            <w:tcW w:type="dxa" w:w="4873"/>
            <w:vAlign w:val="center"/>
          </w:tcPr>
          <w:p>
            <w:pPr>
              <w:spacing w:line="276" w:lineRule="auto" w:before="0" w:after="0"/>
            </w:pPr>
            <w:r/>
            <w:r>
              <w:rPr>
                <w:rFonts w:ascii="Figtree" w:hAnsi="Figtree"/>
                <w:b w:val="0"/>
                <w:i w:val="0"/>
                <w:sz w:val="20"/>
              </w:rPr>
              <w:t>Enterprise Support (included with Enterprise license tier)</w:t>
            </w:r>
          </w:p>
        </w:tc>
        <w:tc>
          <w:tcPr>
            <w:tcW w:type="dxa" w:w="4873"/>
            <w:vAlign w:val="center"/>
          </w:tcPr>
          <w:p>
            <w:pPr>
              <w:spacing w:line="276" w:lineRule="auto" w:before="0" w:after="0"/>
            </w:pPr>
            <w:r/>
            <w:r>
              <w:rPr>
                <w:rFonts w:ascii="Figtree" w:hAnsi="Figtree"/>
                <w:b w:val="0"/>
                <w:i w:val="0"/>
                <w:sz w:val="20"/>
              </w:rPr>
              <w:t>[CLIENT-SPECIFIC: included or add-on based on tier]</w:t>
            </w:r>
          </w:p>
        </w:tc>
      </w:tr>
      <w:tr>
        <w:trPr>
          <w:trHeight w:val="425" w:hRule="atLeast"/>
        </w:trPr>
        <w:tc>
          <w:tcPr>
            <w:tcW w:type="dxa" w:w="4873"/>
            <w:vAlign w:val="center"/>
          </w:tcPr>
          <w:p>
            <w:pPr>
              <w:spacing w:line="276" w:lineRule="auto" w:before="0" w:after="0"/>
            </w:pPr>
            <w:r/>
            <w:r>
              <w:rPr>
                <w:rFonts w:ascii="Figtree" w:hAnsi="Figtree"/>
                <w:b w:val="0"/>
                <w:i w:val="0"/>
                <w:sz w:val="20"/>
              </w:rPr>
              <w:t>Designated Support Engineer (add-on)</w:t>
            </w:r>
          </w:p>
        </w:tc>
        <w:tc>
          <w:tcPr>
            <w:tcW w:type="dxa" w:w="4873"/>
            <w:vAlign w:val="center"/>
          </w:tcPr>
          <w:p>
            <w:pPr>
              <w:spacing w:line="276" w:lineRule="auto" w:before="0" w:after="0"/>
            </w:pPr>
            <w:r/>
            <w:r>
              <w:rPr>
                <w:rFonts w:ascii="Figtree" w:hAnsi="Figtree"/>
                <w:b w:val="0"/>
                <w:i w:val="0"/>
                <w:sz w:val="20"/>
              </w:rPr>
              <w:t>[CLIENT-SPECIFIC: scoped at contract]</w:t>
            </w:r>
          </w:p>
        </w:tc>
      </w:tr>
      <w:tr>
        <w:trPr>
          <w:trHeight w:val="425" w:hRule="atLeast"/>
        </w:trPr>
        <w:tc>
          <w:tcPr>
            <w:tcW w:type="dxa" w:w="4873"/>
            <w:vAlign w:val="center"/>
          </w:tcPr>
          <w:p>
            <w:pPr>
              <w:spacing w:line="276" w:lineRule="auto" w:before="0" w:after="0"/>
            </w:pPr>
            <w:r/>
            <w:r>
              <w:rPr>
                <w:rFonts w:ascii="Figtree" w:hAnsi="Figtree"/>
                <w:b w:val="0"/>
                <w:i w:val="0"/>
                <w:sz w:val="20"/>
              </w:rPr>
              <w:t>On-site support days (annual pool)</w:t>
            </w:r>
          </w:p>
        </w:tc>
        <w:tc>
          <w:tcPr>
            <w:tcW w:type="dxa" w:w="4873"/>
            <w:vAlign w:val="center"/>
          </w:tcPr>
          <w:p>
            <w:pPr>
              <w:spacing w:line="276" w:lineRule="auto" w:before="0" w:after="0"/>
            </w:pPr>
            <w:r/>
            <w:r>
              <w:rPr>
                <w:rFonts w:ascii="Figtree" w:hAnsi="Figtree"/>
                <w:b w:val="0"/>
                <w:i w:val="0"/>
                <w:sz w:val="20"/>
              </w:rPr>
              <w:t>[CLIENT-SPECIFIC: scoped at contract]</w:t>
            </w:r>
          </w:p>
        </w:tc>
      </w:tr>
    </w:tbl>
    <w:p>
      <w:pPr>
        <w:spacing w:before="0" w:after="0" w:line="120" w:lineRule="exact"/>
      </w:pPr>
    </w:p>
    <w:p>
      <w:r>
        <w:rPr>
          <w:rFonts w:ascii="Figtree" w:hAnsi="Figtree"/>
          <w:b w:val="0"/>
          <w:i w:val="0"/>
          <w:sz w:val="22"/>
        </w:rPr>
        <w:t>&gt; Note: For the Enterprise licensing tier, base Enterprise Support coverage is included in the license fee. Additional support elements (dedicated support engineer, on-site days) are scoped per engagement.</w:t>
      </w:r>
    </w:p>
    <w:p>
      <w:r>
        <w:br w:type="page"/>
      </w:r>
    </w:p>
    <w:p>
      <w:pPr>
        <w:pStyle w:val="H2"/>
        <w:numPr>
          <w:ilvl w:val="1"/>
          <w:numId w:val="1"/>
        </w:numPr>
      </w:pPr>
      <w:r>
        <w:t>Total Cost of Ownership</w:t>
      </w:r>
    </w:p>
    <w:p>
      <w:pPr>
        <w:pStyle w:val="H3"/>
        <w:numPr>
          <w:ilvl w:val="2"/>
          <w:numId w:val="1"/>
        </w:numPr>
      </w:pPr>
      <w:r>
        <w:t>Three-Year TCO Model</w:t>
      </w:r>
    </w:p>
    <w:p>
      <w:r>
        <w:rPr>
          <w:rFonts w:ascii="Figtree" w:hAnsi="Figtree"/>
          <w:b w:val="0"/>
          <w:i w:val="0"/>
          <w:sz w:val="22"/>
        </w:rPr>
        <w:t>The table below presents indicative three-year total cost of ownership for HDFC Bank's tokenized fixed income deployment. Implementation costs are one-time; license and support costs recur annually. Infrastructure costs are HDFC Bank's own cloud spend (pass-through).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66"/>
        <w:gridCol w:w="1475"/>
        <w:gridCol w:w="1253"/>
        <w:gridCol w:w="1253"/>
        <w:gridCol w:w="162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(3 environments)</w:t>
            </w:r>
          </w:p>
        </w:tc>
        <w:tc>
          <w:tcPr>
            <w:tcW w:type="dxa" w:w="1949"/>
            <w:vAlign w:val="center"/>
          </w:tcPr>
          <w:p>
            <w:pPr>
              <w:spacing w:line="276" w:lineRule="auto" w:before="0" w:after="0"/>
            </w:pPr>
            <w:r/>
            <w:r>
              <w:rPr>
                <w:rFonts w:ascii="Figtree" w:hAnsi="Figtree"/>
                <w:b w:val="0"/>
                <w:i w:val="0"/>
                <w:sz w:val="20"/>
              </w:rPr>
              <w:t>€540,000</w:t>
            </w:r>
          </w:p>
        </w:tc>
        <w:tc>
          <w:tcPr>
            <w:tcW w:type="dxa" w:w="1949"/>
            <w:vAlign w:val="center"/>
          </w:tcPr>
          <w:p>
            <w:pPr>
              <w:spacing w:line="276" w:lineRule="auto" w:before="0" w:after="0"/>
            </w:pPr>
            <w:r/>
            <w:r>
              <w:rPr>
                <w:rFonts w:ascii="Figtree" w:hAnsi="Figtree"/>
                <w:b w:val="0"/>
                <w:i w:val="0"/>
                <w:sz w:val="20"/>
              </w:rPr>
              <w:t>€540,000</w:t>
            </w:r>
          </w:p>
        </w:tc>
        <w:tc>
          <w:tcPr>
            <w:tcW w:type="dxa" w:w="1949"/>
            <w:vAlign w:val="center"/>
          </w:tcPr>
          <w:p>
            <w:pPr>
              <w:spacing w:line="276" w:lineRule="auto" w:before="0" w:after="0"/>
            </w:pPr>
            <w:r/>
            <w:r>
              <w:rPr>
                <w:rFonts w:ascii="Figtree" w:hAnsi="Figtree"/>
                <w:b w:val="0"/>
                <w:i w:val="0"/>
                <w:sz w:val="20"/>
              </w:rPr>
              <w:t>€540,000</w:t>
            </w:r>
          </w:p>
        </w:tc>
        <w:tc>
          <w:tcPr>
            <w:tcW w:type="dxa" w:w="1949"/>
            <w:vAlign w:val="center"/>
          </w:tcPr>
          <w:p>
            <w:pPr>
              <w:spacing w:line="276" w:lineRule="auto" w:before="0" w:after="0"/>
            </w:pPr>
            <w:r/>
            <w:r>
              <w:rPr>
                <w:rFonts w:ascii="Figtree" w:hAnsi="Figtree"/>
                <w:b w:val="0"/>
                <w:i w:val="0"/>
                <w:sz w:val="20"/>
              </w:rPr>
              <w:t>€1,620,000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Support and Maintenance</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(Cloud — HDFC Bank pass-through)</w:t>
            </w:r>
          </w:p>
        </w:tc>
        <w:tc>
          <w:tcPr>
            <w:tcW w:type="dxa" w:w="1949"/>
            <w:vAlign w:val="center"/>
          </w:tcPr>
          <w:p>
            <w:pPr>
              <w:spacing w:line="276" w:lineRule="auto" w:before="0" w:after="0"/>
            </w:pPr>
            <w:r/>
            <w:r>
              <w:rPr>
                <w:rFonts w:ascii="Figtree" w:hAnsi="Figtree"/>
                <w:b w:val="0"/>
                <w:i w:val="0"/>
                <w:sz w:val="20"/>
              </w:rPr>
              <w:t>Client cost</w:t>
            </w:r>
          </w:p>
        </w:tc>
        <w:tc>
          <w:tcPr>
            <w:tcW w:type="dxa" w:w="1949"/>
            <w:vAlign w:val="center"/>
          </w:tcPr>
          <w:p>
            <w:pPr>
              <w:spacing w:line="276" w:lineRule="auto" w:before="0" w:after="0"/>
            </w:pPr>
            <w:r/>
            <w:r>
              <w:rPr>
                <w:rFonts w:ascii="Figtree" w:hAnsi="Figtree"/>
                <w:b w:val="0"/>
                <w:i w:val="0"/>
                <w:sz w:val="20"/>
              </w:rPr>
              <w:t>Client cost</w:t>
            </w:r>
          </w:p>
        </w:tc>
        <w:tc>
          <w:tcPr>
            <w:tcW w:type="dxa" w:w="1949"/>
            <w:vAlign w:val="center"/>
          </w:tcPr>
          <w:p>
            <w:pPr>
              <w:spacing w:line="276" w:lineRule="auto" w:before="0" w:after="0"/>
            </w:pPr>
            <w:r/>
            <w:r>
              <w:rPr>
                <w:rFonts w:ascii="Figtree" w:hAnsi="Figtree"/>
                <w:b w:val="0"/>
                <w:i w:val="0"/>
                <w:sz w:val="20"/>
              </w:rPr>
              <w:t>Client cost</w:t>
            </w:r>
          </w:p>
        </w:tc>
        <w:tc>
          <w:tcPr>
            <w:tcW w:type="dxa" w:w="1949"/>
            <w:vAlign w:val="center"/>
          </w:tcPr>
          <w:p>
            <w:pPr>
              <w:spacing w:line="276" w:lineRule="auto" w:before="0" w:after="0"/>
            </w:pPr>
            <w:r/>
            <w:r>
              <w:rPr>
                <w:rFonts w:ascii="Figtree" w:hAnsi="Figtree"/>
                <w:b w:val="0"/>
                <w:i w:val="0"/>
                <w:sz w:val="20"/>
              </w:rPr>
              <w:t>Client cost</w:t>
            </w:r>
          </w:p>
        </w:tc>
      </w:tr>
      <w:tr>
        <w:trPr>
          <w:trHeight w:val="425" w:hRule="atLeast"/>
        </w:trPr>
        <w:tc>
          <w:tcPr>
            <w:tcW w:type="dxa" w:w="1949"/>
            <w:vAlign w:val="center"/>
          </w:tcPr>
          <w:p>
            <w:pPr>
              <w:spacing w:line="276" w:lineRule="auto" w:before="0" w:after="0"/>
            </w:pPr>
            <w:r/>
            <w:r>
              <w:rPr>
                <w:rFonts w:ascii="Figtree" w:hAnsi="Figtree"/>
                <w:b/>
                <w:i w:val="0"/>
                <w:sz w:val="20"/>
              </w:rPr>
              <w:t>Total (excl. infrastructure and impl.)</w:t>
            </w:r>
          </w:p>
        </w:tc>
        <w:tc>
          <w:tcPr>
            <w:tcW w:type="dxa" w:w="1949"/>
            <w:vAlign w:val="center"/>
          </w:tcPr>
          <w:p>
            <w:pPr>
              <w:spacing w:line="276" w:lineRule="auto" w:before="0" w:after="0"/>
            </w:pPr>
            <w:r/>
            <w:r>
              <w:rPr>
                <w:rFonts w:ascii="Figtree" w:hAnsi="Figtree"/>
                <w:b/>
                <w:i w:val="0"/>
                <w:sz w:val="20"/>
              </w:rPr>
              <w:t>€540,000 + impl.</w:t>
            </w:r>
          </w:p>
        </w:tc>
        <w:tc>
          <w:tcPr>
            <w:tcW w:type="dxa" w:w="1949"/>
            <w:vAlign w:val="center"/>
          </w:tcPr>
          <w:p>
            <w:pPr>
              <w:spacing w:line="276" w:lineRule="auto" w:before="0" w:after="0"/>
            </w:pPr>
            <w:r/>
            <w:r>
              <w:rPr>
                <w:rFonts w:ascii="Figtree" w:hAnsi="Figtree"/>
                <w:b/>
                <w:i w:val="0"/>
                <w:sz w:val="20"/>
              </w:rPr>
              <w:t>€540,000</w:t>
            </w:r>
          </w:p>
        </w:tc>
        <w:tc>
          <w:tcPr>
            <w:tcW w:type="dxa" w:w="1949"/>
            <w:vAlign w:val="center"/>
          </w:tcPr>
          <w:p>
            <w:pPr>
              <w:spacing w:line="276" w:lineRule="auto" w:before="0" w:after="0"/>
            </w:pPr>
            <w:r/>
            <w:r>
              <w:rPr>
                <w:rFonts w:ascii="Figtree" w:hAnsi="Figtree"/>
                <w:b/>
                <w:i w:val="0"/>
                <w:sz w:val="20"/>
              </w:rPr>
              <w:t>€540,000</w:t>
            </w:r>
          </w:p>
        </w:tc>
        <w:tc>
          <w:tcPr>
            <w:tcW w:type="dxa" w:w="1949"/>
            <w:vAlign w:val="center"/>
          </w:tcPr>
          <w:p>
            <w:pPr>
              <w:spacing w:line="276" w:lineRule="auto" w:before="0" w:after="0"/>
            </w:pPr>
            <w:r/>
            <w:r>
              <w:rPr>
                <w:rFonts w:ascii="Figtree" w:hAnsi="Figtree"/>
                <w:b/>
                <w:i w:val="0"/>
                <w:sz w:val="20"/>
              </w:rPr>
              <w:t>€1,620,000 + impl.</w:t>
            </w:r>
          </w:p>
        </w:tc>
      </w:tr>
    </w:tbl>
    <w:p>
      <w:pPr>
        <w:spacing w:before="0" w:after="0" w:line="120" w:lineRule="exact"/>
      </w:pPr>
    </w:p>
    <w:p>
      <w:r>
        <w:rPr>
          <w:rFonts w:ascii="Figtree" w:hAnsi="Figtree"/>
          <w:b w:val="0"/>
          <w:i w:val="0"/>
          <w:sz w:val="22"/>
        </w:rPr>
        <w:t>&gt; All figures exclude applicable taxes and VAT.</w:t>
      </w:r>
    </w:p>
    <w:p>
      <w:pPr>
        <w:pStyle w:val="H3"/>
        <w:numPr>
          <w:ilvl w:val="2"/>
          <w:numId w:val="1"/>
        </w:numPr>
      </w:pPr>
      <w:r>
        <w:t>Build vs. Buy Analysis</w:t>
      </w:r>
    </w:p>
    <w:p>
      <w:r>
        <w:rPr>
          <w:rFonts w:ascii="Figtree" w:hAnsi="Figtree"/>
          <w:b w:val="0"/>
          <w:i w:val="0"/>
          <w:sz w:val="22"/>
        </w:rPr>
        <w:t>HDFC Bank's evaluation committee will consider whether to build an equivalent platform internally or procure DALP. The following analysis provides directional guidance: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64"/>
        <w:gridCol w:w="3262"/>
        <w:gridCol w:w="29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Build Internally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(SettleMint)</w:t>
            </w:r>
          </w:p>
        </w:tc>
      </w:tr>
      <w:tr>
        <w:trPr>
          <w:trHeight w:val="425" w:hRule="atLeast"/>
        </w:trPr>
        <w:tc>
          <w:tcPr>
            <w:tcW w:type="dxa" w:w="3249"/>
            <w:vAlign w:val="center"/>
          </w:tcPr>
          <w:p>
            <w:pPr>
              <w:spacing w:line="276" w:lineRule="auto" w:before="0" w:after="0"/>
            </w:pPr>
            <w:r/>
            <w:r>
              <w:rPr>
                <w:rFonts w:ascii="Figtree" w:hAnsi="Figtree"/>
                <w:b w:val="0"/>
                <w:i w:val="0"/>
                <w:sz w:val="20"/>
              </w:rPr>
              <w:t>Time to production</w:t>
            </w:r>
          </w:p>
        </w:tc>
        <w:tc>
          <w:tcPr>
            <w:tcW w:type="dxa" w:w="3249"/>
            <w:vAlign w:val="center"/>
          </w:tcPr>
          <w:p>
            <w:pPr>
              <w:spacing w:line="276" w:lineRule="auto" w:before="0" w:after="0"/>
            </w:pPr>
            <w:r/>
            <w:r>
              <w:rPr>
                <w:rFonts w:ascii="Figtree" w:hAnsi="Figtree"/>
                <w:b w:val="0"/>
                <w:i w:val="0"/>
                <w:sz w:val="20"/>
              </w:rPr>
              <w:t>24-36 months (estimated)</w:t>
            </w:r>
          </w:p>
        </w:tc>
        <w:tc>
          <w:tcPr>
            <w:tcW w:type="dxa" w:w="3249"/>
            <w:vAlign w:val="center"/>
          </w:tcPr>
          <w:p>
            <w:pPr>
              <w:spacing w:line="276" w:lineRule="auto" w:before="0" w:after="0"/>
            </w:pPr>
            <w:r/>
            <w:r>
              <w:rPr>
                <w:rFonts w:ascii="Figtree" w:hAnsi="Figtree"/>
                <w:b w:val="0"/>
                <w:i w:val="0"/>
                <w:sz w:val="20"/>
              </w:rPr>
              <w:t>19 weeks</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audit cost</w:t>
            </w:r>
          </w:p>
        </w:tc>
        <w:tc>
          <w:tcPr>
            <w:tcW w:type="dxa" w:w="3249"/>
            <w:vAlign w:val="center"/>
          </w:tcPr>
          <w:p>
            <w:pPr>
              <w:spacing w:line="276" w:lineRule="auto" w:before="0" w:after="0"/>
            </w:pPr>
            <w:r/>
            <w:r>
              <w:rPr>
                <w:rFonts w:ascii="Figtree" w:hAnsi="Figtree"/>
                <w:b w:val="0"/>
                <w:i w:val="0"/>
                <w:sz w:val="20"/>
              </w:rPr>
              <w:t>€300,000-€600,000 (ERC-3643 from scratch)</w:t>
            </w:r>
          </w:p>
        </w:tc>
        <w:tc>
          <w:tcPr>
            <w:tcW w:type="dxa" w:w="3249"/>
            <w:vAlign w:val="center"/>
          </w:tcPr>
          <w:p>
            <w:pPr>
              <w:spacing w:line="276" w:lineRule="auto" w:before="0" w:after="0"/>
            </w:pPr>
            <w:r/>
            <w:r>
              <w:rPr>
                <w:rFonts w:ascii="Figtree" w:hAnsi="Figtree"/>
                <w:b w:val="0"/>
                <w:i w:val="0"/>
                <w:sz w:val="20"/>
              </w:rPr>
              <w:t>Included (audited SMART Protocol)</w:t>
            </w:r>
          </w:p>
        </w:tc>
      </w:tr>
      <w:tr>
        <w:trPr>
          <w:trHeight w:val="425" w:hRule="atLeast"/>
        </w:trPr>
        <w:tc>
          <w:tcPr>
            <w:tcW w:type="dxa" w:w="3249"/>
            <w:vAlign w:val="center"/>
          </w:tcPr>
          <w:p>
            <w:pPr>
              <w:spacing w:line="276" w:lineRule="auto" w:before="0" w:after="0"/>
            </w:pPr>
            <w:r/>
            <w:r>
              <w:rPr>
                <w:rFonts w:ascii="Figtree" w:hAnsi="Figtree"/>
                <w:b w:val="0"/>
                <w:i w:val="0"/>
                <w:sz w:val="20"/>
              </w:rPr>
              <w:t>Compliance module development</w:t>
            </w:r>
          </w:p>
        </w:tc>
        <w:tc>
          <w:tcPr>
            <w:tcW w:type="dxa" w:w="3249"/>
            <w:vAlign w:val="center"/>
          </w:tcPr>
          <w:p>
            <w:pPr>
              <w:spacing w:line="276" w:lineRule="auto" w:before="0" w:after="0"/>
            </w:pPr>
            <w:r/>
            <w:r>
              <w:rPr>
                <w:rFonts w:ascii="Figtree" w:hAnsi="Figtree"/>
                <w:b w:val="0"/>
                <w:i w:val="0"/>
                <w:sz w:val="20"/>
              </w:rPr>
              <w:t>18+ months, specialist team required</w:t>
            </w:r>
          </w:p>
        </w:tc>
        <w:tc>
          <w:tcPr>
            <w:tcW w:type="dxa" w:w="3249"/>
            <w:vAlign w:val="center"/>
          </w:tcPr>
          <w:p>
            <w:pPr>
              <w:spacing w:line="276" w:lineRule="auto" w:before="0" w:after="0"/>
            </w:pPr>
            <w:r/>
            <w:r>
              <w:rPr>
                <w:rFonts w:ascii="Figtree" w:hAnsi="Figtree"/>
                <w:b w:val="0"/>
                <w:i w:val="0"/>
                <w:sz w:val="20"/>
              </w:rPr>
              <w:t>Available immediately, configurable</w:t>
            </w:r>
          </w:p>
        </w:tc>
      </w:tr>
      <w:tr>
        <w:trPr>
          <w:trHeight w:val="425" w:hRule="atLeast"/>
        </w:trPr>
        <w:tc>
          <w:tcPr>
            <w:tcW w:type="dxa" w:w="3249"/>
            <w:vAlign w:val="center"/>
          </w:tcPr>
          <w:p>
            <w:pPr>
              <w:spacing w:line="276" w:lineRule="auto" w:before="0" w:after="0"/>
            </w:pPr>
            <w:r/>
            <w:r>
              <w:rPr>
                <w:rFonts w:ascii="Figtree" w:hAnsi="Figtree"/>
                <w:b w:val="0"/>
                <w:i w:val="0"/>
                <w:sz w:val="20"/>
              </w:rPr>
              <w:t>ISO 27001 / SOC 2</w:t>
            </w:r>
          </w:p>
        </w:tc>
        <w:tc>
          <w:tcPr>
            <w:tcW w:type="dxa" w:w="3249"/>
            <w:vAlign w:val="center"/>
          </w:tcPr>
          <w:p>
            <w:pPr>
              <w:spacing w:line="276" w:lineRule="auto" w:before="0" w:after="0"/>
            </w:pPr>
            <w:r/>
            <w:r>
              <w:rPr>
                <w:rFonts w:ascii="Figtree" w:hAnsi="Figtree"/>
                <w:b w:val="0"/>
                <w:i w:val="0"/>
                <w:sz w:val="20"/>
              </w:rPr>
              <w:t>18-24 months to certify</w:t>
            </w:r>
          </w:p>
        </w:tc>
        <w:tc>
          <w:tcPr>
            <w:tcW w:type="dxa" w:w="3249"/>
            <w:vAlign w:val="center"/>
          </w:tcPr>
          <w:p>
            <w:pPr>
              <w:spacing w:line="276" w:lineRule="auto" w:before="0" w:after="0"/>
            </w:pPr>
            <w:r/>
            <w:r>
              <w:rPr>
                <w:rFonts w:ascii="Figtree" w:hAnsi="Figtree"/>
                <w:b w:val="0"/>
                <w:i w:val="0"/>
                <w:sz w:val="20"/>
              </w:rPr>
              <w:t>Already certified</w:t>
            </w:r>
          </w:p>
        </w:tc>
      </w:tr>
      <w:tr>
        <w:trPr>
          <w:trHeight w:val="425" w:hRule="atLeast"/>
        </w:trPr>
        <w:tc>
          <w:tcPr>
            <w:tcW w:type="dxa" w:w="3249"/>
            <w:vAlign w:val="center"/>
          </w:tcPr>
          <w:p>
            <w:pPr>
              <w:spacing w:line="276" w:lineRule="auto" w:before="0" w:after="0"/>
            </w:pPr>
            <w:r/>
            <w:r>
              <w:rPr>
                <w:rFonts w:ascii="Figtree" w:hAnsi="Figtree"/>
                <w:b w:val="0"/>
                <w:i w:val="0"/>
                <w:sz w:val="20"/>
              </w:rPr>
              <w:t>Regulatory examination documentation</w:t>
            </w:r>
          </w:p>
        </w:tc>
        <w:tc>
          <w:tcPr>
            <w:tcW w:type="dxa" w:w="3249"/>
            <w:vAlign w:val="center"/>
          </w:tcPr>
          <w:p>
            <w:pPr>
              <w:spacing w:line="276" w:lineRule="auto" w:before="0" w:after="0"/>
            </w:pPr>
            <w:r/>
            <w:r>
              <w:rPr>
                <w:rFonts w:ascii="Figtree" w:hAnsi="Figtree"/>
                <w:b w:val="0"/>
                <w:i w:val="0"/>
                <w:sz w:val="20"/>
              </w:rPr>
              <w:t>Created from scratch</w:t>
            </w:r>
          </w:p>
        </w:tc>
        <w:tc>
          <w:tcPr>
            <w:tcW w:type="dxa" w:w="3249"/>
            <w:vAlign w:val="center"/>
          </w:tcPr>
          <w:p>
            <w:pPr>
              <w:spacing w:line="276" w:lineRule="auto" w:before="0" w:after="0"/>
            </w:pPr>
            <w:r/>
            <w:r>
              <w:rPr>
                <w:rFonts w:ascii="Figtree" w:hAnsi="Figtree"/>
                <w:b w:val="0"/>
                <w:i w:val="0"/>
                <w:sz w:val="20"/>
              </w:rPr>
              <w:t>Provided by SettleMint</w:t>
            </w:r>
          </w:p>
        </w:tc>
      </w:tr>
      <w:tr>
        <w:trPr>
          <w:trHeight w:val="425" w:hRule="atLeast"/>
        </w:trPr>
        <w:tc>
          <w:tcPr>
            <w:tcW w:type="dxa" w:w="3249"/>
            <w:vAlign w:val="center"/>
          </w:tcPr>
          <w:p>
            <w:pPr>
              <w:spacing w:line="276" w:lineRule="auto" w:before="0" w:after="0"/>
            </w:pPr>
            <w:r/>
            <w:r>
              <w:rPr>
                <w:rFonts w:ascii="Figtree" w:hAnsi="Figtree"/>
                <w:b w:val="0"/>
                <w:i w:val="0"/>
                <w:sz w:val="20"/>
              </w:rPr>
              <w:t>Ongoing maintenance</w:t>
            </w:r>
          </w:p>
        </w:tc>
        <w:tc>
          <w:tcPr>
            <w:tcW w:type="dxa" w:w="3249"/>
            <w:vAlign w:val="center"/>
          </w:tcPr>
          <w:p>
            <w:pPr>
              <w:spacing w:line="276" w:lineRule="auto" w:before="0" w:after="0"/>
            </w:pPr>
            <w:r/>
            <w:r>
              <w:rPr>
                <w:rFonts w:ascii="Figtree" w:hAnsi="Figtree"/>
                <w:b w:val="0"/>
                <w:i w:val="0"/>
                <w:sz w:val="20"/>
              </w:rPr>
              <w:t>4-8 FTE blockchain engineers</w:t>
            </w:r>
          </w:p>
        </w:tc>
        <w:tc>
          <w:tcPr>
            <w:tcW w:type="dxa" w:w="3249"/>
            <w:vAlign w:val="center"/>
          </w:tcPr>
          <w:p>
            <w:pPr>
              <w:spacing w:line="276" w:lineRule="auto" w:before="0" w:after="0"/>
            </w:pPr>
            <w:r/>
            <w:r>
              <w:rPr>
                <w:rFonts w:ascii="Figtree" w:hAnsi="Figtree"/>
                <w:b w:val="0"/>
                <w:i w:val="0"/>
                <w:sz w:val="20"/>
              </w:rPr>
              <w:t>Covered by license</w:t>
            </w:r>
          </w:p>
        </w:tc>
      </w:tr>
      <w:tr>
        <w:trPr>
          <w:trHeight w:val="425" w:hRule="atLeast"/>
        </w:trPr>
        <w:tc>
          <w:tcPr>
            <w:tcW w:type="dxa" w:w="3249"/>
            <w:vAlign w:val="center"/>
          </w:tcPr>
          <w:p>
            <w:pPr>
              <w:spacing w:line="276" w:lineRule="auto" w:before="0" w:after="0"/>
            </w:pPr>
            <w:r/>
            <w:r>
              <w:rPr>
                <w:rFonts w:ascii="Figtree" w:hAnsi="Figtree"/>
                <w:b w:val="0"/>
                <w:i w:val="0"/>
                <w:sz w:val="20"/>
              </w:rPr>
              <w:t>3-year total cost (build)</w:t>
            </w:r>
          </w:p>
        </w:tc>
        <w:tc>
          <w:tcPr>
            <w:tcW w:type="dxa" w:w="3249"/>
            <w:vAlign w:val="center"/>
          </w:tcPr>
          <w:p>
            <w:pPr>
              <w:spacing w:line="276" w:lineRule="auto" w:before="0" w:after="0"/>
            </w:pPr>
            <w:r/>
            <w:r>
              <w:rPr>
                <w:rFonts w:ascii="Figtree" w:hAnsi="Figtree"/>
                <w:b w:val="0"/>
                <w:i w:val="0"/>
                <w:sz w:val="20"/>
              </w:rPr>
              <w:t>€6M-€12M (conservative estimate)</w:t>
            </w:r>
          </w:p>
        </w:tc>
        <w:tc>
          <w:tcPr>
            <w:tcW w:type="dxa" w:w="3249"/>
            <w:vAlign w:val="center"/>
          </w:tcPr>
          <w:p>
            <w:pPr>
              <w:spacing w:line="276" w:lineRule="auto" w:before="0" w:after="0"/>
            </w:pPr>
            <w:r/>
            <w:r>
              <w:rPr>
                <w:rFonts w:ascii="Figtree" w:hAnsi="Figtree"/>
                <w:b w:val="0"/>
                <w:i w:val="0"/>
                <w:sz w:val="20"/>
              </w:rPr>
              <w:t>€1.6M + impl. + support</w:t>
            </w:r>
          </w:p>
        </w:tc>
      </w:tr>
      <w:tr>
        <w:trPr>
          <w:trHeight w:val="425" w:hRule="atLeast"/>
        </w:trPr>
        <w:tc>
          <w:tcPr>
            <w:tcW w:type="dxa" w:w="3249"/>
            <w:vAlign w:val="center"/>
          </w:tcPr>
          <w:p>
            <w:pPr>
              <w:spacing w:line="276" w:lineRule="auto" w:before="0" w:after="0"/>
            </w:pPr>
            <w:r/>
            <w:r>
              <w:rPr>
                <w:rFonts w:ascii="Figtree" w:hAnsi="Figtree"/>
                <w:b w:val="0"/>
                <w:i w:val="0"/>
                <w:sz w:val="20"/>
              </w:rPr>
              <w:t>Risk of regulatory non-compliance</w:t>
            </w:r>
          </w:p>
        </w:tc>
        <w:tc>
          <w:tcPr>
            <w:tcW w:type="dxa" w:w="3249"/>
            <w:vAlign w:val="center"/>
          </w:tcPr>
          <w:p>
            <w:pPr>
              <w:spacing w:line="276" w:lineRule="auto" w:before="0" w:after="0"/>
            </w:pPr>
            <w:r/>
            <w:r>
              <w:rPr>
                <w:rFonts w:ascii="Figtree" w:hAnsi="Figtree"/>
                <w:b w:val="0"/>
                <w:i w:val="0"/>
                <w:sz w:val="20"/>
              </w:rPr>
              <w:t>High (compliance logic custom-built)</w:t>
            </w:r>
          </w:p>
        </w:tc>
        <w:tc>
          <w:tcPr>
            <w:tcW w:type="dxa" w:w="3249"/>
            <w:vAlign w:val="center"/>
          </w:tcPr>
          <w:p>
            <w:pPr>
              <w:spacing w:line="276" w:lineRule="auto" w:before="0" w:after="0"/>
            </w:pPr>
            <w:r/>
            <w:r>
              <w:rPr>
                <w:rFonts w:ascii="Figtree" w:hAnsi="Figtree"/>
                <w:b w:val="0"/>
                <w:i w:val="0"/>
                <w:sz w:val="20"/>
              </w:rPr>
              <w:t>Low (proven in regulated deployments)</w:t>
            </w:r>
          </w:p>
        </w:tc>
      </w:tr>
    </w:tbl>
    <w:p>
      <w:pPr>
        <w:spacing w:before="0" w:after="0" w:line="120" w:lineRule="exact"/>
      </w:pPr>
    </w:p>
    <w:p>
      <w:pPr>
        <w:pStyle w:val="H3"/>
        <w:numPr>
          <w:ilvl w:val="2"/>
          <w:numId w:val="1"/>
        </w:numPr>
      </w:pPr>
      <w:r>
        <w:t>Infrastructure Cost Guidance</w:t>
      </w:r>
    </w:p>
    <w:p>
      <w:r>
        <w:rPr>
          <w:rFonts w:ascii="Figtree" w:hAnsi="Figtree"/>
          <w:b w:val="0"/>
          <w:i w:val="0"/>
          <w:sz w:val="22"/>
        </w:rPr>
        <w:t>For HDFC Bank's private cloud deployment on AWS Mumbai or Azure India West, indicative infrastructure costs are: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097"/>
        <w:gridCol w:w="497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Estimated Monthly Cost</w:t>
            </w:r>
          </w:p>
        </w:tc>
      </w:tr>
      <w:tr>
        <w:trPr>
          <w:trHeight w:val="425" w:hRule="atLeast"/>
        </w:trPr>
        <w:tc>
          <w:tcPr>
            <w:tcW w:type="dxa" w:w="4873"/>
            <w:vAlign w:val="center"/>
          </w:tcPr>
          <w:p>
            <w:pPr>
              <w:spacing w:line="276" w:lineRule="auto" w:before="0" w:after="0"/>
            </w:pPr>
            <w:r/>
            <w:r>
              <w:rPr>
                <w:rFonts w:ascii="Figtree" w:hAnsi="Figtree"/>
                <w:b w:val="0"/>
                <w:i w:val="0"/>
                <w:sz w:val="20"/>
              </w:rPr>
              <w:t>Kubernetes cluster (production)</w:t>
            </w:r>
          </w:p>
        </w:tc>
        <w:tc>
          <w:tcPr>
            <w:tcW w:type="dxa" w:w="4873"/>
            <w:vAlign w:val="center"/>
          </w:tcPr>
          <w:p>
            <w:pPr>
              <w:spacing w:line="276" w:lineRule="auto" w:before="0" w:after="0"/>
            </w:pPr>
            <w:r/>
            <w:r>
              <w:rPr>
                <w:rFonts w:ascii="Figtree" w:hAnsi="Figtree"/>
                <w:b w:val="0"/>
                <w:i w:val="0"/>
                <w:sz w:val="20"/>
              </w:rPr>
              <w:t>USD 2,000-4,000</w:t>
            </w:r>
          </w:p>
        </w:tc>
      </w:tr>
      <w:tr>
        <w:trPr>
          <w:trHeight w:val="425" w:hRule="atLeast"/>
        </w:trPr>
        <w:tc>
          <w:tcPr>
            <w:tcW w:type="dxa" w:w="4873"/>
            <w:vAlign w:val="center"/>
          </w:tcPr>
          <w:p>
            <w:pPr>
              <w:spacing w:line="276" w:lineRule="auto" w:before="0" w:after="0"/>
            </w:pPr>
            <w:r/>
            <w:r>
              <w:rPr>
                <w:rFonts w:ascii="Figtree" w:hAnsi="Figtree"/>
                <w:b w:val="0"/>
                <w:i w:val="0"/>
                <w:sz w:val="20"/>
              </w:rPr>
              <w:t>Managed PostgreSQL (production)</w:t>
            </w:r>
          </w:p>
        </w:tc>
        <w:tc>
          <w:tcPr>
            <w:tcW w:type="dxa" w:w="4873"/>
            <w:vAlign w:val="center"/>
          </w:tcPr>
          <w:p>
            <w:pPr>
              <w:spacing w:line="276" w:lineRule="auto" w:before="0" w:after="0"/>
            </w:pPr>
            <w:r/>
            <w:r>
              <w:rPr>
                <w:rFonts w:ascii="Figtree" w:hAnsi="Figtree"/>
                <w:b w:val="0"/>
                <w:i w:val="0"/>
                <w:sz w:val="20"/>
              </w:rPr>
              <w:t>USD 500-1,500</w:t>
            </w:r>
          </w:p>
        </w:tc>
      </w:tr>
      <w:tr>
        <w:trPr>
          <w:trHeight w:val="425" w:hRule="atLeast"/>
        </w:trPr>
        <w:tc>
          <w:tcPr>
            <w:tcW w:type="dxa" w:w="4873"/>
            <w:vAlign w:val="center"/>
          </w:tcPr>
          <w:p>
            <w:pPr>
              <w:spacing w:line="276" w:lineRule="auto" w:before="0" w:after="0"/>
            </w:pPr>
            <w:r/>
            <w:r>
              <w:rPr>
                <w:rFonts w:ascii="Figtree" w:hAnsi="Figtree"/>
                <w:b w:val="0"/>
                <w:i w:val="0"/>
                <w:sz w:val="20"/>
              </w:rPr>
              <w:t>Hyperledger Besu nodes (3 validators)</w:t>
            </w:r>
          </w:p>
        </w:tc>
        <w:tc>
          <w:tcPr>
            <w:tcW w:type="dxa" w:w="4873"/>
            <w:vAlign w:val="center"/>
          </w:tcPr>
          <w:p>
            <w:pPr>
              <w:spacing w:line="276" w:lineRule="auto" w:before="0" w:after="0"/>
            </w:pPr>
            <w:r/>
            <w:r>
              <w:rPr>
                <w:rFonts w:ascii="Figtree" w:hAnsi="Figtree"/>
                <w:b w:val="0"/>
                <w:i w:val="0"/>
                <w:sz w:val="20"/>
              </w:rPr>
              <w:t>USD 1,500-3,000</w:t>
            </w:r>
          </w:p>
        </w:tc>
      </w:tr>
      <w:tr>
        <w:trPr>
          <w:trHeight w:val="425" w:hRule="atLeast"/>
        </w:trPr>
        <w:tc>
          <w:tcPr>
            <w:tcW w:type="dxa" w:w="4873"/>
            <w:vAlign w:val="center"/>
          </w:tcPr>
          <w:p>
            <w:pPr>
              <w:spacing w:line="276" w:lineRule="auto" w:before="0" w:after="0"/>
            </w:pPr>
            <w:r/>
            <w:r>
              <w:rPr>
                <w:rFonts w:ascii="Figtree" w:hAnsi="Figtree"/>
                <w:b w:val="0"/>
                <w:i w:val="0"/>
                <w:sz w:val="20"/>
              </w:rPr>
              <w:t>Secret manager / KMS</w:t>
            </w:r>
          </w:p>
        </w:tc>
        <w:tc>
          <w:tcPr>
            <w:tcW w:type="dxa" w:w="4873"/>
            <w:vAlign w:val="center"/>
          </w:tcPr>
          <w:p>
            <w:pPr>
              <w:spacing w:line="276" w:lineRule="auto" w:before="0" w:after="0"/>
            </w:pPr>
            <w:r/>
            <w:r>
              <w:rPr>
                <w:rFonts w:ascii="Figtree" w:hAnsi="Figtree"/>
                <w:b w:val="0"/>
                <w:i w:val="0"/>
                <w:sz w:val="20"/>
              </w:rPr>
              <w:t>USD 200-500</w:t>
            </w:r>
          </w:p>
        </w:tc>
      </w:tr>
      <w:tr>
        <w:trPr>
          <w:trHeight w:val="425" w:hRule="atLeast"/>
        </w:trPr>
        <w:tc>
          <w:tcPr>
            <w:tcW w:type="dxa" w:w="4873"/>
            <w:vAlign w:val="center"/>
          </w:tcPr>
          <w:p>
            <w:pPr>
              <w:spacing w:line="276" w:lineRule="auto" w:before="0" w:after="0"/>
            </w:pPr>
            <w:r/>
            <w:r>
              <w:rPr>
                <w:rFonts w:ascii="Figtree" w:hAnsi="Figtree"/>
                <w:b w:val="0"/>
                <w:i w:val="0"/>
                <w:sz w:val="20"/>
              </w:rPr>
              <w:t>Monitoring (Grafana Cloud or equivalent)</w:t>
            </w:r>
          </w:p>
        </w:tc>
        <w:tc>
          <w:tcPr>
            <w:tcW w:type="dxa" w:w="4873"/>
            <w:vAlign w:val="center"/>
          </w:tcPr>
          <w:p>
            <w:pPr>
              <w:spacing w:line="276" w:lineRule="auto" w:before="0" w:after="0"/>
            </w:pPr>
            <w:r/>
            <w:r>
              <w:rPr>
                <w:rFonts w:ascii="Figtree" w:hAnsi="Figtree"/>
                <w:b w:val="0"/>
                <w:i w:val="0"/>
                <w:sz w:val="20"/>
              </w:rPr>
              <w:t>USD 200-500</w:t>
            </w:r>
          </w:p>
        </w:tc>
      </w:tr>
      <w:tr>
        <w:trPr>
          <w:trHeight w:val="425" w:hRule="atLeast"/>
        </w:trPr>
        <w:tc>
          <w:tcPr>
            <w:tcW w:type="dxa" w:w="4873"/>
            <w:vAlign w:val="center"/>
          </w:tcPr>
          <w:p>
            <w:pPr>
              <w:spacing w:line="276" w:lineRule="auto" w:before="0" w:after="0"/>
            </w:pPr>
            <w:r/>
            <w:r>
              <w:rPr>
                <w:rFonts w:ascii="Figtree" w:hAnsi="Figtree"/>
                <w:b/>
                <w:i w:val="0"/>
                <w:sz w:val="20"/>
              </w:rPr>
              <w:t>Total infrastructure (production only)</w:t>
            </w:r>
          </w:p>
        </w:tc>
        <w:tc>
          <w:tcPr>
            <w:tcW w:type="dxa" w:w="4873"/>
            <w:vAlign w:val="center"/>
          </w:tcPr>
          <w:p>
            <w:pPr>
              <w:spacing w:line="276" w:lineRule="auto" w:before="0" w:after="0"/>
            </w:pPr>
            <w:r/>
            <w:r>
              <w:rPr>
                <w:rFonts w:ascii="Figtree" w:hAnsi="Figtree"/>
                <w:b/>
                <w:i w:val="0"/>
                <w:sz w:val="20"/>
              </w:rPr>
              <w:t>USD 4,400-9,500/month</w:t>
            </w:r>
          </w:p>
        </w:tc>
      </w:tr>
      <w:tr>
        <w:trPr>
          <w:trHeight w:val="425" w:hRule="atLeast"/>
        </w:trPr>
        <w:tc>
          <w:tcPr>
            <w:tcW w:type="dxa" w:w="4873"/>
            <w:vAlign w:val="center"/>
          </w:tcPr>
          <w:p>
            <w:pPr>
              <w:spacing w:line="276" w:lineRule="auto" w:before="0" w:after="0"/>
            </w:pPr>
            <w:r/>
          </w:p>
        </w:tc>
        <w:tc>
          <w:tcPr>
            <w:tcW w:type="dxa" w:w="4873"/>
            <w:vAlign w:val="center"/>
          </w:tcPr>
          <w:p>
            <w:pPr>
              <w:spacing w:line="276" w:lineRule="auto" w:before="0" w:after="0"/>
            </w:pPr>
            <w:r/>
            <w:r>
              <w:rPr>
                <w:rFonts w:ascii="Figtree" w:hAnsi="Figtree"/>
                <w:b/>
                <w:i w:val="0"/>
                <w:sz w:val="20"/>
              </w:rPr>
              <w:t>(approx. INR 3.7L-8.0L/month at 1 USD = 84 INR)</w:t>
            </w:r>
          </w:p>
        </w:tc>
      </w:tr>
    </w:tbl>
    <w:p>
      <w:pPr>
        <w:spacing w:before="0" w:after="0" w:line="120" w:lineRule="exact"/>
      </w:pPr>
    </w:p>
    <w:p>
      <w:r>
        <w:rPr>
          <w:rFonts w:ascii="Figtree" w:hAnsi="Figtree"/>
          <w:b w:val="0"/>
          <w:i w:val="0"/>
          <w:sz w:val="22"/>
        </w:rPr>
        <w:t>&gt; Infrastructure costs are HDFC Bank's own cloud spend and are not marked up by SettleMint. These figures are indicative and depend on instance sizing and cloud provider agreements. INR equivalents are provided at indicative exchange rates and will reflect market rates at time of deployment.</w:t>
      </w:r>
    </w:p>
    <w:p>
      <w:r>
        <w:br w:type="page"/>
      </w:r>
    </w:p>
    <w:p>
      <w:pPr>
        <w:pStyle w:val="H2"/>
        <w:numPr>
          <w:ilvl w:val="1"/>
          <w:numId w:val="1"/>
        </w:numPr>
      </w:pPr>
      <w:r>
        <w:t>Payment Terms and Conditions</w:t>
      </w:r>
    </w:p>
    <w:p>
      <w:pPr>
        <w:pStyle w:val="H3"/>
        <w:numPr>
          <w:ilvl w:val="2"/>
          <w:numId w:val="1"/>
        </w:numPr>
      </w:pPr>
      <w:r>
        <w:t>Platform License Payment</w:t>
      </w:r>
    </w:p>
    <w:p>
      <w:pPr>
        <w:pStyle w:val="ListParagraph"/>
        <w:numPr>
          <w:ilvl w:val="0"/>
          <w:numId w:val="4"/>
        </w:numPr>
      </w:pPr>
      <w:r>
        <w:rPr>
          <w:rFonts w:ascii="Figtree" w:hAnsi="Figtree"/>
          <w:b w:val="0"/>
          <w:i w:val="0"/>
          <w:sz w:val="22"/>
        </w:rPr>
        <w:t xml:space="preserve">Platform license fees are invoiced </w:t>
      </w:r>
      <w:r>
        <w:rPr>
          <w:rFonts w:ascii="Figtree" w:hAnsi="Figtree"/>
          <w:b/>
          <w:i w:val="0"/>
          <w:sz w:val="22"/>
        </w:rPr>
        <w:t>annually, upfront</w:t>
      </w:r>
      <w:r>
        <w:rPr>
          <w:rFonts w:ascii="Figtree" w:hAnsi="Figtree"/>
          <w:b w:val="0"/>
          <w:i w:val="0"/>
          <w:sz w:val="22"/>
        </w:rPr>
        <w:t xml:space="preserve"> at the start of each license year.</w:t>
      </w:r>
    </w:p>
    <w:p>
      <w:pPr>
        <w:pStyle w:val="ListParagraph"/>
        <w:numPr>
          <w:ilvl w:val="0"/>
          <w:numId w:val="4"/>
        </w:numPr>
      </w:pPr>
      <w:r>
        <w:rPr>
          <w:rFonts w:ascii="Figtree" w:hAnsi="Figtree"/>
          <w:b w:val="0"/>
          <w:i w:val="0"/>
          <w:sz w:val="22"/>
        </w:rPr>
        <w:t>Invoice is due net 30 days from invoice date.</w:t>
      </w:r>
    </w:p>
    <w:p>
      <w:pPr>
        <w:pStyle w:val="ListParagraph"/>
        <w:numPr>
          <w:ilvl w:val="0"/>
          <w:numId w:val="4"/>
        </w:numPr>
      </w:pPr>
      <w:r>
        <w:rPr>
          <w:rFonts w:ascii="Figtree" w:hAnsi="Figtree"/>
          <w:b w:val="0"/>
          <w:i w:val="0"/>
          <w:sz w:val="22"/>
        </w:rPr>
        <w:t>The first license year begins on the date the production environment is handed over to HDFC Bank operations.</w:t>
      </w:r>
    </w:p>
    <w:p>
      <w:pPr>
        <w:pStyle w:val="ListParagraph"/>
        <w:numPr>
          <w:ilvl w:val="0"/>
          <w:numId w:val="4"/>
        </w:numPr>
      </w:pPr>
      <w:r>
        <w:rPr>
          <w:rFonts w:ascii="Figtree" w:hAnsi="Figtree"/>
          <w:b w:val="0"/>
          <w:i w:val="0"/>
          <w:sz w:val="22"/>
        </w:rPr>
        <w:t>For the development and staging environments (provisioned earlier in the implementation), a pro-rated license fee applies from provisioning date to the production go-live date, after which the full annual fee applies.</w:t>
      </w:r>
    </w:p>
    <w:p>
      <w:pPr>
        <w:pStyle w:val="H3"/>
        <w:numPr>
          <w:ilvl w:val="2"/>
          <w:numId w:val="1"/>
        </w:numPr>
      </w:pPr>
      <w:r>
        <w:t>Implementation Services Payment</w:t>
      </w:r>
    </w:p>
    <w:p>
      <w:pPr>
        <w:pStyle w:val="ListParagraph"/>
        <w:numPr>
          <w:ilvl w:val="0"/>
          <w:numId w:val="4"/>
        </w:numPr>
      </w:pPr>
      <w:r>
        <w:rPr>
          <w:rFonts w:ascii="Figtree" w:hAnsi="Figtree"/>
          <w:b w:val="0"/>
          <w:i w:val="0"/>
          <w:sz w:val="22"/>
        </w:rPr>
        <w:t>Implementation services are invoiced against defined delivery milestones.</w:t>
      </w:r>
    </w:p>
    <w:p>
      <w:pPr>
        <w:pStyle w:val="ListParagraph"/>
        <w:numPr>
          <w:ilvl w:val="0"/>
          <w:numId w:val="4"/>
        </w:numPr>
      </w:pPr>
      <w:r>
        <w:rPr>
          <w:rFonts w:ascii="Figtree" w:hAnsi="Figtree"/>
          <w:b w:val="0"/>
          <w:i w:val="0"/>
          <w:sz w:val="22"/>
        </w:rPr>
        <w:t>Standard milestone schedule: 25% at contract signature, 25% at Phase 2 completion (environments live), 25% at Phase 4 completion (UAT sign-off), 25% at production go-live.</w:t>
      </w:r>
    </w:p>
    <w:p>
      <w:pPr>
        <w:pStyle w:val="ListParagraph"/>
        <w:numPr>
          <w:ilvl w:val="0"/>
          <w:numId w:val="4"/>
        </w:numPr>
      </w:pPr>
      <w:r>
        <w:rPr>
          <w:rFonts w:ascii="Figtree" w:hAnsi="Figtree"/>
          <w:b w:val="0"/>
          <w:i w:val="0"/>
          <w:sz w:val="22"/>
        </w:rPr>
        <w:t>Alternative milestone schedules available by agreement.</w:t>
      </w:r>
    </w:p>
    <w:p>
      <w:pPr>
        <w:pStyle w:val="ListParagraph"/>
        <w:numPr>
          <w:ilvl w:val="0"/>
          <w:numId w:val="4"/>
        </w:numPr>
      </w:pPr>
      <w:r>
        <w:rPr>
          <w:rFonts w:ascii="Figtree" w:hAnsi="Figtree"/>
          <w:b w:val="0"/>
          <w:i w:val="0"/>
          <w:sz w:val="22"/>
        </w:rPr>
        <w:t>Payment is due net 30 days from invoice date and milestone acceptance.</w:t>
      </w:r>
    </w:p>
    <w:p>
      <w:pPr>
        <w:pStyle w:val="H3"/>
        <w:numPr>
          <w:ilvl w:val="2"/>
          <w:numId w:val="1"/>
        </w:numPr>
      </w:pPr>
      <w:r>
        <w:t>Support and Maintenance Payment</w:t>
      </w:r>
    </w:p>
    <w:p>
      <w:pPr>
        <w:pStyle w:val="ListParagraph"/>
        <w:numPr>
          <w:ilvl w:val="0"/>
          <w:numId w:val="4"/>
        </w:numPr>
      </w:pPr>
      <w:r>
        <w:rPr>
          <w:rFonts w:ascii="Figtree" w:hAnsi="Figtree"/>
          <w:b w:val="0"/>
          <w:i w:val="0"/>
          <w:sz w:val="22"/>
        </w:rPr>
        <w:t>Annual support fees are invoiced at the start of each support year.</w:t>
      </w:r>
    </w:p>
    <w:p>
      <w:pPr>
        <w:pStyle w:val="ListParagraph"/>
        <w:numPr>
          <w:ilvl w:val="0"/>
          <w:numId w:val="4"/>
        </w:numPr>
      </w:pPr>
      <w:r>
        <w:rPr>
          <w:rFonts w:ascii="Figtree" w:hAnsi="Figtree"/>
          <w:b w:val="0"/>
          <w:i w:val="0"/>
          <w:sz w:val="22"/>
        </w:rPr>
        <w:t>The first support year is co-terminus with the first platform license year.</w:t>
      </w:r>
    </w:p>
    <w:p>
      <w:pPr>
        <w:pStyle w:val="ListParagraph"/>
        <w:numPr>
          <w:ilvl w:val="0"/>
          <w:numId w:val="4"/>
        </w:numPr>
      </w:pPr>
      <w:r>
        <w:rPr>
          <w:rFonts w:ascii="Figtree" w:hAnsi="Figtree"/>
          <w:b w:val="0"/>
          <w:i w:val="0"/>
          <w:sz w:val="22"/>
        </w:rPr>
        <w:t>Payment is due net 30 days from invoice date.</w:t>
      </w:r>
    </w:p>
    <w:p>
      <w:pPr>
        <w:pStyle w:val="H3"/>
        <w:numPr>
          <w:ilvl w:val="2"/>
          <w:numId w:val="1"/>
        </w:numPr>
      </w:pPr>
      <w:r>
        <w:t>Currency</w:t>
      </w:r>
    </w:p>
    <w:p>
      <w:pPr>
        <w:pStyle w:val="ListParagraph"/>
        <w:numPr>
          <w:ilvl w:val="0"/>
          <w:numId w:val="4"/>
        </w:numPr>
      </w:pPr>
      <w:r>
        <w:rPr>
          <w:rFonts w:ascii="Figtree" w:hAnsi="Figtree"/>
          <w:b w:val="0"/>
          <w:i w:val="0"/>
          <w:sz w:val="22"/>
        </w:rPr>
        <w:t>All platform license fees are invoiced in EUR.</w:t>
      </w:r>
    </w:p>
    <w:p>
      <w:pPr>
        <w:pStyle w:val="ListParagraph"/>
        <w:numPr>
          <w:ilvl w:val="0"/>
          <w:numId w:val="4"/>
        </w:numPr>
      </w:pPr>
      <w:r>
        <w:rPr>
          <w:rFonts w:ascii="Figtree" w:hAnsi="Figtree"/>
          <w:b w:val="0"/>
          <w:i w:val="0"/>
          <w:sz w:val="22"/>
        </w:rPr>
        <w:t>Implementation services can be invoiced in EUR, USD, SGD, or GBP by agreement.</w:t>
      </w:r>
    </w:p>
    <w:p>
      <w:pPr>
        <w:pStyle w:val="ListParagraph"/>
        <w:numPr>
          <w:ilvl w:val="0"/>
          <w:numId w:val="4"/>
        </w:numPr>
      </w:pPr>
      <w:r>
        <w:rPr>
          <w:rFonts w:ascii="Figtree" w:hAnsi="Figtree"/>
          <w:b w:val="0"/>
          <w:i w:val="0"/>
          <w:sz w:val="22"/>
        </w:rPr>
        <w:t>INR-denominated invoicing is available for entities incorporated in India, subject to applicable tax treatment.</w:t>
      </w:r>
    </w:p>
    <w:p>
      <w:r>
        <w:br w:type="page"/>
      </w:r>
    </w:p>
    <w:p>
      <w:pPr>
        <w:pStyle w:val="H2"/>
        <w:numPr>
          <w:ilvl w:val="1"/>
          <w:numId w:val="1"/>
        </w:numPr>
      </w:pPr>
      <w:r>
        <w:t>Value Analysis and ROI</w:t>
      </w:r>
    </w:p>
    <w:p>
      <w:pPr>
        <w:pStyle w:val="H3"/>
        <w:numPr>
          <w:ilvl w:val="2"/>
          <w:numId w:val="1"/>
        </w:numPr>
      </w:pPr>
      <w:r>
        <w:t>Business Value Framework</w:t>
      </w:r>
    </w:p>
    <w:p>
      <w:r>
        <w:rPr>
          <w:rFonts w:ascii="Figtree" w:hAnsi="Figtree"/>
          <w:b w:val="0"/>
          <w:i w:val="0"/>
          <w:sz w:val="22"/>
        </w:rPr>
        <w:t>HDFC Bank's investment in DALP generates value across four dimensions:</w:t>
      </w:r>
    </w:p>
    <w:p>
      <w:r>
        <w:rPr>
          <w:rFonts w:ascii="Figtree" w:hAnsi="Figtree"/>
          <w:b/>
          <w:i w:val="0"/>
          <w:sz w:val="22"/>
        </w:rPr>
        <w:t>1. Operational Efficiency.</w:t>
      </w:r>
      <w:r>
        <w:rPr>
          <w:rFonts w:ascii="Figtree" w:hAnsi="Figtree"/>
          <w:b w:val="0"/>
          <w:i w:val="0"/>
          <w:sz w:val="22"/>
        </w:rPr>
        <w:t xml:space="preserve"> Tokenized fixed income eliminates manual reconciliation across multiple legacy systems, reduces settlement times from T+2 to T+0, and automates corporate action processing. Based on comparable deployments, institutions capture 60-80% reduction in settlement operations headcount for digitized instrument types.</w:t>
      </w:r>
    </w:p>
    <w:p>
      <w:r>
        <w:rPr>
          <w:rFonts w:ascii="Figtree" w:hAnsi="Figtree"/>
          <w:b/>
          <w:i w:val="0"/>
          <w:sz w:val="22"/>
        </w:rPr>
        <w:t>2. Regulatory Risk Reduction.</w:t>
      </w:r>
      <w:r>
        <w:rPr>
          <w:rFonts w:ascii="Figtree" w:hAnsi="Figtree"/>
          <w:b w:val="0"/>
          <w:i w:val="0"/>
          <w:sz w:val="22"/>
        </w:rPr>
        <w:t xml:space="preserve"> Built-in compliance enforcement at the smart contract layer reduces the risk of compliance failures compared to procedural controls. Immutable audit trails reduce examination preparation time and improve regulator confidence. CERT-In cybersecurity controls are structurally enforced rather than process-dependent.</w:t>
      </w:r>
    </w:p>
    <w:p>
      <w:r>
        <w:rPr>
          <w:rFonts w:ascii="Figtree" w:hAnsi="Figtree"/>
          <w:b/>
          <w:i w:val="0"/>
          <w:sz w:val="22"/>
        </w:rPr>
        <w:t>3. Time to Market.</w:t>
      </w:r>
      <w:r>
        <w:rPr>
          <w:rFonts w:ascii="Figtree" w:hAnsi="Figtree"/>
          <w:b w:val="0"/>
          <w:i w:val="0"/>
          <w:sz w:val="22"/>
        </w:rPr>
        <w:t xml:space="preserve"> A 19-week implementation timeline versus 24-36 months for an internally built solution represents a significant competitive advantage. HDFC Bank captures first-mover position in India's institutional tokenized fixed income market 18-24 months ahead of an internal build timeline.</w:t>
      </w:r>
    </w:p>
    <w:p>
      <w:r>
        <w:rPr>
          <w:rFonts w:ascii="Figtree" w:hAnsi="Figtree"/>
          <w:b/>
          <w:i w:val="0"/>
          <w:sz w:val="22"/>
        </w:rPr>
        <w:t>4. Platform Extensibility.</w:t>
      </w:r>
      <w:r>
        <w:rPr>
          <w:rFonts w:ascii="Figtree" w:hAnsi="Figtree"/>
          <w:b w:val="0"/>
          <w:i w:val="0"/>
          <w:sz w:val="22"/>
        </w:rPr>
        <w:t xml:space="preserve"> DALP's architecture supports expansion to additional asset classes (equity, funds, deposits, stablecoins) and additional markets (GIFT City expansion, international DvP connectivity) without re-platforming. The Year 1 investment creates infrastructure that supports a multi-year product expansion roadmap.</w:t>
      </w:r>
    </w:p>
    <w:p>
      <w:pPr>
        <w:pStyle w:val="H3"/>
        <w:numPr>
          <w:ilvl w:val="2"/>
          <w:numId w:val="1"/>
        </w:numPr>
      </w:pPr>
      <w:r>
        <w:t>ROI Indicators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48"/>
        <w:gridCol w:w="4140"/>
        <w:gridCol w:w="298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Quantification Basis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Indicative Impact</w:t>
            </w:r>
          </w:p>
        </w:tc>
      </w:tr>
      <w:tr>
        <w:trPr>
          <w:trHeight w:val="425" w:hRule="atLeast"/>
        </w:trPr>
        <w:tc>
          <w:tcPr>
            <w:tcW w:type="dxa" w:w="3249"/>
            <w:vAlign w:val="center"/>
          </w:tcPr>
          <w:p>
            <w:pPr>
              <w:spacing w:line="276" w:lineRule="auto" w:before="0" w:after="0"/>
            </w:pPr>
            <w:r/>
            <w:r>
              <w:rPr>
                <w:rFonts w:ascii="Figtree" w:hAnsi="Figtree"/>
                <w:b w:val="0"/>
                <w:i w:val="0"/>
                <w:sz w:val="20"/>
              </w:rPr>
              <w:t>Settlement operations efficiency</w:t>
            </w:r>
          </w:p>
        </w:tc>
        <w:tc>
          <w:tcPr>
            <w:tcW w:type="dxa" w:w="3249"/>
            <w:vAlign w:val="center"/>
          </w:tcPr>
          <w:p>
            <w:pPr>
              <w:spacing w:line="276" w:lineRule="auto" w:before="0" w:after="0"/>
            </w:pPr>
            <w:r/>
            <w:r>
              <w:rPr>
                <w:rFonts w:ascii="Figtree" w:hAnsi="Figtree"/>
                <w:b w:val="0"/>
                <w:i w:val="0"/>
                <w:sz w:val="20"/>
              </w:rPr>
              <w:t>Industry average: 60-70% headcount reduction for digitized workflows</w:t>
            </w:r>
          </w:p>
        </w:tc>
        <w:tc>
          <w:tcPr>
            <w:tcW w:type="dxa" w:w="3249"/>
            <w:vAlign w:val="center"/>
          </w:tcPr>
          <w:p>
            <w:pPr>
              <w:spacing w:line="276" w:lineRule="auto" w:before="0" w:after="0"/>
            </w:pPr>
            <w:r/>
            <w:r>
              <w:rPr>
                <w:rFonts w:ascii="Figtree" w:hAnsi="Figtree"/>
                <w:b w:val="0"/>
                <w:i w:val="0"/>
                <w:sz w:val="20"/>
              </w:rPr>
              <w:t>Significant multi-year FTE savings</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 automation</w:t>
            </w:r>
          </w:p>
        </w:tc>
        <w:tc>
          <w:tcPr>
            <w:tcW w:type="dxa" w:w="3249"/>
            <w:vAlign w:val="center"/>
          </w:tcPr>
          <w:p>
            <w:pPr>
              <w:spacing w:line="276" w:lineRule="auto" w:before="0" w:after="0"/>
            </w:pPr>
            <w:r/>
            <w:r>
              <w:rPr>
                <w:rFonts w:ascii="Figtree" w:hAnsi="Figtree"/>
                <w:b w:val="0"/>
                <w:i w:val="0"/>
                <w:sz w:val="20"/>
              </w:rPr>
              <w:t>Elimination of manual HDFC Bank-to-NSDL/CDSL reconciliation</w:t>
            </w:r>
          </w:p>
        </w:tc>
        <w:tc>
          <w:tcPr>
            <w:tcW w:type="dxa" w:w="3249"/>
            <w:vAlign w:val="center"/>
          </w:tcPr>
          <w:p>
            <w:pPr>
              <w:spacing w:line="276" w:lineRule="auto" w:before="0" w:after="0"/>
            </w:pPr>
            <w:r/>
            <w:r>
              <w:rPr>
                <w:rFonts w:ascii="Figtree" w:hAnsi="Figtree"/>
                <w:b w:val="0"/>
                <w:i w:val="0"/>
                <w:sz w:val="20"/>
              </w:rPr>
              <w:t>2-5 operations FTE equivalent</w:t>
            </w:r>
          </w:p>
        </w:tc>
      </w:tr>
      <w:tr>
        <w:trPr>
          <w:trHeight w:val="425" w:hRule="atLeast"/>
        </w:trPr>
        <w:tc>
          <w:tcPr>
            <w:tcW w:type="dxa" w:w="3249"/>
            <w:vAlign w:val="center"/>
          </w:tcPr>
          <w:p>
            <w:pPr>
              <w:spacing w:line="276" w:lineRule="auto" w:before="0" w:after="0"/>
            </w:pPr>
            <w:r/>
            <w:r>
              <w:rPr>
                <w:rFonts w:ascii="Figtree" w:hAnsi="Figtree"/>
                <w:b w:val="0"/>
                <w:i w:val="0"/>
                <w:sz w:val="20"/>
              </w:rPr>
              <w:t>Time to market advantage</w:t>
            </w:r>
          </w:p>
        </w:tc>
        <w:tc>
          <w:tcPr>
            <w:tcW w:type="dxa" w:w="3249"/>
            <w:vAlign w:val="center"/>
          </w:tcPr>
          <w:p>
            <w:pPr>
              <w:spacing w:line="276" w:lineRule="auto" w:before="0" w:after="0"/>
            </w:pPr>
            <w:r/>
            <w:r>
              <w:rPr>
                <w:rFonts w:ascii="Figtree" w:hAnsi="Figtree"/>
                <w:b w:val="0"/>
                <w:i w:val="0"/>
                <w:sz w:val="20"/>
              </w:rPr>
              <w:t>18-24 month headstart vs. build</w:t>
            </w:r>
          </w:p>
        </w:tc>
        <w:tc>
          <w:tcPr>
            <w:tcW w:type="dxa" w:w="3249"/>
            <w:vAlign w:val="center"/>
          </w:tcPr>
          <w:p>
            <w:pPr>
              <w:spacing w:line="276" w:lineRule="auto" w:before="0" w:after="0"/>
            </w:pPr>
            <w:r/>
            <w:r>
              <w:rPr>
                <w:rFonts w:ascii="Figtree" w:hAnsi="Figtree"/>
                <w:b w:val="0"/>
                <w:i w:val="0"/>
                <w:sz w:val="20"/>
              </w:rPr>
              <w:t>First-mover revenue on new tokenized product line</w:t>
            </w:r>
          </w:p>
        </w:tc>
      </w:tr>
      <w:tr>
        <w:trPr>
          <w:trHeight w:val="425" w:hRule="atLeast"/>
        </w:trPr>
        <w:tc>
          <w:tcPr>
            <w:tcW w:type="dxa" w:w="3249"/>
            <w:vAlign w:val="center"/>
          </w:tcPr>
          <w:p>
            <w:pPr>
              <w:spacing w:line="276" w:lineRule="auto" w:before="0" w:after="0"/>
            </w:pPr>
            <w:r/>
            <w:r>
              <w:rPr>
                <w:rFonts w:ascii="Figtree" w:hAnsi="Figtree"/>
                <w:b w:val="0"/>
                <w:i w:val="0"/>
                <w:sz w:val="20"/>
              </w:rPr>
              <w:t>Regulatory penalty avoidance</w:t>
            </w:r>
          </w:p>
        </w:tc>
        <w:tc>
          <w:tcPr>
            <w:tcW w:type="dxa" w:w="3249"/>
            <w:vAlign w:val="center"/>
          </w:tcPr>
          <w:p>
            <w:pPr>
              <w:spacing w:line="276" w:lineRule="auto" w:before="0" w:after="0"/>
            </w:pPr>
            <w:r/>
            <w:r>
              <w:rPr>
                <w:rFonts w:ascii="Figtree" w:hAnsi="Figtree"/>
                <w:b w:val="0"/>
                <w:i w:val="0"/>
                <w:sz w:val="20"/>
              </w:rPr>
              <w:t>Compliance enforcement structural rather than procedural</w:t>
            </w:r>
          </w:p>
        </w:tc>
        <w:tc>
          <w:tcPr>
            <w:tcW w:type="dxa" w:w="3249"/>
            <w:vAlign w:val="center"/>
          </w:tcPr>
          <w:p>
            <w:pPr>
              <w:spacing w:line="276" w:lineRule="auto" w:before="0" w:after="0"/>
            </w:pPr>
            <w:r/>
            <w:r>
              <w:rPr>
                <w:rFonts w:ascii="Figtree" w:hAnsi="Figtree"/>
                <w:b w:val="0"/>
                <w:i w:val="0"/>
                <w:sz w:val="20"/>
              </w:rPr>
              <w:t>Material risk reduction value</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 cost savings</w:t>
            </w:r>
          </w:p>
        </w:tc>
        <w:tc>
          <w:tcPr>
            <w:tcW w:type="dxa" w:w="3249"/>
            <w:vAlign w:val="center"/>
          </w:tcPr>
          <w:p>
            <w:pPr>
              <w:spacing w:line="276" w:lineRule="auto" w:before="0" w:after="0"/>
            </w:pPr>
            <w:r/>
            <w:r>
              <w:rPr>
                <w:rFonts w:ascii="Figtree" w:hAnsi="Figtree"/>
                <w:b w:val="0"/>
                <w:i w:val="0"/>
                <w:sz w:val="20"/>
              </w:rPr>
              <w:t>Platform vs. build: 3-year cost difference</w:t>
            </w:r>
          </w:p>
        </w:tc>
        <w:tc>
          <w:tcPr>
            <w:tcW w:type="dxa" w:w="3249"/>
            <w:vAlign w:val="center"/>
          </w:tcPr>
          <w:p>
            <w:pPr>
              <w:spacing w:line="276" w:lineRule="auto" w:before="0" w:after="0"/>
            </w:pPr>
            <w:r/>
            <w:r>
              <w:rPr>
                <w:rFonts w:ascii="Figtree" w:hAnsi="Figtree"/>
                <w:b w:val="0"/>
                <w:i w:val="0"/>
                <w:sz w:val="20"/>
              </w:rPr>
              <w:t>€4M-€10M (conservative)</w:t>
            </w:r>
          </w:p>
        </w:tc>
      </w:tr>
    </w:tbl>
    <w:p>
      <w:pPr>
        <w:spacing w:before="0" w:after="0" w:line="120" w:lineRule="exact"/>
      </w:pPr>
    </w:p>
    <w:p>
      <w:pPr>
        <w:pStyle w:val="H3"/>
        <w:numPr>
          <w:ilvl w:val="2"/>
          <w:numId w:val="1"/>
        </w:numPr>
      </w:pPr>
      <w:r>
        <w:t>Reference for ROI Validation</w:t>
      </w:r>
    </w:p>
    <w:p>
      <w:r>
        <w:rPr>
          <w:rFonts w:ascii="Figtree" w:hAnsi="Figtree"/>
          <w:b w:val="0"/>
          <w:i w:val="0"/>
          <w:sz w:val="22"/>
        </w:rPr>
        <w:t>SettleMint is prepared to facilitate reference conversations with existing clients who have completed comparable deployments under NDA. This provides HDFC Bank's evaluation committee with direct evidence of realized operational benefits rather than projected estimates.</w:t>
      </w:r>
    </w:p>
    <w:p>
      <w:r>
        <w:br w:type="page"/>
      </w:r>
    </w:p>
    <w:p>
      <w:pPr>
        <w:pStyle w:val="H2"/>
        <w:numPr>
          <w:ilvl w:val="1"/>
          <w:numId w:val="1"/>
        </w:numPr>
      </w:pPr>
      <w:r>
        <w:t>Contract Framework</w:t>
      </w:r>
    </w:p>
    <w:p>
      <w:pPr>
        <w:pStyle w:val="H3"/>
        <w:numPr>
          <w:ilvl w:val="2"/>
          <w:numId w:val="1"/>
        </w:numPr>
      </w:pPr>
      <w:r>
        <w:t>Contract Structure</w:t>
      </w:r>
    </w:p>
    <w:p>
      <w:r>
        <w:rPr>
          <w:rFonts w:ascii="Figtree" w:hAnsi="Figtree"/>
          <w:b w:val="0"/>
          <w:i w:val="0"/>
          <w:sz w:val="22"/>
        </w:rPr>
        <w:t>The commercial engagement between SettleMint and HDFC Bank is governed by the following contract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31"/>
        <w:gridCol w:w="594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Document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4873"/>
            <w:vAlign w:val="center"/>
          </w:tcPr>
          <w:p>
            <w:pPr>
              <w:spacing w:line="276" w:lineRule="auto" w:before="0" w:after="0"/>
            </w:pPr>
            <w:r/>
            <w:r>
              <w:rPr>
                <w:rFonts w:ascii="Figtree" w:hAnsi="Figtree"/>
                <w:b w:val="0"/>
                <w:i w:val="0"/>
                <w:sz w:val="20"/>
              </w:rPr>
              <w:t>Master Services Agreement (MSA)</w:t>
            </w:r>
          </w:p>
        </w:tc>
        <w:tc>
          <w:tcPr>
            <w:tcW w:type="dxa" w:w="4873"/>
            <w:vAlign w:val="center"/>
          </w:tcPr>
          <w:p>
            <w:pPr>
              <w:spacing w:line="276" w:lineRule="auto" w:before="0" w:after="0"/>
            </w:pPr>
            <w:r/>
            <w:r>
              <w:rPr>
                <w:rFonts w:ascii="Figtree" w:hAnsi="Figtree"/>
                <w:b w:val="0"/>
                <w:i w:val="0"/>
                <w:sz w:val="20"/>
              </w:rPr>
              <w:t>Governing terms, IP ownership, liability, confidentiality</w:t>
            </w:r>
          </w:p>
        </w:tc>
      </w:tr>
      <w:tr>
        <w:trPr>
          <w:trHeight w:val="425" w:hRule="atLeast"/>
        </w:trPr>
        <w:tc>
          <w:tcPr>
            <w:tcW w:type="dxa" w:w="4873"/>
            <w:vAlign w:val="center"/>
          </w:tcPr>
          <w:p>
            <w:pPr>
              <w:spacing w:line="276" w:lineRule="auto" w:before="0" w:after="0"/>
            </w:pPr>
            <w:r/>
            <w:r>
              <w:rPr>
                <w:rFonts w:ascii="Figtree" w:hAnsi="Figtree"/>
                <w:b w:val="0"/>
                <w:i w:val="0"/>
                <w:sz w:val="20"/>
              </w:rPr>
              <w:t>Platform License Agreement</w:t>
            </w:r>
          </w:p>
        </w:tc>
        <w:tc>
          <w:tcPr>
            <w:tcW w:type="dxa" w:w="4873"/>
            <w:vAlign w:val="center"/>
          </w:tcPr>
          <w:p>
            <w:pPr>
              <w:spacing w:line="276" w:lineRule="auto" w:before="0" w:after="0"/>
            </w:pPr>
            <w:r/>
            <w:r>
              <w:rPr>
                <w:rFonts w:ascii="Figtree" w:hAnsi="Figtree"/>
                <w:b w:val="0"/>
                <w:i w:val="0"/>
                <w:sz w:val="20"/>
              </w:rPr>
              <w:t>License scope, permitted use, restrictions, audit rights</w:t>
            </w:r>
          </w:p>
        </w:tc>
      </w:tr>
      <w:tr>
        <w:trPr>
          <w:trHeight w:val="425" w:hRule="atLeast"/>
        </w:trPr>
        <w:tc>
          <w:tcPr>
            <w:tcW w:type="dxa" w:w="4873"/>
            <w:vAlign w:val="center"/>
          </w:tcPr>
          <w:p>
            <w:pPr>
              <w:spacing w:line="276" w:lineRule="auto" w:before="0" w:after="0"/>
            </w:pPr>
            <w:r/>
            <w:r>
              <w:rPr>
                <w:rFonts w:ascii="Figtree" w:hAnsi="Figtree"/>
                <w:b w:val="0"/>
                <w:i w:val="0"/>
                <w:sz w:val="20"/>
              </w:rPr>
              <w:t>Statement of Work (SOW)</w:t>
            </w:r>
          </w:p>
        </w:tc>
        <w:tc>
          <w:tcPr>
            <w:tcW w:type="dxa" w:w="4873"/>
            <w:vAlign w:val="center"/>
          </w:tcPr>
          <w:p>
            <w:pPr>
              <w:spacing w:line="276" w:lineRule="auto" w:before="0" w:after="0"/>
            </w:pPr>
            <w:r/>
            <w:r>
              <w:rPr>
                <w:rFonts w:ascii="Figtree" w:hAnsi="Figtree"/>
                <w:b w:val="0"/>
                <w:i w:val="0"/>
                <w:sz w:val="20"/>
              </w:rPr>
              <w:t>Implementation scope, deliverables, milestones, acceptance criteria</w:t>
            </w:r>
          </w:p>
        </w:tc>
      </w:tr>
      <w:tr>
        <w:trPr>
          <w:trHeight w:val="425" w:hRule="atLeast"/>
        </w:trPr>
        <w:tc>
          <w:tcPr>
            <w:tcW w:type="dxa" w:w="4873"/>
            <w:vAlign w:val="center"/>
          </w:tcPr>
          <w:p>
            <w:pPr>
              <w:spacing w:line="276" w:lineRule="auto" w:before="0" w:after="0"/>
            </w:pPr>
            <w:r/>
            <w:r>
              <w:rPr>
                <w:rFonts w:ascii="Figtree" w:hAnsi="Figtree"/>
                <w:b w:val="0"/>
                <w:i w:val="0"/>
                <w:sz w:val="20"/>
              </w:rPr>
              <w:t>Support Agreement</w:t>
            </w:r>
          </w:p>
        </w:tc>
        <w:tc>
          <w:tcPr>
            <w:tcW w:type="dxa" w:w="4873"/>
            <w:vAlign w:val="center"/>
          </w:tcPr>
          <w:p>
            <w:pPr>
              <w:spacing w:line="276" w:lineRule="auto" w:before="0" w:after="0"/>
            </w:pPr>
            <w:r/>
            <w:r>
              <w:rPr>
                <w:rFonts w:ascii="Figtree" w:hAnsi="Figtree"/>
                <w:b w:val="0"/>
                <w:i w:val="0"/>
                <w:sz w:val="20"/>
              </w:rPr>
              <w:t>Support tier, SLA terms, escalation procedures</w:t>
            </w:r>
          </w:p>
        </w:tc>
      </w:tr>
      <w:tr>
        <w:trPr>
          <w:trHeight w:val="425" w:hRule="atLeast"/>
        </w:trPr>
        <w:tc>
          <w:tcPr>
            <w:tcW w:type="dxa" w:w="4873"/>
            <w:vAlign w:val="center"/>
          </w:tcPr>
          <w:p>
            <w:pPr>
              <w:spacing w:line="276" w:lineRule="auto" w:before="0" w:after="0"/>
            </w:pPr>
            <w:r/>
            <w:r>
              <w:rPr>
                <w:rFonts w:ascii="Figtree" w:hAnsi="Figtree"/>
                <w:b w:val="0"/>
                <w:i w:val="0"/>
                <w:sz w:val="20"/>
              </w:rPr>
              <w:t>Data Processing Agreement (DPA)</w:t>
            </w:r>
          </w:p>
        </w:tc>
        <w:tc>
          <w:tcPr>
            <w:tcW w:type="dxa" w:w="4873"/>
            <w:vAlign w:val="center"/>
          </w:tcPr>
          <w:p>
            <w:pPr>
              <w:spacing w:line="276" w:lineRule="auto" w:before="0" w:after="0"/>
            </w:pPr>
            <w:r/>
            <w:r>
              <w:rPr>
                <w:rFonts w:ascii="Figtree" w:hAnsi="Figtree"/>
                <w:b w:val="0"/>
                <w:i w:val="0"/>
                <w:sz w:val="20"/>
              </w:rPr>
              <w:t>GDPR/data protection obligations where personal data is processed</w:t>
            </w:r>
          </w:p>
        </w:tc>
      </w:tr>
    </w:tbl>
    <w:p>
      <w:pPr>
        <w:spacing w:before="0" w:after="0" w:line="120" w:lineRule="exact"/>
      </w:pPr>
    </w:p>
    <w:p>
      <w:pPr>
        <w:pStyle w:val="H3"/>
        <w:numPr>
          <w:ilvl w:val="2"/>
          <w:numId w:val="1"/>
        </w:numPr>
      </w:pPr>
      <w:r>
        <w:t>Warranty Terms</w:t>
      </w:r>
    </w:p>
    <w:p>
      <w:r>
        <w:rPr>
          <w:rFonts w:ascii="Figtree" w:hAnsi="Figtree"/>
          <w:b w:val="0"/>
          <w:i w:val="0"/>
          <w:sz w:val="22"/>
        </w:rPr>
        <w:t>SettleMint provides the following warranties under the engagement: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82"/>
        <w:gridCol w:w="1682"/>
        <w:gridCol w:w="570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Warranty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Period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r>
      <w:tr>
        <w:trPr>
          <w:trHeight w:val="425" w:hRule="atLeast"/>
        </w:trPr>
        <w:tc>
          <w:tcPr>
            <w:tcW w:type="dxa" w:w="3249"/>
            <w:vAlign w:val="center"/>
          </w:tcPr>
          <w:p>
            <w:pPr>
              <w:spacing w:line="276" w:lineRule="auto" w:before="0" w:after="0"/>
            </w:pPr>
            <w:r/>
            <w:r>
              <w:rPr>
                <w:rFonts w:ascii="Figtree" w:hAnsi="Figtree"/>
                <w:b w:val="0"/>
                <w:i w:val="0"/>
                <w:sz w:val="20"/>
              </w:rPr>
              <w:t>Platform software warranty</w:t>
            </w:r>
          </w:p>
        </w:tc>
        <w:tc>
          <w:tcPr>
            <w:tcW w:type="dxa" w:w="3249"/>
            <w:vAlign w:val="center"/>
          </w:tcPr>
          <w:p>
            <w:pPr>
              <w:spacing w:line="276" w:lineRule="auto" w:before="0" w:after="0"/>
            </w:pPr>
            <w:r/>
            <w:r>
              <w:rPr>
                <w:rFonts w:ascii="Figtree" w:hAnsi="Figtree"/>
                <w:b w:val="0"/>
                <w:i w:val="0"/>
                <w:sz w:val="20"/>
              </w:rPr>
              <w:t>12 months from go-live</w:t>
            </w:r>
          </w:p>
        </w:tc>
        <w:tc>
          <w:tcPr>
            <w:tcW w:type="dxa" w:w="3249"/>
            <w:vAlign w:val="center"/>
          </w:tcPr>
          <w:p>
            <w:pPr>
              <w:spacing w:line="276" w:lineRule="auto" w:before="0" w:after="0"/>
            </w:pPr>
            <w:r/>
            <w:r>
              <w:rPr>
                <w:rFonts w:ascii="Figtree" w:hAnsi="Figtree"/>
                <w:b w:val="0"/>
                <w:i w:val="0"/>
                <w:sz w:val="20"/>
              </w:rPr>
              <w:t>Defects in DALP platform functionality corrected at no additional charge</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warranty</w:t>
            </w:r>
          </w:p>
        </w:tc>
        <w:tc>
          <w:tcPr>
            <w:tcW w:type="dxa" w:w="3249"/>
            <w:vAlign w:val="center"/>
          </w:tcPr>
          <w:p>
            <w:pPr>
              <w:spacing w:line="276" w:lineRule="auto" w:before="0" w:after="0"/>
            </w:pPr>
            <w:r/>
            <w:r>
              <w:rPr>
                <w:rFonts w:ascii="Figtree" w:hAnsi="Figtree"/>
                <w:b w:val="0"/>
                <w:i w:val="0"/>
                <w:sz w:val="20"/>
              </w:rPr>
              <w:t>90 days from UAT sign-off</w:t>
            </w:r>
          </w:p>
        </w:tc>
        <w:tc>
          <w:tcPr>
            <w:tcW w:type="dxa" w:w="3249"/>
            <w:vAlign w:val="center"/>
          </w:tcPr>
          <w:p>
            <w:pPr>
              <w:spacing w:line="276" w:lineRule="auto" w:before="0" w:after="0"/>
            </w:pPr>
            <w:r/>
            <w:r>
              <w:rPr>
                <w:rFonts w:ascii="Figtree" w:hAnsi="Figtree"/>
                <w:b w:val="0"/>
                <w:i w:val="0"/>
                <w:sz w:val="20"/>
              </w:rPr>
              <w:t>Defects in configuration, integration, or delivered artefacts corrected at no additional charge</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correctness</w:t>
            </w:r>
          </w:p>
        </w:tc>
        <w:tc>
          <w:tcPr>
            <w:tcW w:type="dxa" w:w="3249"/>
            <w:vAlign w:val="center"/>
          </w:tcPr>
          <w:p>
            <w:pPr>
              <w:spacing w:line="276" w:lineRule="auto" w:before="0" w:after="0"/>
            </w:pPr>
            <w:r/>
            <w:r>
              <w:rPr>
                <w:rFonts w:ascii="Figtree" w:hAnsi="Figtree"/>
                <w:b w:val="0"/>
                <w:i w:val="0"/>
                <w:sz w:val="20"/>
              </w:rPr>
              <w:t>Continuous (under license)</w:t>
            </w:r>
          </w:p>
        </w:tc>
        <w:tc>
          <w:tcPr>
            <w:tcW w:type="dxa" w:w="3249"/>
            <w:vAlign w:val="center"/>
          </w:tcPr>
          <w:p>
            <w:pPr>
              <w:spacing w:line="276" w:lineRule="auto" w:before="0" w:after="0"/>
            </w:pPr>
            <w:r/>
            <w:r>
              <w:rPr>
                <w:rFonts w:ascii="Figtree" w:hAnsi="Figtree"/>
                <w:b w:val="0"/>
                <w:i w:val="0"/>
                <w:sz w:val="20"/>
              </w:rPr>
              <w:t>Compliance engine and token logic operate per documented specifications</w:t>
            </w:r>
          </w:p>
        </w:tc>
      </w:tr>
      <w:tr>
        <w:trPr>
          <w:trHeight w:val="425" w:hRule="atLeast"/>
        </w:trPr>
        <w:tc>
          <w:tcPr>
            <w:tcW w:type="dxa" w:w="3249"/>
            <w:vAlign w:val="center"/>
          </w:tcPr>
          <w:p>
            <w:pPr>
              <w:spacing w:line="276" w:lineRule="auto" w:before="0" w:after="0"/>
            </w:pPr>
            <w:r/>
            <w:r>
              <w:rPr>
                <w:rFonts w:ascii="Figtree" w:hAnsi="Figtree"/>
                <w:b w:val="0"/>
                <w:i w:val="0"/>
                <w:sz w:val="20"/>
              </w:rPr>
              <w:t>SLA compliance</w:t>
            </w:r>
          </w:p>
        </w:tc>
        <w:tc>
          <w:tcPr>
            <w:tcW w:type="dxa" w:w="3249"/>
            <w:vAlign w:val="center"/>
          </w:tcPr>
          <w:p>
            <w:pPr>
              <w:spacing w:line="276" w:lineRule="auto" w:before="0" w:after="0"/>
            </w:pPr>
            <w:r/>
            <w:r>
              <w:rPr>
                <w:rFonts w:ascii="Figtree" w:hAnsi="Figtree"/>
                <w:b w:val="0"/>
                <w:i w:val="0"/>
                <w:sz w:val="20"/>
              </w:rPr>
              <w:t>Per support tier</w:t>
            </w:r>
          </w:p>
        </w:tc>
        <w:tc>
          <w:tcPr>
            <w:tcW w:type="dxa" w:w="3249"/>
            <w:vAlign w:val="center"/>
          </w:tcPr>
          <w:p>
            <w:pPr>
              <w:spacing w:line="276" w:lineRule="auto" w:before="0" w:after="0"/>
            </w:pPr>
            <w:r/>
            <w:r>
              <w:rPr>
                <w:rFonts w:ascii="Figtree" w:hAnsi="Figtree"/>
                <w:b w:val="0"/>
                <w:i w:val="0"/>
                <w:sz w:val="20"/>
              </w:rPr>
              <w:t>SLA credits issued for uptime shortfalls per Enterprise Support tier terms</w:t>
            </w:r>
          </w:p>
        </w:tc>
      </w:tr>
    </w:tbl>
    <w:p>
      <w:pPr>
        <w:spacing w:before="0" w:after="0" w:line="120" w:lineRule="exact"/>
      </w:pPr>
    </w:p>
    <w:p>
      <w:r>
        <w:rPr>
          <w:rFonts w:ascii="Figtree" w:hAnsi="Figtree"/>
          <w:b w:val="0"/>
          <w:i w:val="0"/>
          <w:sz w:val="22"/>
        </w:rPr>
        <w:t>Warranty exclusions: defects caused by HDFC Bank modifications to DALP configurations without SettleMint guidance, third-party system failures, force majeure, and changes to HDFC Bank's infrastructure that affect DALP operation without prior SettleMint consultation.</w:t>
      </w:r>
    </w:p>
    <w:p>
      <w:pPr>
        <w:pStyle w:val="H3"/>
        <w:numPr>
          <w:ilvl w:val="2"/>
          <w:numId w:val="1"/>
        </w:numPr>
      </w:pPr>
      <w:r>
        <w:t>IP Ownership</w:t>
      </w:r>
    </w:p>
    <w:p>
      <w:pPr>
        <w:pStyle w:val="ListParagraph"/>
        <w:numPr>
          <w:ilvl w:val="0"/>
          <w:numId w:val="4"/>
        </w:numPr>
      </w:pPr>
      <w:r>
        <w:rPr>
          <w:rFonts w:ascii="Figtree" w:hAnsi="Figtree"/>
          <w:b w:val="0"/>
          <w:i w:val="0"/>
          <w:sz w:val="22"/>
        </w:rPr>
        <w:t>DALP platform software and smart contracts: SettleMint's intellectual property</w:t>
      </w:r>
    </w:p>
    <w:p>
      <w:pPr>
        <w:pStyle w:val="ListParagraph"/>
        <w:numPr>
          <w:ilvl w:val="0"/>
          <w:numId w:val="4"/>
        </w:numPr>
      </w:pPr>
      <w:r>
        <w:rPr>
          <w:rFonts w:ascii="Figtree" w:hAnsi="Figtree"/>
          <w:b w:val="0"/>
          <w:i w:val="0"/>
          <w:sz w:val="22"/>
        </w:rPr>
        <w:t>Client configurations, data, and business logic: HDFC Bank's intellectual property</w:t>
      </w:r>
    </w:p>
    <w:p>
      <w:pPr>
        <w:pStyle w:val="ListParagraph"/>
        <w:numPr>
          <w:ilvl w:val="0"/>
          <w:numId w:val="4"/>
        </w:numPr>
      </w:pPr>
      <w:r>
        <w:rPr>
          <w:rFonts w:ascii="Figtree" w:hAnsi="Figtree"/>
          <w:b w:val="0"/>
          <w:i w:val="0"/>
          <w:sz w:val="22"/>
        </w:rPr>
        <w:t>Integration code developed for HDFC Bank: jointly owned or HDFC Bank-owned by agreement</w:t>
      </w:r>
    </w:p>
    <w:p>
      <w:pPr>
        <w:pStyle w:val="ListParagraph"/>
        <w:numPr>
          <w:ilvl w:val="0"/>
          <w:numId w:val="4"/>
        </w:numPr>
      </w:pPr>
      <w:r>
        <w:rPr>
          <w:rFonts w:ascii="Figtree" w:hAnsi="Figtree"/>
          <w:b w:val="0"/>
          <w:i w:val="0"/>
          <w:sz w:val="22"/>
        </w:rPr>
        <w:t>SettleMint does not claim ownership of HDFC Bank's tokenized instruments or client data</w:t>
      </w:r>
    </w:p>
    <w:p>
      <w:pPr>
        <w:pStyle w:val="H3"/>
        <w:numPr>
          <w:ilvl w:val="2"/>
          <w:numId w:val="1"/>
        </w:numPr>
      </w:pPr>
      <w:r>
        <w:t>Liability and Indemnification</w:t>
      </w:r>
    </w:p>
    <w:p>
      <w:r>
        <w:rPr>
          <w:rFonts w:ascii="Figtree" w:hAnsi="Figtree"/>
          <w:b w:val="0"/>
          <w:i w:val="0"/>
          <w:sz w:val="22"/>
        </w:rPr>
        <w:t>Standard SettleMint MSA terms apply. Key positions:</w:t>
      </w:r>
    </w:p>
    <w:p>
      <w:pPr>
        <w:pStyle w:val="ListParagraph"/>
        <w:numPr>
          <w:ilvl w:val="0"/>
          <w:numId w:val="4"/>
        </w:numPr>
      </w:pPr>
      <w:r>
        <w:rPr>
          <w:rFonts w:ascii="Figtree" w:hAnsi="Figtree"/>
          <w:b w:val="0"/>
          <w:i w:val="0"/>
          <w:sz w:val="22"/>
        </w:rPr>
        <w:t>SettleMint's aggregate liability cap: 12 months of platform license fees paid</w:t>
      </w:r>
    </w:p>
    <w:p>
      <w:pPr>
        <w:pStyle w:val="ListParagraph"/>
        <w:numPr>
          <w:ilvl w:val="0"/>
          <w:numId w:val="4"/>
        </w:numPr>
      </w:pPr>
      <w:r>
        <w:rPr>
          <w:rFonts w:ascii="Figtree" w:hAnsi="Figtree"/>
          <w:b w:val="0"/>
          <w:i w:val="0"/>
          <w:sz w:val="22"/>
        </w:rPr>
        <w:t>Mutual indemnification for IP infringement claims</w:t>
      </w:r>
    </w:p>
    <w:p>
      <w:pPr>
        <w:pStyle w:val="ListParagraph"/>
        <w:numPr>
          <w:ilvl w:val="0"/>
          <w:numId w:val="4"/>
        </w:numPr>
      </w:pPr>
      <w:r>
        <w:rPr>
          <w:rFonts w:ascii="Figtree" w:hAnsi="Figtree"/>
          <w:b w:val="0"/>
          <w:i w:val="0"/>
          <w:sz w:val="22"/>
        </w:rPr>
        <w:t>Indemnification by HDFC Bank for claims arising from HDFC Bank's use of the platform beyond its licensed scope</w:t>
      </w:r>
    </w:p>
    <w:p>
      <w:r>
        <w:rPr>
          <w:rFonts w:ascii="Figtree" w:hAnsi="Figtree"/>
          <w:b w:val="0"/>
          <w:i w:val="0"/>
          <w:sz w:val="22"/>
        </w:rPr>
        <w:t>&gt; Specific liability terms are subject to negotiation during the commercial process.</w:t>
      </w:r>
    </w:p>
    <w:p>
      <w:r>
        <w:br w:type="page"/>
      </w:r>
    </w:p>
    <w:p>
      <w:pPr>
        <w:pStyle w:val="H2"/>
        <w:numPr>
          <w:ilvl w:val="1"/>
          <w:numId w:val="1"/>
        </w:numPr>
      </w:pPr>
      <w:r>
        <w:t>Commercial Assumptions and Exclusions</w:t>
      </w:r>
    </w:p>
    <w:p>
      <w:pPr>
        <w:pStyle w:val="H3"/>
        <w:numPr>
          <w:ilvl w:val="2"/>
          <w:numId w:val="1"/>
        </w:numPr>
      </w:pPr>
      <w:r>
        <w:t>Assumptions</w:t>
      </w:r>
    </w:p>
    <w:p>
      <w:r>
        <w:rPr>
          <w:rFonts w:ascii="Figtree" w:hAnsi="Figtree"/>
          <w:b w:val="0"/>
          <w:i w:val="0"/>
          <w:sz w:val="22"/>
        </w:rPr>
        <w:t>This commercial proposal is based on the following assumptions. Material changes to these assumptions may affect pricing:</w:t>
      </w:r>
    </w:p>
    <w:p>
      <w:pPr>
        <w:pStyle w:val="ListParagraph"/>
        <w:numPr>
          <w:ilvl w:val="0"/>
          <w:numId w:val="7"/>
        </w:numPr>
      </w:pPr>
      <w:r>
        <w:rPr>
          <w:rFonts w:ascii="Figtree" w:hAnsi="Figtree"/>
          <w:b w:val="0"/>
          <w:i w:val="0"/>
          <w:sz w:val="22"/>
        </w:rPr>
        <w:t>HDFC Bank's deployment uses DALP standard contract types (DALPAsset, Bond factory). Custom smart contract development is out of scope.</w:t>
      </w:r>
    </w:p>
    <w:p>
      <w:pPr>
        <w:pStyle w:val="ListParagraph"/>
        <w:numPr>
          <w:ilvl w:val="0"/>
          <w:numId w:val="7"/>
        </w:numPr>
      </w:pPr>
      <w:r>
        <w:rPr>
          <w:rFonts w:ascii="Figtree" w:hAnsi="Figtree"/>
          <w:b w:val="0"/>
          <w:i w:val="0"/>
          <w:sz w:val="22"/>
        </w:rPr>
        <w:t>Integration with HDFC Bank's KYC/AML system uses DALP's standard identity claims API. Custom KYC system integration requiring significant middleware development is treated as an additional integration workstream.</w:t>
      </w:r>
    </w:p>
    <w:p>
      <w:pPr>
        <w:pStyle w:val="ListParagraph"/>
        <w:numPr>
          <w:ilvl w:val="0"/>
          <w:numId w:val="7"/>
        </w:numPr>
      </w:pPr>
      <w:r>
        <w:rPr>
          <w:rFonts w:ascii="Figtree" w:hAnsi="Figtree"/>
          <w:b w:val="0"/>
          <w:i w:val="0"/>
          <w:sz w:val="22"/>
        </w:rPr>
        <w:t>Blockchain network is Hyperledger Besu in permissioned configuration, deployed within HDFC Bank's cloud tenancy. Public network deployment requires additional network configuration assessment.</w:t>
      </w:r>
    </w:p>
    <w:p>
      <w:pPr>
        <w:pStyle w:val="ListParagraph"/>
        <w:numPr>
          <w:ilvl w:val="0"/>
          <w:numId w:val="7"/>
        </w:numPr>
      </w:pPr>
      <w:r>
        <w:rPr>
          <w:rFonts w:ascii="Figtree" w:hAnsi="Figtree"/>
          <w:b w:val="0"/>
          <w:i w:val="0"/>
          <w:sz w:val="22"/>
        </w:rPr>
        <w:t>Infrastructure costs are borne by HDFC Bank and are not included in SettleMint's pricing.</w:t>
      </w:r>
    </w:p>
    <w:p>
      <w:pPr>
        <w:pStyle w:val="ListParagraph"/>
        <w:numPr>
          <w:ilvl w:val="0"/>
          <w:numId w:val="7"/>
        </w:numPr>
      </w:pPr>
      <w:r>
        <w:rPr>
          <w:rFonts w:ascii="Figtree" w:hAnsi="Figtree"/>
          <w:b w:val="0"/>
          <w:i w:val="0"/>
          <w:sz w:val="22"/>
        </w:rPr>
        <w:t>Implementation timeline assumes HDFC Bank stakeholder availability for Phase 1 workshops within 4 weeks of contract execution.</w:t>
      </w:r>
    </w:p>
    <w:p>
      <w:pPr>
        <w:pStyle w:val="ListParagraph"/>
        <w:numPr>
          <w:ilvl w:val="0"/>
          <w:numId w:val="7"/>
        </w:numPr>
      </w:pPr>
      <w:r>
        <w:rPr>
          <w:rFonts w:ascii="Figtree" w:hAnsi="Figtree"/>
          <w:b w:val="0"/>
          <w:i w:val="0"/>
          <w:sz w:val="22"/>
        </w:rPr>
        <w:t>Third-party software licenses (KYC system, HSM software, custody provider agreements) are procured by HDFC Bank independently.</w:t>
      </w:r>
    </w:p>
    <w:p>
      <w:pPr>
        <w:pStyle w:val="H3"/>
        <w:numPr>
          <w:ilvl w:val="2"/>
          <w:numId w:val="1"/>
        </w:numPr>
      </w:pPr>
      <w:r>
        <w:t>Exclusions</w:t>
      </w:r>
    </w:p>
    <w:p>
      <w:r>
        <w:rPr>
          <w:rFonts w:ascii="Figtree" w:hAnsi="Figtree"/>
          <w:b w:val="0"/>
          <w:i w:val="0"/>
          <w:sz w:val="22"/>
        </w:rPr>
        <w:t>The following are explicitly excluded from the scope of this proposal:</w:t>
      </w:r>
    </w:p>
    <w:p>
      <w:pPr>
        <w:pStyle w:val="ListParagraph"/>
        <w:numPr>
          <w:ilvl w:val="0"/>
          <w:numId w:val="4"/>
        </w:numPr>
      </w:pPr>
      <w:r>
        <w:rPr>
          <w:rFonts w:ascii="Figtree" w:hAnsi="Figtree"/>
          <w:b w:val="0"/>
          <w:i w:val="0"/>
          <w:sz w:val="22"/>
        </w:rPr>
        <w:t>Custom blockchain network development or protocol modifications</w:t>
      </w:r>
    </w:p>
    <w:p>
      <w:pPr>
        <w:pStyle w:val="ListParagraph"/>
        <w:numPr>
          <w:ilvl w:val="0"/>
          <w:numId w:val="4"/>
        </w:numPr>
      </w:pPr>
      <w:r>
        <w:rPr>
          <w:rFonts w:ascii="Figtree" w:hAnsi="Figtree"/>
          <w:b w:val="0"/>
          <w:i w:val="0"/>
          <w:sz w:val="22"/>
        </w:rPr>
        <w:t>Custom smart contract features beyond the DALP catalog</w:t>
      </w:r>
    </w:p>
    <w:p>
      <w:pPr>
        <w:pStyle w:val="ListParagraph"/>
        <w:numPr>
          <w:ilvl w:val="0"/>
          <w:numId w:val="4"/>
        </w:numPr>
      </w:pPr>
      <w:r>
        <w:rPr>
          <w:rFonts w:ascii="Figtree" w:hAnsi="Figtree"/>
          <w:b w:val="0"/>
          <w:i w:val="0"/>
          <w:sz w:val="22"/>
        </w:rPr>
        <w:t>Physical security of HDFC Bank's data centers or cloud accounts</w:t>
      </w:r>
    </w:p>
    <w:p>
      <w:pPr>
        <w:pStyle w:val="ListParagraph"/>
        <w:numPr>
          <w:ilvl w:val="0"/>
          <w:numId w:val="4"/>
        </w:numPr>
      </w:pPr>
      <w:r>
        <w:rPr>
          <w:rFonts w:ascii="Figtree" w:hAnsi="Figtree"/>
          <w:b w:val="0"/>
          <w:i w:val="0"/>
          <w:sz w:val="22"/>
        </w:rPr>
        <w:t>Legal advice or regulatory filings (SettleMint provides technical compliance mapping; legal advice is HDFC Bank's responsibility)</w:t>
      </w:r>
    </w:p>
    <w:p>
      <w:pPr>
        <w:pStyle w:val="ListParagraph"/>
        <w:numPr>
          <w:ilvl w:val="0"/>
          <w:numId w:val="4"/>
        </w:numPr>
      </w:pPr>
      <w:r>
        <w:rPr>
          <w:rFonts w:ascii="Figtree" w:hAnsi="Figtree"/>
          <w:b w:val="0"/>
          <w:i w:val="0"/>
          <w:sz w:val="22"/>
        </w:rPr>
        <w:t>Translation of platform documentation into Hindi or regional Indian languages</w:t>
      </w:r>
    </w:p>
    <w:p>
      <w:pPr>
        <w:pStyle w:val="ListParagraph"/>
        <w:numPr>
          <w:ilvl w:val="0"/>
          <w:numId w:val="4"/>
        </w:numPr>
      </w:pPr>
      <w:r>
        <w:rPr>
          <w:rFonts w:ascii="Figtree" w:hAnsi="Figtree"/>
          <w:b w:val="0"/>
          <w:i w:val="0"/>
          <w:sz w:val="22"/>
        </w:rPr>
        <w:t>Integration with systems not identified in the technical proposal (additional integrations are treated as change requests)</w:t>
      </w:r>
    </w:p>
    <w:p>
      <w:pPr>
        <w:pStyle w:val="H3"/>
        <w:numPr>
          <w:ilvl w:val="2"/>
          <w:numId w:val="1"/>
        </w:numPr>
      </w:pPr>
      <w:r>
        <w:t>Change Management</w:t>
      </w:r>
    </w:p>
    <w:p>
      <w:r>
        <w:rPr>
          <w:rFonts w:ascii="Figtree" w:hAnsi="Figtree"/>
          <w:b w:val="0"/>
          <w:i w:val="0"/>
          <w:sz w:val="22"/>
        </w:rPr>
        <w:t>Changes to scope during implementation are managed through a formal change request process:</w:t>
      </w:r>
    </w:p>
    <w:p>
      <w:pPr>
        <w:pStyle w:val="ListParagraph"/>
        <w:numPr>
          <w:ilvl w:val="0"/>
          <w:numId w:val="8"/>
        </w:numPr>
      </w:pPr>
      <w:r>
        <w:rPr>
          <w:rFonts w:ascii="Figtree" w:hAnsi="Figtree"/>
          <w:b w:val="0"/>
          <w:i w:val="0"/>
          <w:sz w:val="22"/>
        </w:rPr>
        <w:t>HDFC Bank submits a written change request describing the proposed change</w:t>
      </w:r>
    </w:p>
    <w:p>
      <w:pPr>
        <w:pStyle w:val="ListParagraph"/>
        <w:numPr>
          <w:ilvl w:val="0"/>
          <w:numId w:val="8"/>
        </w:numPr>
      </w:pPr>
      <w:r>
        <w:rPr>
          <w:rFonts w:ascii="Figtree" w:hAnsi="Figtree"/>
          <w:b w:val="0"/>
          <w:i w:val="0"/>
          <w:sz w:val="22"/>
        </w:rPr>
        <w:t>SettleMint provides a written impact assessment (scope, timeline, cost) within 5 business days</w:t>
      </w:r>
    </w:p>
    <w:p>
      <w:pPr>
        <w:pStyle w:val="ListParagraph"/>
        <w:numPr>
          <w:ilvl w:val="0"/>
          <w:numId w:val="8"/>
        </w:numPr>
      </w:pPr>
      <w:r>
        <w:rPr>
          <w:rFonts w:ascii="Figtree" w:hAnsi="Figtree"/>
          <w:b w:val="0"/>
          <w:i w:val="0"/>
          <w:sz w:val="22"/>
        </w:rPr>
        <w:t>Changes are implemented only upon written approval from authorized representatives of both parties</w:t>
      </w:r>
    </w:p>
    <w:p>
      <w:pPr>
        <w:pStyle w:val="ListParagraph"/>
        <w:numPr>
          <w:ilvl w:val="0"/>
          <w:numId w:val="8"/>
        </w:numPr>
      </w:pPr>
      <w:r>
        <w:rPr>
          <w:rFonts w:ascii="Figtree" w:hAnsi="Figtree"/>
          <w:b w:val="0"/>
          <w:i w:val="0"/>
          <w:sz w:val="22"/>
        </w:rPr>
        <w:t>No change is implemented without written agreement on cost, timeline, and scope impact</w:t>
      </w:r>
    </w:p>
    <w:p>
      <w:r>
        <w:br w:type="page"/>
      </w:r>
    </w:p>
    <w:p>
      <w:r>
        <w:rPr>
          <w:rFonts w:ascii="Figtree" w:hAnsi="Figtree"/>
          <w:b w:val="0"/>
          <w:i/>
          <w:sz w:val="22"/>
        </w:rPr>
        <w:t>This commercial proposal is submitted by SettleMint NV in response to HDFC-BANK-RFP-202603. All pricing reflects SettleMint's current standard rates. Platform license pricing is locked at the stated figures; implementation and support pricing is scoped per engagement. All figures exclude applicable taxes and VAT.</w:t>
      </w:r>
    </w:p>
    <w:p>
      <w:r>
        <w:rPr>
          <w:rFonts w:ascii="Figtree" w:hAnsi="Figtree"/>
          <w:b w:val="0"/>
          <w:i/>
          <w:sz w:val="22"/>
        </w:rPr>
        <w:t>Classification: Confidential — for evaluation purposes only. Not for distribution outside the HDFC Bank evaluation committee.</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