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 Cross-Border Tokenized Settlement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2"/>
            <w:tabs>
              <w:tab w:val="right" w:leader="dot" w:pos="9072"/>
            </w:tabs>
          </w:pPr>
          <w:r>
            <w:t xml:space="preserve">2. Investment Rationale</w:t>
          </w:r>
          <w:r>
            <w:tab/>
          </w:r>
          <w:r>
            <w:t xml:space="preserve">6</w:t>
          </w:r>
        </w:p>
        <w:p>
          <w:pPr>
            <w:pStyle w:val="TOC3"/>
            <w:tabs>
              <w:tab w:val="right" w:leader="dot" w:pos="9072"/>
            </w:tabs>
          </w:pPr>
          <w:r>
            <w:t xml:space="preserve">2.1 Current Settlement Economics</w:t>
          </w:r>
          <w:r>
            <w:tab/>
          </w:r>
          <w:r>
            <w:t xml:space="preserve">7</w:t>
          </w:r>
        </w:p>
        <w:p>
          <w:pPr>
            <w:pStyle w:val="TOC3"/>
            <w:tabs>
              <w:tab w:val="right" w:leader="dot" w:pos="9072"/>
            </w:tabs>
          </w:pPr>
          <w:r>
            <w:t xml:space="preserve">2.2 Why DALP Changes Economics</w:t>
          </w:r>
          <w:r>
            <w:tab/>
          </w:r>
          <w:r>
            <w:t xml:space="preserve">8</w:t>
          </w:r>
        </w:p>
        <w:p>
          <w:pPr>
            <w:pStyle w:val="TOC3"/>
            <w:tabs>
              <w:tab w:val="right" w:leader="dot" w:pos="9072"/>
            </w:tabs>
          </w:pPr>
          <w:r>
            <w:t xml:space="preserve">2.3 ROI Framework</w:t>
          </w:r>
          <w:r>
            <w:tab/>
          </w:r>
          <w:r>
            <w:t xml:space="preserve">9</w:t>
          </w:r>
        </w:p>
        <w:p>
          <w:pPr>
            <w:pStyle w:val="TOC2"/>
            <w:tabs>
              <w:tab w:val="right" w:leader="dot" w:pos="9072"/>
            </w:tabs>
          </w:pPr>
          <w:r>
            <w:t xml:space="preserve">3. Licensing Model</w:t>
          </w:r>
          <w:r>
            <w:tab/>
          </w:r>
          <w:r>
            <w:t xml:space="preserve">10</w:t>
          </w:r>
        </w:p>
        <w:p>
          <w:pPr>
            <w:pStyle w:val="TOC3"/>
            <w:tabs>
              <w:tab w:val="right" w:leader="dot" w:pos="9072"/>
            </w:tabs>
          </w:pPr>
          <w:r>
            <w:t xml:space="preserve">3.1 Enterprise Tier for Airwallex</w:t>
          </w:r>
          <w:r>
            <w:tab/>
          </w:r>
          <w:r>
            <w:t xml:space="preserve">11</w:t>
          </w:r>
        </w:p>
        <w:p>
          <w:pPr>
            <w:pStyle w:val="TOC3"/>
            <w:tabs>
              <w:tab w:val="right" w:leader="dot" w:pos="9072"/>
            </w:tabs>
          </w:pPr>
          <w:r>
            <w:t xml:space="preserve">3.2 What's Included</w:t>
          </w:r>
          <w:r>
            <w:tab/>
          </w:r>
          <w:r>
            <w:t xml:space="preserve">12</w:t>
          </w:r>
        </w:p>
        <w:p>
          <w:pPr>
            <w:pStyle w:val="TOC3"/>
            <w:tabs>
              <w:tab w:val="right" w:leader="dot" w:pos="9072"/>
            </w:tabs>
          </w:pPr>
          <w:r>
            <w:t xml:space="preserve">3.3 What Varies</w:t>
          </w:r>
          <w:r>
            <w:tab/>
          </w:r>
          <w:r>
            <w:t xml:space="preserve">13</w:t>
          </w:r>
        </w:p>
        <w:p>
          <w:pPr>
            <w:pStyle w:val="TOC2"/>
            <w:tabs>
              <w:tab w:val="right" w:leader="dot" w:pos="9072"/>
            </w:tabs>
          </w:pPr>
          <w:r>
            <w:t xml:space="preserve">4. Deployment Options and Pricing</w:t>
          </w:r>
          <w:r>
            <w:tab/>
          </w:r>
          <w:r>
            <w:t xml:space="preserve">14</w:t>
          </w:r>
        </w:p>
        <w:p>
          <w:pPr>
            <w:pStyle w:val="TOC3"/>
            <w:tabs>
              <w:tab w:val="right" w:leader="dot" w:pos="9072"/>
            </w:tabs>
          </w:pPr>
          <w:r>
            <w:t xml:space="preserve">4.1 Recommended: Managed SaaS (AWS Singapore)</w:t>
          </w:r>
          <w:r>
            <w:tab/>
          </w:r>
          <w:r>
            <w:t xml:space="preserve">15</w:t>
          </w:r>
        </w:p>
        <w:p>
          <w:pPr>
            <w:pStyle w:val="TOC3"/>
            <w:tabs>
              <w:tab w:val="right" w:leader="dot" w:pos="9072"/>
            </w:tabs>
          </w:pPr>
          <w:r>
            <w:t xml:space="preserve">4.2 Cost Structure</w:t>
          </w:r>
          <w:r>
            <w:tab/>
          </w:r>
          <w:r>
            <w:t xml:space="preserve">16</w:t>
          </w:r>
        </w:p>
        <w:p>
          <w:pPr>
            <w:pStyle w:val="TOC3"/>
            <w:tabs>
              <w:tab w:val="right" w:leader="dot" w:pos="9072"/>
            </w:tabs>
          </w:pPr>
          <w:r>
            <w:t xml:space="preserve">4.3 Cost Drivers</w:t>
          </w:r>
          <w:r>
            <w:tab/>
          </w:r>
          <w:r>
            <w:t xml:space="preserve">17</w:t>
          </w:r>
        </w:p>
        <w:p>
          <w:pPr>
            <w:pStyle w:val="TOC2"/>
            <w:tabs>
              <w:tab w:val="right" w:leader="dot" w:pos="9072"/>
            </w:tabs>
          </w:pPr>
          <w:r>
            <w:t xml:space="preserve">5. Support and SLA Framework</w:t>
          </w:r>
          <w:r>
            <w:tab/>
          </w:r>
          <w:r>
            <w:t xml:space="preserve">18</w:t>
          </w:r>
        </w:p>
        <w:p>
          <w:pPr>
            <w:pStyle w:val="TOC2"/>
            <w:tabs>
              <w:tab w:val="right" w:leader="dot" w:pos="9072"/>
            </w:tabs>
          </w:pPr>
          <w:r>
            <w:t xml:space="preserve">6. Implementation Investment</w:t>
          </w:r>
          <w:r>
            <w:tab/>
          </w:r>
          <w:r>
            <w:t xml:space="preserve">19</w:t>
          </w:r>
        </w:p>
        <w:p>
          <w:pPr>
            <w:pStyle w:val="TOC3"/>
            <w:tabs>
              <w:tab w:val="right" w:leader="dot" w:pos="9072"/>
            </w:tabs>
          </w:pPr>
          <w:r>
            <w:t xml:space="preserve">6.1 Phase Summary</w:t>
          </w:r>
          <w:r>
            <w:tab/>
          </w:r>
          <w:r>
            <w:t xml:space="preserve">20</w:t>
          </w:r>
        </w:p>
        <w:p>
          <w:pPr>
            <w:pStyle w:val="TOC3"/>
            <w:tabs>
              <w:tab w:val="right" w:leader="dot" w:pos="9072"/>
            </w:tabs>
          </w:pPr>
          <w:r>
            <w:t xml:space="preserve">6.2 Investment Summary</w:t>
          </w:r>
          <w:r>
            <w:tab/>
          </w:r>
          <w:r>
            <w:t xml:space="preserve">21</w:t>
          </w:r>
        </w:p>
        <w:p>
          <w:pPr>
            <w:pStyle w:val="TOC3"/>
            <w:tabs>
              <w:tab w:val="right" w:leader="dot" w:pos="9072"/>
            </w:tabs>
          </w:pPr>
          <w:r>
            <w:t xml:space="preserve">6.3 Accelerators</w:t>
          </w:r>
          <w:r>
            <w:tab/>
          </w:r>
          <w:r>
            <w:t xml:space="preserve">22</w:t>
          </w:r>
        </w:p>
        <w:p>
          <w:pPr>
            <w:pStyle w:val="TOC3"/>
            <w:tabs>
              <w:tab w:val="right" w:leader="dot" w:pos="9072"/>
            </w:tabs>
          </w:pPr>
          <w:r>
            <w:t xml:space="preserve">6.4 Training</w:t>
          </w:r>
          <w:r>
            <w:tab/>
          </w:r>
          <w:r>
            <w:t xml:space="preserve">23</w:t>
          </w:r>
        </w:p>
        <w:p>
          <w:pPr>
            <w:pStyle w:val="TOC2"/>
            <w:tabs>
              <w:tab w:val="right" w:leader="dot" w:pos="9072"/>
            </w:tabs>
          </w:pPr>
          <w:r>
            <w:t xml:space="preserve">7. Commercial Terms</w:t>
          </w:r>
          <w:r>
            <w:tab/>
          </w:r>
          <w:r>
            <w:t xml:space="preserve">24</w:t>
          </w:r>
        </w:p>
        <w:p>
          <w:pPr>
            <w:pStyle w:val="TOC3"/>
            <w:tabs>
              <w:tab w:val="right" w:leader="dot" w:pos="9072"/>
            </w:tabs>
          </w:pPr>
          <w:r>
            <w:t xml:space="preserve">7.1 Contract Structure</w:t>
          </w:r>
          <w:r>
            <w:tab/>
          </w:r>
          <w:r>
            <w:t xml:space="preserve">25</w:t>
          </w:r>
        </w:p>
        <w:p>
          <w:pPr>
            <w:pStyle w:val="TOC3"/>
            <w:tabs>
              <w:tab w:val="right" w:leader="dot" w:pos="9072"/>
            </w:tabs>
          </w:pPr>
          <w:r>
            <w:t xml:space="preserve">7.2 Payment Schedule</w:t>
          </w:r>
          <w:r>
            <w:tab/>
          </w:r>
          <w:r>
            <w:t xml:space="preserve">26</w:t>
          </w:r>
        </w:p>
        <w:p>
          <w:pPr>
            <w:pStyle w:val="TOC3"/>
            <w:tabs>
              <w:tab w:val="right" w:leader="dot" w:pos="9072"/>
            </w:tabs>
          </w:pPr>
          <w:r>
            <w:t xml:space="preserve">7.3 Duration</w:t>
          </w:r>
          <w:r>
            <w:tab/>
          </w:r>
          <w:r>
            <w:t xml:space="preserve">27</w:t>
          </w:r>
        </w:p>
        <w:p>
          <w:pPr>
            <w:pStyle w:val="TOC3"/>
            <w:tabs>
              <w:tab w:val="right" w:leader="dot" w:pos="9072"/>
            </w:tabs>
          </w:pPr>
          <w:r>
            <w:t xml:space="preserve">7.4 IP</w:t>
          </w:r>
          <w:r>
            <w:tab/>
          </w:r>
          <w:r>
            <w:t xml:space="preserve">28</w:t>
          </w:r>
        </w:p>
        <w:p>
          <w:pPr>
            <w:pStyle w:val="TOC3"/>
            <w:tabs>
              <w:tab w:val="right" w:leader="dot" w:pos="9072"/>
            </w:tabs>
          </w:pPr>
          <w:r>
            <w:t xml:space="preserve">7.5 Exit</w:t>
          </w:r>
          <w:r>
            <w:tab/>
          </w:r>
          <w:r>
            <w:t xml:space="preserve">29</w:t>
          </w:r>
        </w:p>
        <w:p>
          <w:pPr>
            <w:pStyle w:val="TOC2"/>
            <w:tabs>
              <w:tab w:val="right" w:leader="dot" w:pos="9072"/>
            </w:tabs>
          </w:pPr>
          <w:r>
            <w:t xml:space="preserve">8. Total Cost of Ownership</w:t>
          </w:r>
          <w:r>
            <w:tab/>
          </w:r>
          <w:r>
            <w:t xml:space="preserve">30</w:t>
          </w:r>
        </w:p>
        <w:p>
          <w:pPr>
            <w:pStyle w:val="TOC3"/>
            <w:tabs>
              <w:tab w:val="right" w:leader="dot" w:pos="9072"/>
            </w:tabs>
          </w:pPr>
          <w:r>
            <w:t xml:space="preserve">8.1 3-Year DALP TCO</w:t>
          </w:r>
          <w:r>
            <w:tab/>
          </w:r>
          <w:r>
            <w:t xml:space="preserve">31</w:t>
          </w:r>
        </w:p>
        <w:p>
          <w:pPr>
            <w:pStyle w:val="TOC3"/>
            <w:tabs>
              <w:tab w:val="right" w:leader="dot" w:pos="9072"/>
            </w:tabs>
          </w:pPr>
          <w:r>
            <w:t xml:space="preserve">8.2 Comparative Analysis</w:t>
          </w:r>
          <w:r>
            <w:tab/>
          </w:r>
          <w:r>
            <w:t xml:space="preserve">32</w:t>
          </w:r>
        </w:p>
        <w:p>
          <w:pPr>
            <w:pStyle w:val="TOC2"/>
            <w:tabs>
              <w:tab w:val="right" w:leader="dot" w:pos="9072"/>
            </w:tabs>
          </w:pPr>
          <w:r>
            <w:t xml:space="preserve">9. Reference Clients</w:t>
          </w:r>
          <w:r>
            <w:tab/>
          </w:r>
          <w:r>
            <w:t xml:space="preserve">33</w:t>
          </w:r>
        </w:p>
        <w:p>
          <w:pPr>
            <w:pStyle w:val="TOC2"/>
            <w:tabs>
              <w:tab w:val="right" w:leader="dot" w:pos="9072"/>
            </w:tabs>
          </w:pPr>
          <w:r>
            <w:t xml:space="preserve">10. Next Steps</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Cross-Border Tokenized Settlement Platform"</w:t>
      </w:r>
    </w:p>
    <w:p>
      <w:r>
        <w:rPr>
          <w:rFonts w:ascii="Figtree" w:hAnsi="Figtree"/>
          <w:b w:val="0"/>
          <w:i w:val="0"/>
          <w:sz w:val="22"/>
        </w:rPr>
        <w:t>client: "Airwallex"</w:t>
      </w:r>
    </w:p>
    <w:p>
      <w:r>
        <w:rPr>
          <w:rFonts w:ascii="Figtree" w:hAnsi="Figtree"/>
          <w:b w:val="0"/>
          <w:i w:val="0"/>
          <w:sz w:val="22"/>
        </w:rPr>
        <w:t>reference: "AIRWALLEX-RFP-202603"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Commercial Proposal: Cross-Border Tokenized Settlement Platform</w:t>
      </w:r>
    </w:p>
    <w:p>
      <w:r>
        <w:rPr>
          <w:rFonts w:ascii="Figtree" w:hAnsi="Figtree"/>
          <w:b/>
          <w:i w:val="0"/>
          <w:sz w:val="22"/>
        </w:rPr>
        <w:t>Prepared for:</w:t>
      </w:r>
      <w:r>
        <w:rPr>
          <w:rFonts w:ascii="Figtree" w:hAnsi="Figtree"/>
          <w:b w:val="0"/>
          <w:i w:val="0"/>
          <w:sz w:val="22"/>
        </w:rPr>
        <w:t xml:space="preserve"> Airwallex</w:t>
      </w:r>
    </w:p>
    <w:p>
      <w:r>
        <w:rPr>
          <w:rFonts w:ascii="Figtree" w:hAnsi="Figtree"/>
          <w:b/>
          <w:i w:val="0"/>
          <w:sz w:val="22"/>
        </w:rPr>
        <w:t>Reference:</w:t>
      </w:r>
      <w:r>
        <w:rPr>
          <w:rFonts w:ascii="Figtree" w:hAnsi="Figtree"/>
          <w:b w:val="0"/>
          <w:i w:val="0"/>
          <w:sz w:val="22"/>
        </w:rPr>
        <w:t xml:space="preserve"> AIRWALLEX-RFP-202603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Airwallex's cross-border tokenized settlement programme is primarily a unit economics improvement: reduce the cost and capital burden of moving value across borders while maintaining the speed and reliability that Airwallex's customers expect. The commercial case for DALP is direct: faster settlement finality reduces pre-funding requirements, atomic settlement eliminates credit exposure, and automated reconciliation reduces operational overhead.</w:t>
      </w:r>
    </w:p>
    <w:p>
      <w:r>
        <w:rPr>
          <w:rFonts w:ascii="Figtree" w:hAnsi="Figtree"/>
          <w:b w:val="0"/>
          <w:i w:val="0"/>
          <w:sz w:val="22"/>
        </w:rPr>
        <w:t>SettleMint recommends DALP under an Enterprise License with Managed SaaS deployment on AWS Singapore.</w:t>
      </w:r>
    </w:p>
    <w:p>
      <w:r>
        <w:rPr>
          <w:rFonts w:ascii="Figtree" w:hAnsi="Figtree"/>
          <w:b/>
          <w:i w:val="0"/>
          <w:sz w:val="22"/>
        </w:rPr>
        <w:t>Commercial decision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0"/>
        <w:gridCol w:w="1216"/>
        <w:gridCol w:w="2102"/>
        <w:gridCol w:w="22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Treasury Tech Vendor</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corridors</w:t>
            </w:r>
          </w:p>
        </w:tc>
        <w:tc>
          <w:tcPr>
            <w:tcW w:type="dxa" w:w="2436"/>
            <w:vAlign w:val="center"/>
          </w:tcPr>
          <w:p>
            <w:pPr>
              <w:spacing w:line="276" w:lineRule="auto" w:before="0" w:after="0"/>
            </w:pPr>
            <w:r/>
            <w:r>
              <w:rPr>
                <w:rFonts w:ascii="Figtree" w:hAnsi="Figtree"/>
                <w:b w:val="0"/>
                <w:i w:val="0"/>
                <w:sz w:val="20"/>
              </w:rPr>
              <w:t>6 months</w:t>
            </w:r>
          </w:p>
        </w:tc>
        <w:tc>
          <w:tcPr>
            <w:tcW w:type="dxa" w:w="2436"/>
            <w:vAlign w:val="center"/>
          </w:tcPr>
          <w:p>
            <w:pPr>
              <w:spacing w:line="276" w:lineRule="auto" w:before="0" w:after="0"/>
            </w:pPr>
            <w:r/>
            <w:r>
              <w:rPr>
                <w:rFonts w:ascii="Figtree" w:hAnsi="Figtree"/>
                <w:b w:val="0"/>
                <w:i w:val="0"/>
                <w:sz w:val="20"/>
              </w:rPr>
              <w:t>12-18 months</w:t>
            </w:r>
          </w:p>
        </w:tc>
        <w:tc>
          <w:tcPr>
            <w:tcW w:type="dxa" w:w="2436"/>
            <w:vAlign w:val="center"/>
          </w:tcPr>
          <w:p>
            <w:pPr>
              <w:spacing w:line="276" w:lineRule="auto" w:before="0" w:after="0"/>
            </w:pPr>
            <w:r/>
            <w:r>
              <w:rPr>
                <w:rFonts w:ascii="Figtree" w:hAnsi="Figtree"/>
                <w:b w:val="0"/>
                <w:i w:val="0"/>
                <w:sz w:val="20"/>
              </w:rPr>
              <w:t>8-12 months</w:t>
            </w:r>
          </w:p>
        </w:tc>
      </w:tr>
      <w:tr>
        <w:trPr>
          <w:trHeight w:val="425" w:hRule="atLeast"/>
        </w:trPr>
        <w:tc>
          <w:tcPr>
            <w:tcW w:type="dxa" w:w="2436"/>
            <w:vAlign w:val="center"/>
          </w:tcPr>
          <w:p>
            <w:pPr>
              <w:spacing w:line="276" w:lineRule="auto" w:before="0" w:after="0"/>
            </w:pPr>
            <w:r/>
            <w:r>
              <w:rPr>
                <w:rFonts w:ascii="Figtree" w:hAnsi="Figtree"/>
                <w:b w:val="0"/>
                <w:i w:val="0"/>
                <w:sz w:val="20"/>
              </w:rPr>
              <w:t>Atomic multi-currency settlement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Complex engineering</w:t>
            </w:r>
          </w:p>
        </w:tc>
        <w:tc>
          <w:tcPr>
            <w:tcW w:type="dxa" w:w="2436"/>
            <w:vAlign w:val="center"/>
          </w:tcPr>
          <w:p>
            <w:pPr>
              <w:spacing w:line="276" w:lineRule="auto" w:before="0" w:after="0"/>
            </w:pPr>
            <w:r/>
            <w:r>
              <w:rPr>
                <w:rFonts w:ascii="Figtree" w:hAnsi="Figtree"/>
                <w:b w:val="0"/>
                <w:i w:val="0"/>
                <w:sz w:val="20"/>
              </w:rPr>
              <w:t>Varies</w:t>
            </w:r>
          </w:p>
        </w:tc>
      </w:tr>
      <w:tr>
        <w:trPr>
          <w:trHeight w:val="425" w:hRule="atLeast"/>
        </w:trPr>
        <w:tc>
          <w:tcPr>
            <w:tcW w:type="dxa" w:w="2436"/>
            <w:vAlign w:val="center"/>
          </w:tcPr>
          <w:p>
            <w:pPr>
              <w:spacing w:line="276" w:lineRule="auto" w:before="0" w:after="0"/>
            </w:pPr>
            <w:r/>
            <w:r>
              <w:rPr>
                <w:rFonts w:ascii="Figtree" w:hAnsi="Figtree"/>
                <w:b w:val="0"/>
                <w:i w:val="0"/>
                <w:sz w:val="20"/>
              </w:rPr>
              <w:t>MAS outsourcing documentation</w:t>
            </w:r>
          </w:p>
        </w:tc>
        <w:tc>
          <w:tcPr>
            <w:tcW w:type="dxa" w:w="2436"/>
            <w:vAlign w:val="center"/>
          </w:tcPr>
          <w:p>
            <w:pPr>
              <w:spacing w:line="276" w:lineRule="auto" w:before="0" w:after="0"/>
            </w:pPr>
            <w:r/>
            <w:r>
              <w:rPr>
                <w:rFonts w:ascii="Figtree" w:hAnsi="Figtree"/>
                <w:b w:val="0"/>
                <w:i w:val="0"/>
                <w:sz w:val="20"/>
              </w:rPr>
              <w:t>Provided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Varies</w:t>
            </w:r>
          </w:p>
        </w:tc>
      </w:tr>
      <w:tr>
        <w:trPr>
          <w:trHeight w:val="425" w:hRule="atLeast"/>
        </w:trPr>
        <w:tc>
          <w:tcPr>
            <w:tcW w:type="dxa" w:w="2436"/>
            <w:vAlign w:val="center"/>
          </w:tcPr>
          <w:p>
            <w:pPr>
              <w:spacing w:line="276" w:lineRule="auto" w:before="0" w:after="0"/>
            </w:pPr>
            <w:r/>
            <w:r>
              <w:rPr>
                <w:rFonts w:ascii="Figtree" w:hAnsi="Figtree"/>
                <w:b w:val="0"/>
                <w:i w:val="0"/>
                <w:sz w:val="20"/>
              </w:rPr>
              <w:t>Per-corridor scaling</w:t>
            </w:r>
          </w:p>
        </w:tc>
        <w:tc>
          <w:tcPr>
            <w:tcW w:type="dxa" w:w="2436"/>
            <w:vAlign w:val="center"/>
          </w:tcPr>
          <w:p>
            <w:pPr>
              <w:spacing w:line="276" w:lineRule="auto" w:before="0" w:after="0"/>
            </w:pPr>
            <w:r/>
            <w:r>
              <w:rPr>
                <w:rFonts w:ascii="Figtree" w:hAnsi="Figtree"/>
                <w:b w:val="0"/>
                <w:i w:val="0"/>
                <w:sz w:val="20"/>
              </w:rPr>
              <w:t>Config only</w:t>
            </w:r>
          </w:p>
        </w:tc>
        <w:tc>
          <w:tcPr>
            <w:tcW w:type="dxa" w:w="2436"/>
            <w:vAlign w:val="center"/>
          </w:tcPr>
          <w:p>
            <w:pPr>
              <w:spacing w:line="276" w:lineRule="auto" w:before="0" w:after="0"/>
            </w:pPr>
            <w:r/>
            <w:r>
              <w:rPr>
                <w:rFonts w:ascii="Figtree" w:hAnsi="Figtree"/>
                <w:b w:val="0"/>
                <w:i w:val="0"/>
                <w:sz w:val="20"/>
              </w:rPr>
              <w:t>Engineering cycles</w:t>
            </w:r>
          </w:p>
        </w:tc>
        <w:tc>
          <w:tcPr>
            <w:tcW w:type="dxa" w:w="2436"/>
            <w:vAlign w:val="center"/>
          </w:tcPr>
          <w:p>
            <w:pPr>
              <w:spacing w:line="276" w:lineRule="auto" w:before="0" w:after="0"/>
            </w:pPr>
            <w:r/>
            <w:r>
              <w:rPr>
                <w:rFonts w:ascii="Figtree" w:hAnsi="Figtree"/>
                <w:b w:val="0"/>
                <w:i w:val="0"/>
                <w:sz w:val="20"/>
              </w:rPr>
              <w:t>Depends on vendor</w:t>
            </w:r>
          </w:p>
        </w:tc>
      </w:tr>
      <w:tr>
        <w:trPr>
          <w:trHeight w:val="425" w:hRule="atLeast"/>
        </w:trPr>
        <w:tc>
          <w:tcPr>
            <w:tcW w:type="dxa" w:w="2436"/>
            <w:vAlign w:val="center"/>
          </w:tcPr>
          <w:p>
            <w:pPr>
              <w:spacing w:line="276" w:lineRule="auto" w:before="0" w:after="0"/>
            </w:pPr>
            <w:r/>
            <w:r>
              <w:rPr>
                <w:rFonts w:ascii="Figtree" w:hAnsi="Figtree"/>
                <w:b w:val="0"/>
                <w:i w:val="0"/>
                <w:sz w:val="20"/>
              </w:rPr>
              <w:t>Managed SaaS option</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Rarely</w:t>
            </w:r>
          </w:p>
        </w:tc>
      </w:tr>
    </w:tbl>
    <w:p>
      <w:pPr>
        <w:spacing w:before="0" w:after="0" w:line="120" w:lineRule="exact"/>
      </w:pPr>
    </w:p>
    <w:p>
      <w:pPr>
        <w:pStyle w:val="H2"/>
        <w:numPr>
          <w:ilvl w:val="1"/>
          <w:numId w:val="1"/>
        </w:numPr>
      </w:pPr>
      <w:r>
        <w:t>2. Investment Rationale</w:t>
      </w:r>
    </w:p>
    <w:p>
      <w:pPr>
        <w:pStyle w:val="H3"/>
        <w:numPr>
          <w:ilvl w:val="2"/>
          <w:numId w:val="1"/>
        </w:numPr>
      </w:pPr>
      <w:r>
        <w:t>2.1 Current Settlement Economics</w:t>
      </w:r>
    </w:p>
    <w:p>
      <w:r>
        <w:rPr>
          <w:rFonts w:ascii="Figtree" w:hAnsi="Figtree"/>
          <w:b w:val="0"/>
          <w:i w:val="0"/>
          <w:sz w:val="22"/>
        </w:rPr>
        <w:t>Airwallex's correspondent banking infrastructure requires pre-funded nostro accounts across multiple currency corridors. The opportunity cost of this pre-funded capital is material. Faster settlement reduces the pre-funding requirement because the same capital can cycle more frequently. Atomic settlement also eliminates the intraday credit exposure that correspondent banking creates: if Airwallex has sent USD but not yet received SGD, that exposure window carries risk and consumes credit lines.</w:t>
      </w:r>
    </w:p>
    <w:p>
      <w:r>
        <w:rPr>
          <w:rFonts w:ascii="Figtree" w:hAnsi="Figtree"/>
          <w:b w:val="0"/>
          <w:i w:val="0"/>
          <w:sz w:val="22"/>
        </w:rPr>
        <w:t>Additionally, reconciliation between Airwallex's internal ledger, correspondent bank statements, and customer-facing balances requires operational resources. Automated settlement confirmation reduces this burden.</w:t>
      </w:r>
    </w:p>
    <w:p>
      <w:pPr>
        <w:pStyle w:val="H3"/>
        <w:numPr>
          <w:ilvl w:val="2"/>
          <w:numId w:val="1"/>
        </w:numPr>
      </w:pPr>
      <w:r>
        <w:t>2.2 Why DALP Changes Economics</w:t>
      </w:r>
    </w:p>
    <w:p>
      <w:pPr>
        <w:pStyle w:val="ListParagraph"/>
        <w:numPr>
          <w:ilvl w:val="0"/>
          <w:numId w:val="4"/>
        </w:numPr>
      </w:pPr>
      <w:r>
        <w:rPr>
          <w:rFonts w:ascii="Figtree" w:hAnsi="Figtree"/>
          <w:b/>
          <w:i w:val="0"/>
          <w:sz w:val="22"/>
        </w:rPr>
        <w:t>Pre-funding reduction:</w:t>
      </w:r>
      <w:r>
        <w:rPr>
          <w:rFonts w:ascii="Figtree" w:hAnsi="Figtree"/>
          <w:b w:val="0"/>
          <w:i w:val="0"/>
          <w:sz w:val="22"/>
        </w:rPr>
        <w:t xml:space="preserve"> Faster settlement allows capital to cycle more efficiently. Conservative estimate: 15-25% reduction in aggregate nostro pre-funding requirement.</w:t>
      </w:r>
    </w:p>
    <w:p>
      <w:pPr>
        <w:pStyle w:val="ListParagraph"/>
        <w:numPr>
          <w:ilvl w:val="0"/>
          <w:numId w:val="4"/>
        </w:numPr>
      </w:pPr>
      <w:r>
        <w:rPr>
          <w:rFonts w:ascii="Figtree" w:hAnsi="Figtree"/>
          <w:b/>
          <w:i w:val="0"/>
          <w:sz w:val="22"/>
        </w:rPr>
        <w:t>Exposure elimination:</w:t>
      </w:r>
      <w:r>
        <w:rPr>
          <w:rFonts w:ascii="Figtree" w:hAnsi="Figtree"/>
          <w:b w:val="0"/>
          <w:i w:val="0"/>
          <w:sz w:val="22"/>
        </w:rPr>
        <w:t xml:space="preserve"> Atomic settlement eliminates correspondent banking credit exposure within settled corridors.</w:t>
      </w:r>
    </w:p>
    <w:p>
      <w:pPr>
        <w:pStyle w:val="ListParagraph"/>
        <w:numPr>
          <w:ilvl w:val="0"/>
          <w:numId w:val="4"/>
        </w:numPr>
      </w:pPr>
      <w:r>
        <w:rPr>
          <w:rFonts w:ascii="Figtree" w:hAnsi="Figtree"/>
          <w:b/>
          <w:i w:val="0"/>
          <w:sz w:val="22"/>
        </w:rPr>
        <w:t>Reconciliation automation:</w:t>
      </w:r>
      <w:r>
        <w:rPr>
          <w:rFonts w:ascii="Figtree" w:hAnsi="Figtree"/>
          <w:b w:val="0"/>
          <w:i w:val="0"/>
          <w:sz w:val="22"/>
        </w:rPr>
        <w:t xml:space="preserve"> Chain Indexer provides single-source-of-truth settlement state; reconciliation against internal ledger is automated.</w:t>
      </w:r>
    </w:p>
    <w:p>
      <w:pPr>
        <w:pStyle w:val="ListParagraph"/>
        <w:numPr>
          <w:ilvl w:val="0"/>
          <w:numId w:val="4"/>
        </w:numPr>
      </w:pPr>
      <w:r>
        <w:rPr>
          <w:rFonts w:ascii="Figtree" w:hAnsi="Figtree"/>
          <w:b/>
          <w:i w:val="0"/>
          <w:sz w:val="22"/>
        </w:rPr>
        <w:t>Corridor expansion:</w:t>
      </w:r>
      <w:r>
        <w:rPr>
          <w:rFonts w:ascii="Figtree" w:hAnsi="Figtree"/>
          <w:b w:val="0"/>
          <w:i w:val="0"/>
          <w:sz w:val="22"/>
        </w:rPr>
        <w:t xml:space="preserve"> New corridors via configuration, not engineering. Reduces corridor expansion cost from engineering cycles to weeks.</w:t>
      </w:r>
    </w:p>
    <w:p>
      <w:pPr>
        <w:pStyle w:val="H3"/>
        <w:numPr>
          <w:ilvl w:val="2"/>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8"/>
        <w:gridCol w:w="1744"/>
        <w:gridCol w:w="1744"/>
        <w:gridCol w:w="17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Conservative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Expected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Upside</w:t>
            </w:r>
          </w:p>
        </w:tc>
      </w:tr>
      <w:tr>
        <w:trPr>
          <w:trHeight w:val="425" w:hRule="atLeast"/>
        </w:trPr>
        <w:tc>
          <w:tcPr>
            <w:tcW w:type="dxa" w:w="2436"/>
            <w:vAlign w:val="center"/>
          </w:tcPr>
          <w:p>
            <w:pPr>
              <w:spacing w:line="276" w:lineRule="auto" w:before="0" w:after="0"/>
            </w:pPr>
            <w:r/>
            <w:r>
              <w:rPr>
                <w:rFonts w:ascii="Figtree" w:hAnsi="Figtree"/>
                <w:b w:val="0"/>
                <w:i w:val="0"/>
                <w:sz w:val="20"/>
              </w:rPr>
              <w:t>Pre-funding capital reduction</w:t>
            </w:r>
          </w:p>
        </w:tc>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30%</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 FTE reduction</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50%</w:t>
            </w:r>
          </w:p>
        </w:tc>
        <w:tc>
          <w:tcPr>
            <w:tcW w:type="dxa" w:w="2436"/>
            <w:vAlign w:val="center"/>
          </w:tcPr>
          <w:p>
            <w:pPr>
              <w:spacing w:line="276" w:lineRule="auto" w:before="0" w:after="0"/>
            </w:pPr>
            <w:r/>
            <w:r>
              <w:rPr>
                <w:rFonts w:ascii="Figtree" w:hAnsi="Figtree"/>
                <w:b w:val="0"/>
                <w:i w:val="0"/>
                <w:sz w:val="20"/>
              </w:rPr>
              <w:t>65%</w:t>
            </w:r>
          </w:p>
        </w:tc>
      </w:tr>
      <w:tr>
        <w:trPr>
          <w:trHeight w:val="425" w:hRule="atLeast"/>
        </w:trPr>
        <w:tc>
          <w:tcPr>
            <w:tcW w:type="dxa" w:w="2436"/>
            <w:vAlign w:val="center"/>
          </w:tcPr>
          <w:p>
            <w:pPr>
              <w:spacing w:line="276" w:lineRule="auto" w:before="0" w:after="0"/>
            </w:pPr>
            <w:r/>
            <w:r>
              <w:rPr>
                <w:rFonts w:ascii="Figtree" w:hAnsi="Figtree"/>
                <w:b w:val="0"/>
                <w:i w:val="0"/>
                <w:sz w:val="20"/>
              </w:rPr>
              <w:t>Settlement failure cost reduction</w:t>
            </w:r>
          </w:p>
        </w:tc>
        <w:tc>
          <w:tcPr>
            <w:tcW w:type="dxa" w:w="2436"/>
            <w:vAlign w:val="center"/>
          </w:tcPr>
          <w:p>
            <w:pPr>
              <w:spacing w:line="276" w:lineRule="auto" w:before="0" w:after="0"/>
            </w:pPr>
            <w:r/>
            <w:r>
              <w:rPr>
                <w:rFonts w:ascii="Figtree" w:hAnsi="Figtree"/>
                <w:b w:val="0"/>
                <w:i w:val="0"/>
                <w:sz w:val="20"/>
              </w:rPr>
              <w:t>40%</w:t>
            </w:r>
          </w:p>
        </w:tc>
        <w:tc>
          <w:tcPr>
            <w:tcW w:type="dxa" w:w="2436"/>
            <w:vAlign w:val="center"/>
          </w:tcPr>
          <w:p>
            <w:pPr>
              <w:spacing w:line="276" w:lineRule="auto" w:before="0" w:after="0"/>
            </w:pPr>
            <w:r/>
            <w:r>
              <w:rPr>
                <w:rFonts w:ascii="Figtree" w:hAnsi="Figtree"/>
                <w:b w:val="0"/>
                <w:i w:val="0"/>
                <w:sz w:val="20"/>
              </w:rPr>
              <w:t>60%</w:t>
            </w:r>
          </w:p>
        </w:tc>
        <w:tc>
          <w:tcPr>
            <w:tcW w:type="dxa" w:w="2436"/>
            <w:vAlign w:val="center"/>
          </w:tcPr>
          <w:p>
            <w:pPr>
              <w:spacing w:line="276" w:lineRule="auto" w:before="0" w:after="0"/>
            </w:pPr>
            <w:r/>
            <w:r>
              <w:rPr>
                <w:rFonts w:ascii="Figtree" w:hAnsi="Figtree"/>
                <w:b w:val="0"/>
                <w:i w:val="0"/>
                <w:sz w:val="20"/>
              </w:rPr>
              <w:t>75%</w:t>
            </w:r>
          </w:p>
        </w:tc>
      </w:tr>
      <w:tr>
        <w:trPr>
          <w:trHeight w:val="425" w:hRule="atLeast"/>
        </w:trPr>
        <w:tc>
          <w:tcPr>
            <w:tcW w:type="dxa" w:w="2436"/>
            <w:vAlign w:val="center"/>
          </w:tcPr>
          <w:p>
            <w:pPr>
              <w:spacing w:line="276" w:lineRule="auto" w:before="0" w:after="0"/>
            </w:pPr>
            <w:r/>
            <w:r>
              <w:rPr>
                <w:rFonts w:ascii="Figtree" w:hAnsi="Figtree"/>
                <w:b w:val="0"/>
                <w:i w:val="0"/>
                <w:sz w:val="20"/>
              </w:rPr>
              <w:t>New corridor time-to-market</w:t>
            </w:r>
          </w:p>
        </w:tc>
        <w:tc>
          <w:tcPr>
            <w:tcW w:type="dxa" w:w="2436"/>
            <w:vAlign w:val="center"/>
          </w:tcPr>
          <w:p>
            <w:pPr>
              <w:spacing w:line="276" w:lineRule="auto" w:before="0" w:after="0"/>
            </w:pPr>
            <w:r/>
            <w:r>
              <w:rPr>
                <w:rFonts w:ascii="Figtree" w:hAnsi="Figtree"/>
                <w:b w:val="0"/>
                <w:i w:val="0"/>
                <w:sz w:val="20"/>
              </w:rPr>
              <w:t>2 months faster</w:t>
            </w:r>
          </w:p>
        </w:tc>
        <w:tc>
          <w:tcPr>
            <w:tcW w:type="dxa" w:w="2436"/>
            <w:vAlign w:val="center"/>
          </w:tcPr>
          <w:p>
            <w:pPr>
              <w:spacing w:line="276" w:lineRule="auto" w:before="0" w:after="0"/>
            </w:pPr>
            <w:r/>
            <w:r>
              <w:rPr>
                <w:rFonts w:ascii="Figtree" w:hAnsi="Figtree"/>
                <w:b w:val="0"/>
                <w:i w:val="0"/>
                <w:sz w:val="20"/>
              </w:rPr>
              <w:t>3 months faster</w:t>
            </w:r>
          </w:p>
        </w:tc>
        <w:tc>
          <w:tcPr>
            <w:tcW w:type="dxa" w:w="2436"/>
            <w:vAlign w:val="center"/>
          </w:tcPr>
          <w:p>
            <w:pPr>
              <w:spacing w:line="276" w:lineRule="auto" w:before="0" w:after="0"/>
            </w:pPr>
            <w:r/>
            <w:r>
              <w:rPr>
                <w:rFonts w:ascii="Figtree" w:hAnsi="Figtree"/>
                <w:b w:val="0"/>
                <w:i w:val="0"/>
                <w:sz w:val="20"/>
              </w:rPr>
              <w:t>4 months faster</w:t>
            </w:r>
          </w:p>
        </w:tc>
      </w:tr>
    </w:tbl>
    <w:p>
      <w:pPr>
        <w:spacing w:before="0" w:after="0" w:line="120" w:lineRule="exact"/>
      </w:pPr>
    </w:p>
    <w:p>
      <w:pPr>
        <w:pStyle w:val="H2"/>
        <w:numPr>
          <w:ilvl w:val="1"/>
          <w:numId w:val="1"/>
        </w:numPr>
      </w:pPr>
      <w:r>
        <w:t>3. Licensing Model</w:t>
      </w:r>
    </w:p>
    <w:p>
      <w:pPr>
        <w:pStyle w:val="H3"/>
        <w:numPr>
          <w:ilvl w:val="2"/>
          <w:numId w:val="1"/>
        </w:numPr>
      </w:pPr>
      <w:r>
        <w:t>3.1 Enterprise Tier for Airwallex</w:t>
      </w:r>
    </w:p>
    <w:p>
      <w:r>
        <w:rPr>
          <w:rFonts w:ascii="Figtree" w:hAnsi="Figtree"/>
          <w:b w:val="0"/>
          <w:i w:val="0"/>
          <w:sz w:val="22"/>
        </w:rPr>
        <w:t>Enterprise Tier provides the multi-corridor, multi-currency scope required for Airwallex's global payments operations. Platform-based pricing: no per-settlement fees, no per-corridor fees. Airwallex's settlement volume growth does not trigger additional license costs.</w:t>
      </w:r>
    </w:p>
    <w:p>
      <w:pPr>
        <w:pStyle w:val="H3"/>
        <w:numPr>
          <w:ilvl w:val="2"/>
          <w:numId w:val="1"/>
        </w:numPr>
      </w:pPr>
      <w:r>
        <w:t>3.2 What's Included</w:t>
      </w:r>
    </w:p>
    <w:p>
      <w:r>
        <w:rPr>
          <w:rFonts w:ascii="Figtree" w:hAnsi="Figtree"/>
          <w:b w:val="0"/>
          <w:i w:val="0"/>
          <w:sz w:val="22"/>
        </w:rPr>
        <w:t>Full DALP capability set including XvP settlement extension, compliance module system (per corridor), Key Guardian, OpenAPI 3.1 interface, TypeScript SDK, full observability stack, and platform updates.</w:t>
      </w:r>
    </w:p>
    <w:p>
      <w:pPr>
        <w:pStyle w:val="H3"/>
        <w:numPr>
          <w:ilvl w:val="2"/>
          <w:numId w:val="1"/>
        </w:numPr>
      </w:pPr>
      <w:r>
        <w:t>3.3 What Varies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9"/>
        <w:gridCol w:w="61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w:t>
            </w:r>
          </w:p>
        </w:tc>
      </w:tr>
      <w:tr>
        <w:trPr>
          <w:trHeight w:val="425"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Managed SaaS (recommended) or private cloud</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Production, DR, UAT, SIT</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 recommended</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30-week programme</w:t>
            </w:r>
          </w:p>
        </w:tc>
      </w:tr>
      <w:tr>
        <w:trPr>
          <w:trHeight w:val="425" w:hRule="atLeast"/>
        </w:trPr>
        <w:tc>
          <w:tcPr>
            <w:tcW w:type="dxa" w:w="4873"/>
            <w:vAlign w:val="center"/>
          </w:tcPr>
          <w:p>
            <w:pPr>
              <w:spacing w:line="276" w:lineRule="auto" w:before="0" w:after="0"/>
            </w:pPr>
            <w:r/>
            <w:r>
              <w:rPr>
                <w:rFonts w:ascii="Figtree" w:hAnsi="Figtree"/>
                <w:b w:val="0"/>
                <w:i w:val="0"/>
                <w:sz w:val="20"/>
              </w:rPr>
              <w:t>Corridor count</w:t>
            </w:r>
          </w:p>
        </w:tc>
        <w:tc>
          <w:tcPr>
            <w:tcW w:type="dxa" w:w="4873"/>
            <w:vAlign w:val="center"/>
          </w:tcPr>
          <w:p>
            <w:pPr>
              <w:spacing w:line="276" w:lineRule="auto" w:before="0" w:after="0"/>
            </w:pPr>
            <w:r/>
            <w:r>
              <w:rPr>
                <w:rFonts w:ascii="Figtree" w:hAnsi="Figtree"/>
                <w:b w:val="0"/>
                <w:i w:val="0"/>
                <w:sz w:val="20"/>
              </w:rPr>
              <w:t>Unlimited within platform scope</w:t>
            </w:r>
          </w:p>
        </w:tc>
      </w:tr>
    </w:tbl>
    <w:p>
      <w:pPr>
        <w:spacing w:before="0" w:after="0" w:line="120" w:lineRule="exact"/>
      </w:pPr>
    </w:p>
    <w:p>
      <w:pPr>
        <w:pStyle w:val="H2"/>
        <w:numPr>
          <w:ilvl w:val="1"/>
          <w:numId w:val="1"/>
        </w:numPr>
      </w:pPr>
      <w:r>
        <w:t>4. Deployment Options and Pricing</w:t>
      </w:r>
    </w:p>
    <w:p>
      <w:pPr>
        <w:pStyle w:val="H3"/>
        <w:numPr>
          <w:ilvl w:val="2"/>
          <w:numId w:val="1"/>
        </w:numPr>
      </w:pPr>
      <w:r>
        <w:t>4.1 Recommended: Managed SaaS (AWS Singapore)</w:t>
      </w:r>
    </w:p>
    <w:p>
      <w:r>
        <w:rPr>
          <w:rFonts w:ascii="Figtree" w:hAnsi="Figtree"/>
          <w:b w:val="0"/>
          <w:i w:val="0"/>
          <w:sz w:val="22"/>
        </w:rPr>
        <w:t>Fastest deployment, lowest operational overhead, auto-scaling for Airwallex's volume variability, MAS data residency compliance.</w:t>
      </w:r>
    </w:p>
    <w:p>
      <w:pPr>
        <w:pStyle w:val="H3"/>
        <w:numPr>
          <w:ilvl w:val="2"/>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27"/>
        <w:gridCol w:w="2693"/>
        <w:gridCol w:w="25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Enterprise platform license</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USD [VARIABLE]</w:t>
            </w:r>
          </w:p>
        </w:tc>
      </w:tr>
      <w:tr>
        <w:trPr>
          <w:trHeight w:val="425" w:hRule="atLeast"/>
        </w:trPr>
        <w:tc>
          <w:tcPr>
            <w:tcW w:type="dxa" w:w="3249"/>
            <w:vAlign w:val="center"/>
          </w:tcPr>
          <w:p>
            <w:pPr>
              <w:spacing w:line="276" w:lineRule="auto" w:before="0" w:after="0"/>
            </w:pPr>
            <w:r/>
            <w:r>
              <w:rPr>
                <w:rFonts w:ascii="Figtree" w:hAnsi="Figtree"/>
                <w:b w:val="0"/>
                <w:i w:val="0"/>
                <w:sz w:val="20"/>
              </w:rPr>
              <w:t>Managed SaaS infrastructure</w:t>
            </w:r>
          </w:p>
        </w:tc>
        <w:tc>
          <w:tcPr>
            <w:tcW w:type="dxa" w:w="3249"/>
            <w:vAlign w:val="center"/>
          </w:tcPr>
          <w:p>
            <w:pPr>
              <w:spacing w:line="276" w:lineRule="auto" w:before="0" w:after="0"/>
            </w:pPr>
            <w:r/>
            <w:r>
              <w:rPr>
                <w:rFonts w:ascii="Figtree" w:hAnsi="Figtree"/>
                <w:b w:val="0"/>
                <w:i w:val="0"/>
                <w:sz w:val="20"/>
              </w:rPr>
              <w:t>Included in license</w:t>
            </w:r>
          </w:p>
        </w:tc>
        <w:tc>
          <w:tcPr>
            <w:tcW w:type="dxa" w:w="3249"/>
            <w:vAlign w:val="center"/>
          </w:tcPr>
          <w:p>
            <w:pPr>
              <w:spacing w:line="276" w:lineRule="auto" w:before="0" w:after="0"/>
            </w:pPr>
            <w:r/>
            <w:r>
              <w:rPr>
                <w:rFonts w:ascii="Figtree" w:hAnsi="Figtree"/>
                <w:b w:val="0"/>
                <w:i w:val="0"/>
                <w:sz w:val="20"/>
              </w:rPr>
              <w:t>SettleMint-managed</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One-time</w:t>
            </w:r>
          </w:p>
        </w:tc>
        <w:tc>
          <w:tcPr>
            <w:tcW w:type="dxa" w:w="3249"/>
            <w:vAlign w:val="center"/>
          </w:tcPr>
          <w:p>
            <w:pPr>
              <w:spacing w:line="276" w:lineRule="auto" w:before="0" w:after="0"/>
            </w:pPr>
            <w:r/>
            <w:r>
              <w:rPr>
                <w:rFonts w:ascii="Figtree" w:hAnsi="Figtree"/>
                <w:b w:val="0"/>
                <w:i w:val="0"/>
                <w:sz w:val="20"/>
              </w:rPr>
              <w:t>USD [VARIABLE]</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USD [VARIABLE]</w:t>
            </w:r>
          </w:p>
        </w:tc>
      </w:tr>
    </w:tbl>
    <w:p>
      <w:pPr>
        <w:spacing w:before="0" w:after="0" w:line="120" w:lineRule="exact"/>
      </w:pPr>
    </w:p>
    <w:p>
      <w:pPr>
        <w:pStyle w:val="H3"/>
        <w:numPr>
          <w:ilvl w:val="2"/>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36"/>
        <w:gridCol w:w="61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Number of initial corridors</w:t>
            </w:r>
          </w:p>
        </w:tc>
        <w:tc>
          <w:tcPr>
            <w:tcW w:type="dxa" w:w="4873"/>
            <w:vAlign w:val="center"/>
          </w:tcPr>
          <w:p>
            <w:pPr>
              <w:spacing w:line="276" w:lineRule="auto" w:before="0" w:after="0"/>
            </w:pPr>
            <w:r/>
            <w:r>
              <w:rPr>
                <w:rFonts w:ascii="Figtree" w:hAnsi="Figtree"/>
                <w:b w:val="0"/>
                <w:i w:val="0"/>
                <w:sz w:val="20"/>
              </w:rPr>
              <w:t>More corridors = longer configuration phase</w:t>
            </w:r>
          </w:p>
        </w:tc>
      </w:tr>
      <w:tr>
        <w:trPr>
          <w:trHeight w:val="425" w:hRule="atLeast"/>
        </w:trPr>
        <w:tc>
          <w:tcPr>
            <w:tcW w:type="dxa" w:w="4873"/>
            <w:vAlign w:val="center"/>
          </w:tcPr>
          <w:p>
            <w:pPr>
              <w:spacing w:line="276" w:lineRule="auto" w:before="0" w:after="0"/>
            </w:pPr>
            <w:r/>
            <w:r>
              <w:rPr>
                <w:rFonts w:ascii="Figtree" w:hAnsi="Figtree"/>
                <w:b w:val="0"/>
                <w:i w:val="0"/>
                <w:sz w:val="20"/>
              </w:rPr>
              <w:t>Counterparty network setup</w:t>
            </w:r>
          </w:p>
        </w:tc>
        <w:tc>
          <w:tcPr>
            <w:tcW w:type="dxa" w:w="4873"/>
            <w:vAlign w:val="center"/>
          </w:tcPr>
          <w:p>
            <w:pPr>
              <w:spacing w:line="276" w:lineRule="auto" w:before="0" w:after="0"/>
            </w:pPr>
            <w:r/>
            <w:r>
              <w:rPr>
                <w:rFonts w:ascii="Figtree" w:hAnsi="Figtree"/>
                <w:b w:val="0"/>
                <w:i w:val="0"/>
                <w:sz w:val="20"/>
              </w:rPr>
              <w:t>Each counterparty requires identity onboarding</w:t>
            </w:r>
          </w:p>
        </w:tc>
      </w:tr>
      <w:tr>
        <w:trPr>
          <w:trHeight w:val="425" w:hRule="atLeast"/>
        </w:trPr>
        <w:tc>
          <w:tcPr>
            <w:tcW w:type="dxa" w:w="4873"/>
            <w:vAlign w:val="center"/>
          </w:tcPr>
          <w:p>
            <w:pPr>
              <w:spacing w:line="276" w:lineRule="auto" w:before="0" w:after="0"/>
            </w:pPr>
            <w:r/>
            <w:r>
              <w:rPr>
                <w:rFonts w:ascii="Figtree" w:hAnsi="Figtree"/>
                <w:b w:val="0"/>
                <w:i w:val="0"/>
                <w:sz w:val="20"/>
              </w:rPr>
              <w:t>Custom reporting formats</w:t>
            </w:r>
          </w:p>
        </w:tc>
        <w:tc>
          <w:tcPr>
            <w:tcW w:type="dxa" w:w="4873"/>
            <w:vAlign w:val="center"/>
          </w:tcPr>
          <w:p>
            <w:pPr>
              <w:spacing w:line="276" w:lineRule="auto" w:before="0" w:after="0"/>
            </w:pPr>
            <w:r/>
            <w:r>
              <w:rPr>
                <w:rFonts w:ascii="Figtree" w:hAnsi="Figtree"/>
                <w:b w:val="0"/>
                <w:i w:val="0"/>
                <w:sz w:val="20"/>
              </w:rPr>
              <w:t>Airwallex's reporting requirements may require custom configuration</w:t>
            </w:r>
          </w:p>
        </w:tc>
      </w:tr>
    </w:tbl>
    <w:p>
      <w:pPr>
        <w:spacing w:before="0" w:after="0" w:line="120" w:lineRule="exact"/>
      </w:pPr>
    </w:p>
    <w:p>
      <w:pPr>
        <w:pStyle w:val="H2"/>
        <w:numPr>
          <w:ilvl w:val="1"/>
          <w:numId w:val="1"/>
        </w:numPr>
      </w:pPr>
      <w:r>
        <w:t>5.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5"/>
        <w:gridCol w:w="64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Maintenance</w:t>
            </w:r>
          </w:p>
        </w:tc>
        <w:tc>
          <w:tcPr>
            <w:tcW w:type="dxa" w:w="4873"/>
            <w:vAlign w:val="center"/>
          </w:tcPr>
          <w:p>
            <w:pPr>
              <w:spacing w:line="276" w:lineRule="auto" w:before="0" w:after="0"/>
            </w:pPr>
            <w:r/>
            <w:r>
              <w:rPr>
                <w:rFonts w:ascii="Figtree" w:hAnsi="Figtree"/>
                <w:b w:val="0"/>
                <w:i w:val="0"/>
                <w:sz w:val="20"/>
              </w:rPr>
              <w:t>Off-peak APAC hours; 5 business days notice</w:t>
            </w:r>
          </w:p>
        </w:tc>
      </w:tr>
    </w:tbl>
    <w:p>
      <w:pPr>
        <w:spacing w:before="0" w:after="0" w:line="120" w:lineRule="exact"/>
      </w:pPr>
    </w:p>
    <w:p>
      <w:pPr>
        <w:pStyle w:val="H2"/>
        <w:numPr>
          <w:ilvl w:val="1"/>
          <w:numId w:val="1"/>
        </w:numPr>
      </w:pPr>
      <w:r>
        <w:t>6. Implementation Investment</w:t>
      </w:r>
    </w:p>
    <w:p>
      <w:pPr>
        <w:pStyle w:val="H3"/>
        <w:numPr>
          <w:ilvl w:val="2"/>
          <w:numId w:val="1"/>
        </w:numPr>
      </w:pPr>
      <w:r>
        <w:t>6.1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0"/>
        <w:gridCol w:w="1070"/>
        <w:gridCol w:w="5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Corridor priority; compliance requirements mapped</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First corridors demonstrable in SIT</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Airwallex API integration passing tests</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SIT, UAT, performance signed off</w:t>
            </w:r>
          </w:p>
        </w:tc>
      </w:tr>
      <w:tr>
        <w:trPr>
          <w:trHeight w:val="425" w:hRule="atLeast"/>
        </w:trPr>
        <w:tc>
          <w:tcPr>
            <w:tcW w:type="dxa" w:w="3249"/>
            <w:vAlign w:val="center"/>
          </w:tcPr>
          <w:p>
            <w:pPr>
              <w:spacing w:line="276" w:lineRule="auto" w:before="0" w:after="0"/>
            </w:pPr>
            <w:r/>
            <w:r>
              <w:rPr>
                <w:rFonts w:ascii="Figtree" w:hAnsi="Figtree"/>
                <w:b w:val="0"/>
                <w:i w:val="0"/>
                <w:sz w:val="20"/>
              </w:rPr>
              <w:t>5.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First corridors live</w:t>
            </w:r>
          </w:p>
        </w:tc>
      </w:tr>
      <w:tr>
        <w:trPr>
          <w:trHeight w:val="425" w:hRule="atLeast"/>
        </w:trPr>
        <w:tc>
          <w:tcPr>
            <w:tcW w:type="dxa" w:w="3249"/>
            <w:vAlign w:val="center"/>
          </w:tcPr>
          <w:p>
            <w:pPr>
              <w:spacing w:line="276" w:lineRule="auto" w:before="0" w:after="0"/>
            </w:pPr>
            <w:r/>
            <w:r>
              <w:rPr>
                <w:rFonts w:ascii="Figtree" w:hAnsi="Figtree"/>
                <w:b w:val="0"/>
                <w:i w:val="0"/>
                <w:sz w:val="20"/>
              </w:rPr>
              <w:t>6.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Additional corridors; KPI targets met</w:t>
            </w:r>
          </w:p>
        </w:tc>
      </w:tr>
    </w:tbl>
    <w:p>
      <w:pPr>
        <w:spacing w:before="0" w:after="0" w:line="120" w:lineRule="exact"/>
      </w:pPr>
    </w:p>
    <w:p>
      <w:r>
        <w:rPr>
          <w:rFonts w:ascii="Figtree" w:hAnsi="Figtree"/>
          <w:b/>
          <w:i w:val="0"/>
          <w:sz w:val="22"/>
        </w:rPr>
        <w:t>Total: approximately 30 weeks</w:t>
      </w:r>
    </w:p>
    <w:p>
      <w:pPr>
        <w:pStyle w:val="H3"/>
        <w:numPr>
          <w:ilvl w:val="2"/>
          <w:numId w:val="1"/>
        </w:numPr>
      </w:pPr>
      <w:r>
        <w:t>6.2 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66"/>
        <w:gridCol w:w="500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(USD)</w:t>
            </w:r>
          </w:p>
        </w:tc>
      </w:tr>
      <w:tr>
        <w:trPr>
          <w:trHeight w:val="425" w:hRule="atLeast"/>
        </w:trPr>
        <w:tc>
          <w:tcPr>
            <w:tcW w:type="dxa" w:w="4873"/>
            <w:vAlign w:val="center"/>
          </w:tcPr>
          <w:p>
            <w:pPr>
              <w:spacing w:line="276" w:lineRule="auto" w:before="0" w:after="0"/>
            </w:pPr>
            <w:r/>
            <w:r>
              <w:rPr>
                <w:rFonts w:ascii="Figtree" w:hAnsi="Figtree"/>
                <w:b w:val="0"/>
                <w:i w:val="0"/>
                <w:sz w:val="20"/>
              </w:rPr>
              <w:t>Discovery</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Configuration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Integration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Testing</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Go-Live</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Hypercare</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[VARIABLE]</w:t>
            </w:r>
          </w:p>
        </w:tc>
      </w:tr>
    </w:tbl>
    <w:p>
      <w:pPr>
        <w:spacing w:before="0" w:after="0" w:line="120" w:lineRule="exact"/>
      </w:pPr>
    </w:p>
    <w:p>
      <w:pPr>
        <w:pStyle w:val="H3"/>
        <w:numPr>
          <w:ilvl w:val="2"/>
          <w:numId w:val="1"/>
        </w:numPr>
      </w:pPr>
      <w:r>
        <w:t>6.3 Accelerators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09"/>
        <w:gridCol w:w="42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Accelerator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Managed SaaS: no infrastructure provisioning</w:t>
            </w:r>
          </w:p>
        </w:tc>
        <w:tc>
          <w:tcPr>
            <w:tcW w:type="dxa" w:w="4873"/>
            <w:vAlign w:val="center"/>
          </w:tcPr>
          <w:p>
            <w:pPr>
              <w:spacing w:line="276" w:lineRule="auto" w:before="0" w:after="0"/>
            </w:pPr>
            <w:r/>
            <w:r>
              <w:rPr>
                <w:rFonts w:ascii="Figtree" w:hAnsi="Figtree"/>
                <w:b w:val="0"/>
                <w:i w:val="0"/>
                <w:sz w:val="20"/>
              </w:rPr>
              <w:t>Saves 4-6 weeks vs. private cloud</w:t>
            </w:r>
          </w:p>
        </w:tc>
      </w:tr>
      <w:tr>
        <w:trPr>
          <w:trHeight w:val="425" w:hRule="atLeast"/>
        </w:trPr>
        <w:tc>
          <w:tcPr>
            <w:tcW w:type="dxa" w:w="4873"/>
            <w:vAlign w:val="center"/>
          </w:tcPr>
          <w:p>
            <w:pPr>
              <w:spacing w:line="276" w:lineRule="auto" w:before="0" w:after="0"/>
            </w:pPr>
            <w:r/>
            <w:r>
              <w:rPr>
                <w:rFonts w:ascii="Figtree" w:hAnsi="Figtree"/>
                <w:b w:val="0"/>
                <w:i w:val="0"/>
                <w:sz w:val="20"/>
              </w:rPr>
              <w:t>Pre-built MAS PSA compliance templates</w:t>
            </w:r>
          </w:p>
        </w:tc>
        <w:tc>
          <w:tcPr>
            <w:tcW w:type="dxa" w:w="4873"/>
            <w:vAlign w:val="center"/>
          </w:tcPr>
          <w:p>
            <w:pPr>
              <w:spacing w:line="276" w:lineRule="auto" w:before="0" w:after="0"/>
            </w:pPr>
            <w:r/>
            <w:r>
              <w:rPr>
                <w:rFonts w:ascii="Figtree" w:hAnsi="Figtree"/>
                <w:b w:val="0"/>
                <w:i w:val="0"/>
                <w:sz w:val="20"/>
              </w:rPr>
              <w:t>Reduces compliance configuration by 30%</w:t>
            </w:r>
          </w:p>
        </w:tc>
      </w:tr>
      <w:tr>
        <w:trPr>
          <w:trHeight w:val="425" w:hRule="atLeast"/>
        </w:trPr>
        <w:tc>
          <w:tcPr>
            <w:tcW w:type="dxa" w:w="4873"/>
            <w:vAlign w:val="center"/>
          </w:tcPr>
          <w:p>
            <w:pPr>
              <w:spacing w:line="276" w:lineRule="auto" w:before="0" w:after="0"/>
            </w:pPr>
            <w:r/>
            <w:r>
              <w:rPr>
                <w:rFonts w:ascii="Figtree" w:hAnsi="Figtree"/>
                <w:b w:val="0"/>
                <w:i w:val="0"/>
                <w:sz w:val="20"/>
              </w:rPr>
              <w:t>OpenAPI SDK for Airwallex integration</w:t>
            </w:r>
          </w:p>
        </w:tc>
        <w:tc>
          <w:tcPr>
            <w:tcW w:type="dxa" w:w="4873"/>
            <w:vAlign w:val="center"/>
          </w:tcPr>
          <w:p>
            <w:pPr>
              <w:spacing w:line="276" w:lineRule="auto" w:before="0" w:after="0"/>
            </w:pPr>
            <w:r/>
            <w:r>
              <w:rPr>
                <w:rFonts w:ascii="Figtree" w:hAnsi="Figtree"/>
                <w:b w:val="0"/>
                <w:i w:val="0"/>
                <w:sz w:val="20"/>
              </w:rPr>
              <w:t>Reduces integration development by 25%</w:t>
            </w:r>
          </w:p>
        </w:tc>
      </w:tr>
    </w:tbl>
    <w:p>
      <w:pPr>
        <w:spacing w:before="0" w:after="0" w:line="120" w:lineRule="exact"/>
      </w:pPr>
    </w:p>
    <w:p>
      <w:pPr>
        <w:pStyle w:val="H3"/>
        <w:numPr>
          <w:ilvl w:val="2"/>
          <w:numId w:val="1"/>
        </w:numPr>
      </w:pPr>
      <w:r>
        <w:t>6.4 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43"/>
        <w:gridCol w:w="27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administrators</w:t>
            </w:r>
          </w:p>
        </w:tc>
        <w:tc>
          <w:tcPr>
            <w:tcW w:type="dxa" w:w="4873"/>
            <w:vAlign w:val="center"/>
          </w:tcPr>
          <w:p>
            <w:pPr>
              <w:spacing w:line="276" w:lineRule="auto" w:before="0" w:after="0"/>
            </w:pPr>
            <w:r/>
            <w:r>
              <w:rPr>
                <w:rFonts w:ascii="Figtree" w:hAnsi="Figtree"/>
                <w:b w:val="0"/>
                <w:i w:val="0"/>
                <w:sz w:val="20"/>
              </w:rPr>
              <w:t>2 days</w:t>
            </w:r>
          </w:p>
        </w:tc>
      </w:tr>
      <w:tr>
        <w:trPr>
          <w:trHeight w:val="425" w:hRule="atLeast"/>
        </w:trPr>
        <w:tc>
          <w:tcPr>
            <w:tcW w:type="dxa" w:w="4873"/>
            <w:vAlign w:val="center"/>
          </w:tcPr>
          <w:p>
            <w:pPr>
              <w:spacing w:line="276" w:lineRule="auto" w:before="0" w:after="0"/>
            </w:pPr>
            <w:r/>
            <w:r>
              <w:rPr>
                <w:rFonts w:ascii="Figtree" w:hAnsi="Figtree"/>
                <w:b w:val="0"/>
                <w:i w:val="0"/>
                <w:sz w:val="20"/>
              </w:rPr>
              <w:t>Settlement operations</w:t>
            </w:r>
          </w:p>
        </w:tc>
        <w:tc>
          <w:tcPr>
            <w:tcW w:type="dxa" w:w="4873"/>
            <w:vAlign w:val="center"/>
          </w:tcPr>
          <w:p>
            <w:pPr>
              <w:spacing w:line="276" w:lineRule="auto" w:before="0" w:after="0"/>
            </w:pPr>
            <w:r/>
            <w:r>
              <w:rPr>
                <w:rFonts w:ascii="Figtree" w:hAnsi="Figtree"/>
                <w:b w:val="0"/>
                <w:i w:val="0"/>
                <w:sz w:val="20"/>
              </w:rPr>
              <w:t>1 day</w:t>
            </w:r>
          </w:p>
        </w:tc>
      </w:tr>
      <w:tr>
        <w:trPr>
          <w:trHeight w:val="425" w:hRule="atLeast"/>
        </w:trPr>
        <w:tc>
          <w:tcPr>
            <w:tcW w:type="dxa" w:w="4873"/>
            <w:vAlign w:val="center"/>
          </w:tcPr>
          <w:p>
            <w:pPr>
              <w:spacing w:line="276" w:lineRule="auto" w:before="0" w:after="0"/>
            </w:pPr>
            <w:r/>
            <w:r>
              <w:rPr>
                <w:rFonts w:ascii="Figtree" w:hAnsi="Figtree"/>
                <w:b w:val="0"/>
                <w:i w:val="0"/>
                <w:sz w:val="20"/>
              </w:rPr>
              <w:t>Compliance team</w:t>
            </w:r>
          </w:p>
        </w:tc>
        <w:tc>
          <w:tcPr>
            <w:tcW w:type="dxa" w:w="4873"/>
            <w:vAlign w:val="center"/>
          </w:tcPr>
          <w:p>
            <w:pPr>
              <w:spacing w:line="276" w:lineRule="auto" w:before="0" w:after="0"/>
            </w:pPr>
            <w:r/>
            <w:r>
              <w:rPr>
                <w:rFonts w:ascii="Figtree" w:hAnsi="Figtree"/>
                <w:b w:val="0"/>
                <w:i w:val="0"/>
                <w:sz w:val="20"/>
              </w:rPr>
              <w:t>1 day</w:t>
            </w:r>
          </w:p>
        </w:tc>
      </w:tr>
      <w:tr>
        <w:trPr>
          <w:trHeight w:val="425" w:hRule="atLeast"/>
        </w:trPr>
        <w:tc>
          <w:tcPr>
            <w:tcW w:type="dxa" w:w="4873"/>
            <w:vAlign w:val="center"/>
          </w:tcPr>
          <w:p>
            <w:pPr>
              <w:spacing w:line="276" w:lineRule="auto" w:before="0" w:after="0"/>
            </w:pPr>
            <w:r/>
            <w:r>
              <w:rPr>
                <w:rFonts w:ascii="Figtree" w:hAnsi="Figtree"/>
                <w:b w:val="0"/>
                <w:i w:val="0"/>
                <w:sz w:val="20"/>
              </w:rPr>
              <w:t>Integration developers</w:t>
            </w:r>
          </w:p>
        </w:tc>
        <w:tc>
          <w:tcPr>
            <w:tcW w:type="dxa" w:w="4873"/>
            <w:vAlign w:val="center"/>
          </w:tcPr>
          <w:p>
            <w:pPr>
              <w:spacing w:line="276" w:lineRule="auto" w:before="0" w:after="0"/>
            </w:pPr>
            <w:r/>
            <w:r>
              <w:rPr>
                <w:rFonts w:ascii="Figtree" w:hAnsi="Figtree"/>
                <w:b w:val="0"/>
                <w:i w:val="0"/>
                <w:sz w:val="20"/>
              </w:rPr>
              <w:t>1 day</w:t>
            </w:r>
          </w:p>
        </w:tc>
      </w:tr>
    </w:tbl>
    <w:p>
      <w:pPr>
        <w:spacing w:before="0" w:after="0" w:line="120" w:lineRule="exact"/>
      </w:pPr>
    </w:p>
    <w:p>
      <w:pPr>
        <w:pStyle w:val="H2"/>
        <w:numPr>
          <w:ilvl w:val="1"/>
          <w:numId w:val="1"/>
        </w:numPr>
      </w:pPr>
      <w:r>
        <w:t>7. Commercial Terms</w:t>
      </w:r>
    </w:p>
    <w:p>
      <w:pPr>
        <w:pStyle w:val="H3"/>
        <w:numPr>
          <w:ilvl w:val="2"/>
          <w:numId w:val="1"/>
        </w:numPr>
      </w:pPr>
      <w:r>
        <w:t>7.1 Contract Structure</w:t>
      </w:r>
    </w:p>
    <w:p>
      <w:r>
        <w:rPr>
          <w:rFonts w:ascii="Figtree" w:hAnsi="Figtree"/>
          <w:b w:val="0"/>
          <w:i w:val="0"/>
          <w:sz w:val="22"/>
        </w:rPr>
        <w:t>MSA, SoW, Support Agreement, DPA (PDPA Singapore, GDPR where applicable), MAS Outsourcing addendum.</w:t>
      </w:r>
    </w:p>
    <w:p>
      <w:pPr>
        <w:pStyle w:val="H3"/>
        <w:numPr>
          <w:ilvl w:val="2"/>
          <w:numId w:val="1"/>
        </w:numPr>
      </w:pPr>
      <w:r>
        <w:t>7.2 Payment Schedule</w:t>
      </w:r>
    </w:p>
    <w:p>
      <w:r>
        <w:rPr>
          <w:rFonts w:ascii="Figtree" w:hAnsi="Figtree"/>
          <w:b w:val="0"/>
          <w:i w:val="0"/>
          <w:sz w:val="22"/>
        </w:rPr>
        <w:t>Implementation milestone-based: 20% at contract execution; 20% Discovery; 25% Configuration and Integration; 25% Testing; 10% Go-Live and Hypercare. Annual license and support invoiced annually in advance.</w:t>
      </w:r>
    </w:p>
    <w:p>
      <w:pPr>
        <w:pStyle w:val="H3"/>
        <w:numPr>
          <w:ilvl w:val="2"/>
          <w:numId w:val="1"/>
        </w:numPr>
      </w:pPr>
      <w:r>
        <w:t>7.3 Duration</w:t>
      </w:r>
    </w:p>
    <w:p>
      <w:r>
        <w:rPr>
          <w:rFonts w:ascii="Figtree" w:hAnsi="Figtree"/>
          <w:b w:val="0"/>
          <w:i w:val="0"/>
          <w:sz w:val="22"/>
        </w:rPr>
        <w:t>Initial term: 2 or 3 years (3-year provides best commercial terms). License activation from production go-live. Auto-renew with 90-day notice to cancel.</w:t>
      </w:r>
    </w:p>
    <w:p>
      <w:pPr>
        <w:pStyle w:val="H3"/>
        <w:numPr>
          <w:ilvl w:val="2"/>
          <w:numId w:val="1"/>
        </w:numPr>
      </w:pPr>
      <w:r>
        <w:t>7.4 IP</w:t>
      </w:r>
    </w:p>
    <w:p>
      <w:r>
        <w:rPr>
          <w:rFonts w:ascii="Figtree" w:hAnsi="Figtree"/>
          <w:b w:val="0"/>
          <w:i w:val="0"/>
          <w:sz w:val="22"/>
        </w:rPr>
        <w:t>DALP platform: SettleMint. Airwallex settlement data and configuration: Airwallex. Integration code: joint ownership (negotiable).</w:t>
      </w:r>
    </w:p>
    <w:p>
      <w:pPr>
        <w:pStyle w:val="H3"/>
        <w:numPr>
          <w:ilvl w:val="2"/>
          <w:numId w:val="1"/>
        </w:numPr>
      </w:pPr>
      <w:r>
        <w:t>7.5 Exit</w:t>
      </w:r>
    </w:p>
    <w:p>
      <w:r>
        <w:rPr>
          <w:rFonts w:ascii="Figtree" w:hAnsi="Figtree"/>
          <w:b w:val="0"/>
          <w:i w:val="0"/>
          <w:sz w:val="22"/>
        </w:rPr>
        <w:t>90-day notice. Complete data export. 60-day transition support at agreed rates.</w:t>
      </w:r>
    </w:p>
    <w:p>
      <w:pPr>
        <w:pStyle w:val="H2"/>
        <w:numPr>
          <w:ilvl w:val="1"/>
          <w:numId w:val="1"/>
        </w:numPr>
      </w:pPr>
      <w:r>
        <w:t>8. Total Cost of Ownership</w:t>
      </w:r>
    </w:p>
    <w:p>
      <w:pPr>
        <w:pStyle w:val="H3"/>
        <w:numPr>
          <w:ilvl w:val="2"/>
          <w:numId w:val="1"/>
        </w:numPr>
      </w:pPr>
      <w:r>
        <w:t>8.1 3-Year DALP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1"/>
        <w:gridCol w:w="1395"/>
        <w:gridCol w:w="1395"/>
        <w:gridCol w:w="1395"/>
        <w:gridCol w:w="116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bl>
    <w:p>
      <w:pPr>
        <w:spacing w:before="0" w:after="0" w:line="120" w:lineRule="exact"/>
      </w:pPr>
    </w:p>
    <w:p>
      <w:r>
        <w:rPr>
          <w:rFonts w:ascii="Figtree" w:hAnsi="Figtree"/>
          <w:b w:val="0"/>
          <w:i w:val="0"/>
          <w:sz w:val="22"/>
        </w:rPr>
        <w:t>Infrastructure costs are included in the Managed SaaS license for Airwallex's deployment model.</w:t>
      </w:r>
    </w:p>
    <w:p>
      <w:pPr>
        <w:pStyle w:val="H3"/>
        <w:numPr>
          <w:ilvl w:val="2"/>
          <w:numId w:val="1"/>
        </w:numPr>
      </w:pPr>
      <w:r>
        <w:t>8.2 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38"/>
        <w:gridCol w:w="1405"/>
        <w:gridCol w:w="1788"/>
        <w:gridCol w:w="29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Treasury Tech Vendor</w:t>
            </w:r>
          </w:p>
        </w:tc>
      </w:tr>
      <w:tr>
        <w:trPr>
          <w:trHeight w:val="425" w:hRule="atLeast"/>
        </w:trPr>
        <w:tc>
          <w:tcPr>
            <w:tcW w:type="dxa" w:w="2436"/>
            <w:vAlign w:val="center"/>
          </w:tcPr>
          <w:p>
            <w:pPr>
              <w:spacing w:line="276" w:lineRule="auto" w:before="0" w:after="0"/>
            </w:pPr>
            <w:r/>
            <w:r>
              <w:rPr>
                <w:rFonts w:ascii="Figtree" w:hAnsi="Figtree"/>
                <w:b w:val="0"/>
                <w:i w:val="0"/>
                <w:sz w:val="20"/>
              </w:rPr>
              <w:t>Time to corridors</w:t>
            </w:r>
          </w:p>
        </w:tc>
        <w:tc>
          <w:tcPr>
            <w:tcW w:type="dxa" w:w="2436"/>
            <w:vAlign w:val="center"/>
          </w:tcPr>
          <w:p>
            <w:pPr>
              <w:spacing w:line="276" w:lineRule="auto" w:before="0" w:after="0"/>
            </w:pPr>
            <w:r/>
            <w:r>
              <w:rPr>
                <w:rFonts w:ascii="Figtree" w:hAnsi="Figtree"/>
                <w:b w:val="0"/>
                <w:i w:val="0"/>
                <w:sz w:val="20"/>
              </w:rPr>
              <w:t>6 months</w:t>
            </w:r>
          </w:p>
        </w:tc>
        <w:tc>
          <w:tcPr>
            <w:tcW w:type="dxa" w:w="2436"/>
            <w:vAlign w:val="center"/>
          </w:tcPr>
          <w:p>
            <w:pPr>
              <w:spacing w:line="276" w:lineRule="auto" w:before="0" w:after="0"/>
            </w:pPr>
            <w:r/>
            <w:r>
              <w:rPr>
                <w:rFonts w:ascii="Figtree" w:hAnsi="Figtree"/>
                <w:b w:val="0"/>
                <w:i w:val="0"/>
                <w:sz w:val="20"/>
              </w:rPr>
              <w:t>12-18 months</w:t>
            </w:r>
          </w:p>
        </w:tc>
        <w:tc>
          <w:tcPr>
            <w:tcW w:type="dxa" w:w="2436"/>
            <w:vAlign w:val="center"/>
          </w:tcPr>
          <w:p>
            <w:pPr>
              <w:spacing w:line="276" w:lineRule="auto" w:before="0" w:after="0"/>
            </w:pPr>
            <w:r/>
            <w:r>
              <w:rPr>
                <w:rFonts w:ascii="Figtree" w:hAnsi="Figtree"/>
                <w:b w:val="0"/>
                <w:i w:val="0"/>
                <w:sz w:val="20"/>
              </w:rPr>
              <w:t>8-12 months</w:t>
            </w:r>
          </w:p>
        </w:tc>
      </w:tr>
      <w:tr>
        <w:trPr>
          <w:trHeight w:val="425" w:hRule="atLeast"/>
        </w:trPr>
        <w:tc>
          <w:tcPr>
            <w:tcW w:type="dxa" w:w="2436"/>
            <w:vAlign w:val="center"/>
          </w:tcPr>
          <w:p>
            <w:pPr>
              <w:spacing w:line="276" w:lineRule="auto" w:before="0" w:after="0"/>
            </w:pPr>
            <w:r/>
            <w:r>
              <w:rPr>
                <w:rFonts w:ascii="Figtree" w:hAnsi="Figtree"/>
                <w:b w:val="0"/>
                <w:i w:val="0"/>
                <w:sz w:val="20"/>
              </w:rPr>
              <w:t>Engineering burden</w:t>
            </w:r>
          </w:p>
        </w:tc>
        <w:tc>
          <w:tcPr>
            <w:tcW w:type="dxa" w:w="2436"/>
            <w:vAlign w:val="center"/>
          </w:tcPr>
          <w:p>
            <w:pPr>
              <w:spacing w:line="276" w:lineRule="auto" w:before="0" w:after="0"/>
            </w:pPr>
            <w:r/>
            <w:r>
              <w:rPr>
                <w:rFonts w:ascii="Figtree" w:hAnsi="Figtree"/>
                <w:b w:val="0"/>
                <w:i w:val="0"/>
                <w:sz w:val="20"/>
              </w:rPr>
              <w:t>Minimal</w:t>
            </w:r>
          </w:p>
        </w:tc>
        <w:tc>
          <w:tcPr>
            <w:tcW w:type="dxa" w:w="2436"/>
            <w:vAlign w:val="center"/>
          </w:tcPr>
          <w:p>
            <w:pPr>
              <w:spacing w:line="276" w:lineRule="auto" w:before="0" w:after="0"/>
            </w:pPr>
            <w:r/>
            <w:r>
              <w:rPr>
                <w:rFonts w:ascii="Figtree" w:hAnsi="Figtree"/>
                <w:b w:val="0"/>
                <w:i w:val="0"/>
                <w:sz w:val="20"/>
              </w:rPr>
              <w:t>High ongoing</w:t>
            </w:r>
          </w:p>
        </w:tc>
        <w:tc>
          <w:tcPr>
            <w:tcW w:type="dxa" w:w="2436"/>
            <w:vAlign w:val="center"/>
          </w:tcPr>
          <w:p>
            <w:pPr>
              <w:spacing w:line="276" w:lineRule="auto" w:before="0" w:after="0"/>
            </w:pPr>
            <w:r/>
            <w:r>
              <w:rPr>
                <w:rFonts w:ascii="Figtree" w:hAnsi="Figtree"/>
                <w:b w:val="0"/>
                <w:i w:val="0"/>
                <w:sz w:val="20"/>
              </w:rPr>
              <w:t>Integration maintenance</w:t>
            </w:r>
          </w:p>
        </w:tc>
      </w:tr>
      <w:tr>
        <w:trPr>
          <w:trHeight w:val="425" w:hRule="atLeast"/>
        </w:trPr>
        <w:tc>
          <w:tcPr>
            <w:tcW w:type="dxa" w:w="2436"/>
            <w:vAlign w:val="center"/>
          </w:tcPr>
          <w:p>
            <w:pPr>
              <w:spacing w:line="276" w:lineRule="auto" w:before="0" w:after="0"/>
            </w:pPr>
            <w:r/>
            <w:r>
              <w:rPr>
                <w:rFonts w:ascii="Figtree" w:hAnsi="Figtree"/>
                <w:b w:val="0"/>
                <w:i w:val="0"/>
                <w:sz w:val="20"/>
              </w:rPr>
              <w:t>Corridor expansion cost</w:t>
            </w:r>
          </w:p>
        </w:tc>
        <w:tc>
          <w:tcPr>
            <w:tcW w:type="dxa" w:w="2436"/>
            <w:vAlign w:val="center"/>
          </w:tcPr>
          <w:p>
            <w:pPr>
              <w:spacing w:line="276" w:lineRule="auto" w:before="0" w:after="0"/>
            </w:pPr>
            <w:r/>
            <w:r>
              <w:rPr>
                <w:rFonts w:ascii="Figtree" w:hAnsi="Figtree"/>
                <w:b w:val="0"/>
                <w:i w:val="0"/>
                <w:sz w:val="20"/>
              </w:rPr>
              <w:t>Config only</w:t>
            </w:r>
          </w:p>
        </w:tc>
        <w:tc>
          <w:tcPr>
            <w:tcW w:type="dxa" w:w="2436"/>
            <w:vAlign w:val="center"/>
          </w:tcPr>
          <w:p>
            <w:pPr>
              <w:spacing w:line="276" w:lineRule="auto" w:before="0" w:after="0"/>
            </w:pPr>
            <w:r/>
            <w:r>
              <w:rPr>
                <w:rFonts w:ascii="Figtree" w:hAnsi="Figtree"/>
                <w:b w:val="0"/>
                <w:i w:val="0"/>
                <w:sz w:val="20"/>
              </w:rPr>
              <w:t>Engineering</w:t>
            </w:r>
          </w:p>
        </w:tc>
        <w:tc>
          <w:tcPr>
            <w:tcW w:type="dxa" w:w="2436"/>
            <w:vAlign w:val="center"/>
          </w:tcPr>
          <w:p>
            <w:pPr>
              <w:spacing w:line="276" w:lineRule="auto" w:before="0" w:after="0"/>
            </w:pPr>
            <w:r/>
            <w:r>
              <w:rPr>
                <w:rFonts w:ascii="Figtree" w:hAnsi="Figtree"/>
                <w:b w:val="0"/>
                <w:i w:val="0"/>
                <w:sz w:val="20"/>
              </w:rPr>
              <w:t>Depends</w:t>
            </w:r>
          </w:p>
        </w:tc>
      </w:tr>
      <w:tr>
        <w:trPr>
          <w:trHeight w:val="425" w:hRule="atLeast"/>
        </w:trPr>
        <w:tc>
          <w:tcPr>
            <w:tcW w:type="dxa" w:w="2436"/>
            <w:vAlign w:val="center"/>
          </w:tcPr>
          <w:p>
            <w:pPr>
              <w:spacing w:line="276" w:lineRule="auto" w:before="0" w:after="0"/>
            </w:pPr>
            <w:r/>
            <w:r>
              <w:rPr>
                <w:rFonts w:ascii="Figtree" w:hAnsi="Figtree"/>
                <w:b w:val="0"/>
                <w:i w:val="0"/>
                <w:sz w:val="20"/>
              </w:rPr>
              <w:t>Year 3 recurring cost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Moderate-high</w:t>
            </w:r>
          </w:p>
        </w:tc>
      </w:tr>
    </w:tbl>
    <w:p>
      <w:pPr>
        <w:spacing w:before="0" w:after="0" w:line="120" w:lineRule="exact"/>
      </w:pP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3917"/>
        <w:gridCol w:w="26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3249"/>
            <w:vAlign w:val="center"/>
          </w:tcPr>
          <w:p>
            <w:pPr>
              <w:spacing w:line="276" w:lineRule="auto" w:before="0" w:after="0"/>
            </w:pPr>
            <w:r/>
            <w:r>
              <w:rPr>
                <w:rFonts w:ascii="Figtree" w:hAnsi="Figtree"/>
                <w:b w:val="0"/>
                <w:i w:val="0"/>
                <w:sz w:val="20"/>
              </w:rPr>
              <w:t>DBS Bank (Singapore)</w:t>
            </w:r>
          </w:p>
        </w:tc>
        <w:tc>
          <w:tcPr>
            <w:tcW w:type="dxa" w:w="3249"/>
            <w:vAlign w:val="center"/>
          </w:tcPr>
          <w:p>
            <w:pPr>
              <w:spacing w:line="276" w:lineRule="auto" w:before="0" w:after="0"/>
            </w:pPr>
            <w:r/>
            <w:r>
              <w:rPr>
                <w:rFonts w:ascii="Figtree" w:hAnsi="Figtree"/>
                <w:b w:val="0"/>
                <w:i w:val="0"/>
                <w:sz w:val="20"/>
              </w:rPr>
              <w:t>Cross-border settlement, MAS regulated</w:t>
            </w:r>
          </w:p>
        </w:tc>
        <w:tc>
          <w:tcPr>
            <w:tcW w:type="dxa" w:w="3249"/>
            <w:vAlign w:val="center"/>
          </w:tcPr>
          <w:p>
            <w:pPr>
              <w:spacing w:line="276" w:lineRule="auto" w:before="0" w:after="0"/>
            </w:pPr>
            <w:r/>
            <w:r>
              <w:rPr>
                <w:rFonts w:ascii="Figtree" w:hAnsi="Figtree"/>
                <w:b w:val="0"/>
                <w:i w:val="0"/>
                <w:sz w:val="20"/>
              </w:rPr>
              <w:t>T+0 settlement; production</w:t>
            </w:r>
          </w:p>
        </w:tc>
      </w:tr>
      <w:tr>
        <w:trPr>
          <w:trHeight w:val="425" w:hRule="atLeast"/>
        </w:trPr>
        <w:tc>
          <w:tcPr>
            <w:tcW w:type="dxa" w:w="3249"/>
            <w:vAlign w:val="center"/>
          </w:tcPr>
          <w:p>
            <w:pPr>
              <w:spacing w:line="276" w:lineRule="auto" w:before="0" w:after="0"/>
            </w:pPr>
            <w:r/>
            <w:r>
              <w:rPr>
                <w:rFonts w:ascii="Figtree" w:hAnsi="Figtree"/>
                <w:b w:val="0"/>
                <w:i w:val="0"/>
                <w:sz w:val="20"/>
              </w:rPr>
              <w:t>Flutterwave (Pan-Africa)</w:t>
            </w:r>
          </w:p>
        </w:tc>
        <w:tc>
          <w:tcPr>
            <w:tcW w:type="dxa" w:w="3249"/>
            <w:vAlign w:val="center"/>
          </w:tcPr>
          <w:p>
            <w:pPr>
              <w:spacing w:line="276" w:lineRule="auto" w:before="0" w:after="0"/>
            </w:pPr>
            <w:r/>
            <w:r>
              <w:rPr>
                <w:rFonts w:ascii="Figtree" w:hAnsi="Figtree"/>
                <w:b w:val="0"/>
                <w:i w:val="0"/>
                <w:sz w:val="20"/>
              </w:rPr>
              <w:t>Cross-border payments orchestration</w:t>
            </w:r>
          </w:p>
        </w:tc>
        <w:tc>
          <w:tcPr>
            <w:tcW w:type="dxa" w:w="3249"/>
            <w:vAlign w:val="center"/>
          </w:tcPr>
          <w:p>
            <w:pPr>
              <w:spacing w:line="276" w:lineRule="auto" w:before="0" w:after="0"/>
            </w:pPr>
            <w:r/>
            <w:r>
              <w:rPr>
                <w:rFonts w:ascii="Figtree" w:hAnsi="Figtree"/>
                <w:b w:val="0"/>
                <w:i w:val="0"/>
                <w:sz w:val="20"/>
              </w:rPr>
              <w:t>Multi-corridor production</w:t>
            </w:r>
          </w:p>
        </w:tc>
      </w:tr>
      <w:tr>
        <w:trPr>
          <w:trHeight w:val="425" w:hRule="atLeast"/>
        </w:trPr>
        <w:tc>
          <w:tcPr>
            <w:tcW w:type="dxa" w:w="3249"/>
            <w:vAlign w:val="center"/>
          </w:tcPr>
          <w:p>
            <w:pPr>
              <w:spacing w:line="276" w:lineRule="auto" w:before="0" w:after="0"/>
            </w:pPr>
            <w:r/>
            <w:r>
              <w:rPr>
                <w:rFonts w:ascii="Figtree" w:hAnsi="Figtree"/>
                <w:b w:val="0"/>
                <w:i w:val="0"/>
                <w:sz w:val="20"/>
              </w:rPr>
              <w:t>Interswitch (Nigeria)</w:t>
            </w:r>
          </w:p>
        </w:tc>
        <w:tc>
          <w:tcPr>
            <w:tcW w:type="dxa" w:w="3249"/>
            <w:vAlign w:val="center"/>
          </w:tcPr>
          <w:p>
            <w:pPr>
              <w:spacing w:line="276" w:lineRule="auto" w:before="0" w:after="0"/>
            </w:pPr>
            <w:r/>
            <w:r>
              <w:rPr>
                <w:rFonts w:ascii="Figtree" w:hAnsi="Figtree"/>
                <w:b w:val="0"/>
                <w:i w:val="0"/>
                <w:sz w:val="20"/>
              </w:rPr>
              <w:t>Payment settlement and reconciliation</w:t>
            </w:r>
          </w:p>
        </w:tc>
        <w:tc>
          <w:tcPr>
            <w:tcW w:type="dxa" w:w="3249"/>
            <w:vAlign w:val="center"/>
          </w:tcPr>
          <w:p>
            <w:pPr>
              <w:spacing w:line="276" w:lineRule="auto" w:before="0" w:after="0"/>
            </w:pPr>
            <w:r/>
            <w:r>
              <w:rPr>
                <w:rFonts w:ascii="Figtree" w:hAnsi="Figtree"/>
                <w:b w:val="0"/>
                <w:i w:val="0"/>
                <w:sz w:val="20"/>
              </w:rPr>
              <w:t>Production</w:t>
            </w:r>
          </w:p>
        </w:tc>
      </w:tr>
      <w:tr>
        <w:trPr>
          <w:trHeight w:val="425" w:hRule="atLeast"/>
        </w:trPr>
        <w:tc>
          <w:tcPr>
            <w:tcW w:type="dxa" w:w="3249"/>
            <w:vAlign w:val="center"/>
          </w:tcPr>
          <w:p>
            <w:pPr>
              <w:spacing w:line="276" w:lineRule="auto" w:before="0" w:after="0"/>
            </w:pPr>
            <w:r/>
            <w:r>
              <w:rPr>
                <w:rFonts w:ascii="Figtree" w:hAnsi="Figtree"/>
                <w:b w:val="0"/>
                <w:i w:val="0"/>
                <w:sz w:val="20"/>
              </w:rPr>
              <w:t>M-Pesa Safaricom (Kenya)</w:t>
            </w:r>
          </w:p>
        </w:tc>
        <w:tc>
          <w:tcPr>
            <w:tcW w:type="dxa" w:w="3249"/>
            <w:vAlign w:val="center"/>
          </w:tcPr>
          <w:p>
            <w:pPr>
              <w:spacing w:line="276" w:lineRule="auto" w:before="0" w:after="0"/>
            </w:pPr>
            <w:r/>
            <w:r>
              <w:rPr>
                <w:rFonts w:ascii="Figtree" w:hAnsi="Figtree"/>
                <w:b w:val="0"/>
                <w:i w:val="0"/>
                <w:sz w:val="20"/>
              </w:rPr>
              <w:t>Digital asset payment settlement</w:t>
            </w:r>
          </w:p>
        </w:tc>
        <w:tc>
          <w:tcPr>
            <w:tcW w:type="dxa" w:w="3249"/>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82"/>
        <w:gridCol w:w="189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Proposal review meeting</w:t>
            </w:r>
          </w:p>
        </w:tc>
        <w:tc>
          <w:tcPr>
            <w:tcW w:type="dxa" w:w="4873"/>
            <w:vAlign w:val="center"/>
          </w:tcPr>
          <w:p>
            <w:pPr>
              <w:spacing w:line="276" w:lineRule="auto" w:before="0" w:after="0"/>
            </w:pPr>
            <w:r/>
            <w:r>
              <w:rPr>
                <w:rFonts w:ascii="Figtree" w:hAnsi="Figtree"/>
                <w:b w:val="0"/>
                <w:i w:val="0"/>
                <w:sz w:val="20"/>
              </w:rPr>
              <w:t>Week 1</w:t>
            </w:r>
          </w:p>
        </w:tc>
      </w:tr>
      <w:tr>
        <w:trPr>
          <w:trHeight w:val="425" w:hRule="atLeast"/>
        </w:trPr>
        <w:tc>
          <w:tcPr>
            <w:tcW w:type="dxa" w:w="4873"/>
            <w:vAlign w:val="center"/>
          </w:tcPr>
          <w:p>
            <w:pPr>
              <w:spacing w:line="276" w:lineRule="auto" w:before="0" w:after="0"/>
            </w:pPr>
            <w:r/>
            <w:r>
              <w:rPr>
                <w:rFonts w:ascii="Figtree" w:hAnsi="Figtree"/>
                <w:b w:val="0"/>
                <w:i w:val="0"/>
                <w:sz w:val="20"/>
              </w:rPr>
              <w:t>Corridor prioritisation workshop</w:t>
            </w:r>
          </w:p>
        </w:tc>
        <w:tc>
          <w:tcPr>
            <w:tcW w:type="dxa" w:w="4873"/>
            <w:vAlign w:val="center"/>
          </w:tcPr>
          <w:p>
            <w:pPr>
              <w:spacing w:line="276" w:lineRule="auto" w:before="0" w:after="0"/>
            </w:pPr>
            <w:r/>
            <w:r>
              <w:rPr>
                <w:rFonts w:ascii="Figtree" w:hAnsi="Figtree"/>
                <w:b w:val="0"/>
                <w:i w:val="0"/>
                <w:sz w:val="20"/>
              </w:rPr>
              <w:t>Week 2</w:t>
            </w:r>
          </w:p>
        </w:tc>
      </w:tr>
      <w:tr>
        <w:trPr>
          <w:trHeight w:val="425" w:hRule="atLeast"/>
        </w:trPr>
        <w:tc>
          <w:tcPr>
            <w:tcW w:type="dxa" w:w="4873"/>
            <w:vAlign w:val="center"/>
          </w:tcPr>
          <w:p>
            <w:pPr>
              <w:spacing w:line="276" w:lineRule="auto" w:before="0" w:after="0"/>
            </w:pPr>
            <w:r/>
            <w:r>
              <w:rPr>
                <w:rFonts w:ascii="Figtree" w:hAnsi="Figtree"/>
                <w:b w:val="0"/>
                <w:i w:val="0"/>
                <w:sz w:val="20"/>
              </w:rPr>
              <w:t>Commercial validation</w:t>
            </w:r>
          </w:p>
        </w:tc>
        <w:tc>
          <w:tcPr>
            <w:tcW w:type="dxa" w:w="4873"/>
            <w:vAlign w:val="center"/>
          </w:tcPr>
          <w:p>
            <w:pPr>
              <w:spacing w:line="276" w:lineRule="auto" w:before="0" w:after="0"/>
            </w:pPr>
            <w:r/>
            <w:r>
              <w:rPr>
                <w:rFonts w:ascii="Figtree" w:hAnsi="Figtree"/>
                <w:b w:val="0"/>
                <w:i w:val="0"/>
                <w:sz w:val="20"/>
              </w:rPr>
              <w:t>Week 3</w:t>
            </w:r>
          </w:p>
        </w:tc>
      </w:tr>
      <w:tr>
        <w:trPr>
          <w:trHeight w:val="425" w:hRule="atLeast"/>
        </w:trPr>
        <w:tc>
          <w:tcPr>
            <w:tcW w:type="dxa" w:w="4873"/>
            <w:vAlign w:val="center"/>
          </w:tcPr>
          <w:p>
            <w:pPr>
              <w:spacing w:line="276" w:lineRule="auto" w:before="0" w:after="0"/>
            </w:pPr>
            <w:r/>
            <w:r>
              <w:rPr>
                <w:rFonts w:ascii="Figtree" w:hAnsi="Figtree"/>
                <w:b w:val="0"/>
                <w:i w:val="0"/>
                <w:sz w:val="20"/>
              </w:rPr>
              <w:t>Contract drafting</w:t>
            </w:r>
          </w:p>
        </w:tc>
        <w:tc>
          <w:tcPr>
            <w:tcW w:type="dxa" w:w="4873"/>
            <w:vAlign w:val="center"/>
          </w:tcPr>
          <w:p>
            <w:pPr>
              <w:spacing w:line="276" w:lineRule="auto" w:before="0" w:after="0"/>
            </w:pPr>
            <w:r/>
            <w:r>
              <w:rPr>
                <w:rFonts w:ascii="Figtree" w:hAnsi="Figtree"/>
                <w:b w:val="0"/>
                <w:i w:val="0"/>
                <w:sz w:val="20"/>
              </w:rPr>
              <w:t>Week 4</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Week 6</w:t>
            </w:r>
          </w:p>
        </w:tc>
      </w:tr>
      <w:tr>
        <w:trPr>
          <w:trHeight w:val="425" w:hRule="atLeast"/>
        </w:trPr>
        <w:tc>
          <w:tcPr>
            <w:tcW w:type="dxa" w:w="4873"/>
            <w:vAlign w:val="center"/>
          </w:tcPr>
          <w:p>
            <w:pPr>
              <w:spacing w:line="276" w:lineRule="auto" w:before="0" w:after="0"/>
            </w:pPr>
            <w:r/>
            <w:r>
              <w:rPr>
                <w:rFonts w:ascii="Figtree" w:hAnsi="Figtree"/>
                <w:b w:val="0"/>
                <w:i w:val="0"/>
                <w:sz w:val="20"/>
              </w:rPr>
              <w:t>Programme mobilisation</w:t>
            </w:r>
          </w:p>
        </w:tc>
        <w:tc>
          <w:tcPr>
            <w:tcW w:type="dxa" w:w="4873"/>
            <w:vAlign w:val="center"/>
          </w:tcPr>
          <w:p>
            <w:pPr>
              <w:spacing w:line="276" w:lineRule="auto" w:before="0" w:after="0"/>
            </w:pPr>
            <w:r/>
            <w:r>
              <w:rPr>
                <w:rFonts w:ascii="Figtree" w:hAnsi="Figtree"/>
                <w:b w:val="0"/>
                <w:i w:val="0"/>
                <w:sz w:val="20"/>
              </w:rPr>
              <w:t>Week 7</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