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3"/>
            <w:tabs>
              <w:tab w:val="right" w:leader="dot" w:pos="9072"/>
            </w:tabs>
          </w:pPr>
          <w:r>
            <w:t xml:space="preserve">Commercial Overview</w:t>
          </w:r>
          <w:r>
            <w:tab/>
          </w:r>
          <w:r>
            <w:t xml:space="preserve">4</w:t>
          </w:r>
        </w:p>
        <w:p>
          <w:pPr>
            <w:pStyle w:val="TOC3"/>
            <w:tabs>
              <w:tab w:val="right" w:leader="dot" w:pos="9072"/>
            </w:tabs>
          </w:pPr>
          <w:r>
            <w:t xml:space="preserve">Recommended Commercial Model</w:t>
          </w:r>
          <w:r>
            <w:tab/>
          </w:r>
          <w:r>
            <w:t xml:space="preserve">5</w:t>
          </w:r>
        </w:p>
        <w:p>
          <w:pPr>
            <w:pStyle w:val="TOC3"/>
            <w:tabs>
              <w:tab w:val="right" w:leader="dot" w:pos="9072"/>
            </w:tabs>
          </w:pPr>
          <w:r>
            <w:t xml:space="preserve">Investment Summary</w:t>
          </w:r>
          <w:r>
            <w:tab/>
          </w:r>
          <w:r>
            <w:t xml:space="preserve">6</w:t>
          </w:r>
        </w:p>
        <w:p>
          <w:pPr>
            <w:pStyle w:val="TOC2"/>
            <w:tabs>
              <w:tab w:val="right" w:leader="dot" w:pos="9072"/>
            </w:tabs>
          </w:pPr>
          <w:r>
            <w:t xml:space="preserve">Licensing and Pricing Structure</w:t>
          </w:r>
          <w:r>
            <w:tab/>
          </w:r>
          <w:r>
            <w:t xml:space="preserve">7</w:t>
          </w:r>
        </w:p>
        <w:p>
          <w:pPr>
            <w:pStyle w:val="TOC3"/>
            <w:tabs>
              <w:tab w:val="right" w:leader="dot" w:pos="9072"/>
            </w:tabs>
          </w:pPr>
          <w:r>
            <w:t xml:space="preserve">Platform Licensing</w:t>
          </w:r>
          <w:r>
            <w:tab/>
          </w:r>
          <w:r>
            <w:t xml:space="preserve">8</w:t>
          </w:r>
        </w:p>
        <w:p>
          <w:pPr>
            <w:pStyle w:val="TOC3"/>
            <w:tabs>
              <w:tab w:val="right" w:leader="dot" w:pos="9072"/>
            </w:tabs>
          </w:pPr>
          <w:r>
            <w:t xml:space="preserve">Licensing Terms</w:t>
          </w:r>
          <w:r>
            <w:tab/>
          </w:r>
          <w:r>
            <w:t xml:space="preserve">9</w:t>
          </w:r>
        </w:p>
        <w:p>
          <w:pPr>
            <w:pStyle w:val="TOC2"/>
            <w:tabs>
              <w:tab w:val="right" w:leader="dot" w:pos="9072"/>
            </w:tabs>
          </w:pPr>
          <w:r>
            <w:t xml:space="preserve">Implementation Cost Framework</w:t>
          </w:r>
          <w:r>
            <w:tab/>
          </w:r>
          <w:r>
            <w:t xml:space="preserve">10</w:t>
          </w:r>
        </w:p>
        <w:p>
          <w:pPr>
            <w:pStyle w:val="TOC3"/>
            <w:tabs>
              <w:tab w:val="right" w:leader="dot" w:pos="9072"/>
            </w:tabs>
          </w:pPr>
          <w:r>
            <w:t xml:space="preserve">Implementation Approach</w:t>
          </w:r>
          <w:r>
            <w:tab/>
          </w:r>
          <w:r>
            <w:t xml:space="preserve">11</w:t>
          </w:r>
        </w:p>
        <w:p>
          <w:pPr>
            <w:pStyle w:val="TOC2"/>
            <w:tabs>
              <w:tab w:val="right" w:leader="dot" w:pos="9072"/>
            </w:tabs>
          </w:pPr>
          <w:r>
            <w:t xml:space="preserve">Support and Maintenance</w:t>
          </w:r>
          <w:r>
            <w:tab/>
          </w:r>
          <w:r>
            <w:t xml:space="preserve">12</w:t>
          </w:r>
        </w:p>
        <w:p>
          <w:pPr>
            <w:pStyle w:val="TOC3"/>
            <w:tabs>
              <w:tab w:val="right" w:leader="dot" w:pos="9072"/>
            </w:tabs>
          </w:pPr>
          <w:r>
            <w:t xml:space="preserve">Support Tier Options</w:t>
          </w:r>
          <w:r>
            <w:tab/>
          </w:r>
          <w:r>
            <w:t xml:space="preserve">13</w:t>
          </w:r>
        </w:p>
        <w:p>
          <w:pPr>
            <w:pStyle w:val="TOC2"/>
            <w:tabs>
              <w:tab w:val="right" w:leader="dot" w:pos="9072"/>
            </w:tabs>
          </w:pPr>
          <w:r>
            <w:t xml:space="preserve">Total Cost of Ownership</w:t>
          </w:r>
          <w:r>
            <w:tab/>
          </w:r>
          <w:r>
            <w:t xml:space="preserve">14</w:t>
          </w:r>
        </w:p>
        <w:p>
          <w:pPr>
            <w:pStyle w:val="TOC3"/>
            <w:tabs>
              <w:tab w:val="right" w:leader="dot" w:pos="9072"/>
            </w:tabs>
          </w:pPr>
          <w:r>
            <w:t xml:space="preserve">3-Year TCO Projection</w:t>
          </w:r>
          <w:r>
            <w:tab/>
          </w:r>
          <w:r>
            <w:t xml:space="preserve">15</w:t>
          </w:r>
        </w:p>
        <w:p>
          <w:pPr>
            <w:pStyle w:val="TOC2"/>
            <w:tabs>
              <w:tab w:val="right" w:leader="dot" w:pos="9072"/>
            </w:tabs>
          </w:pPr>
          <w:r>
            <w:t xml:space="preserve">Commercial Terms and Conditions</w:t>
          </w:r>
          <w:r>
            <w:tab/>
          </w:r>
          <w:r>
            <w:t xml:space="preserve">16</w:t>
          </w:r>
        </w:p>
        <w:p>
          <w:pPr>
            <w:pStyle w:val="TOC3"/>
            <w:tabs>
              <w:tab w:val="right" w:leader="dot" w:pos="9072"/>
            </w:tabs>
          </w:pPr>
          <w:r>
            <w:t xml:space="preserve">Contract Structure</w:t>
          </w:r>
          <w:r>
            <w:tab/>
          </w:r>
          <w:r>
            <w:t xml:space="preserve">17</w:t>
          </w:r>
        </w:p>
        <w:p>
          <w:pPr>
            <w:pStyle w:val="TOC3"/>
            <w:tabs>
              <w:tab w:val="right" w:leader="dot" w:pos="9072"/>
            </w:tabs>
          </w:pPr>
          <w:r>
            <w:t xml:space="preserve">Pricing Validity</w:t>
          </w:r>
          <w:r>
            <w:tab/>
          </w:r>
          <w:r>
            <w:t xml:space="preserve">18</w:t>
          </w:r>
        </w:p>
        <w:p>
          <w:pPr>
            <w:pStyle w:val="TOC2"/>
            <w:tabs>
              <w:tab w:val="right" w:leader="dot" w:pos="9072"/>
            </w:tabs>
          </w:pPr>
          <w:r>
            <w:t xml:space="preserve">Next Steps</w:t>
          </w:r>
          <w:r>
            <w:tab/>
          </w:r>
          <w:r>
            <w:t xml:space="preserve">19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7"/>
        <w:gridCol w:w="687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Tokenized Funds Distribution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Nordea</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Classification</w:t>
            </w:r>
          </w:p>
        </w:tc>
        <w:tc>
          <w:tcPr>
            <w:tcW w:type="dxa" w:w="4873"/>
            <w:vAlign w:val="center"/>
          </w:tcPr>
          <w:p>
            <w:pPr>
              <w:spacing w:line="276" w:lineRule="auto" w:before="0" w:after="0"/>
            </w:pPr>
            <w:r/>
            <w:r>
              <w:rPr>
                <w:rFonts w:ascii="Figtree" w:hAnsi="Figtree"/>
                <w:b w:val="0"/>
                <w:i w:val="0"/>
                <w:sz w:val="20"/>
              </w:rPr>
              <w:t>Confidential</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NORDEA-RFP-TOKENIZED-FUNDS-202603</w:t>
            </w:r>
          </w:p>
        </w:tc>
      </w:tr>
    </w:tbl>
    <w:p>
      <w:pPr>
        <w:spacing w:before="0" w:after="0" w:line="120" w:lineRule="exact"/>
      </w:pPr>
    </w:p>
    <w:p>
      <w:r>
        <w:br w:type="page"/>
      </w:r>
    </w:p>
    <w:p>
      <w:pPr>
        <w:pStyle w:val="H2"/>
        <w:numPr>
          <w:ilvl w:val="1"/>
          <w:numId w:val="1"/>
        </w:numPr>
      </w:pPr>
      <w:r>
        <w:t>Executive Summary</w:t>
      </w:r>
    </w:p>
    <w:p>
      <w:pPr>
        <w:pStyle w:val="H3"/>
        <w:numPr>
          <w:ilvl w:val="2"/>
          <w:numId w:val="1"/>
        </w:numPr>
      </w:pPr>
      <w:r>
        <w:t>Commercial Overview</w:t>
      </w:r>
    </w:p>
    <w:p>
      <w:r>
        <w:rPr>
          <w:rFonts w:ascii="Figtree" w:hAnsi="Figtree"/>
          <w:b w:val="0"/>
          <w:i w:val="0"/>
          <w:sz w:val="22"/>
        </w:rPr>
        <w:t>SettleMint proposes a comprehensive DALP deployment to support Nordea's tokenized funds distribution programme across the Nordic region. The commercial framework is designed for Nordic banking requirements, with predictable annual licensing, transparent implementation pricing, and tiered support options.</w:t>
      </w:r>
    </w:p>
    <w:p>
      <w:pPr>
        <w:pStyle w:val="H3"/>
        <w:numPr>
          <w:ilvl w:val="2"/>
          <w:numId w:val="1"/>
        </w:numPr>
      </w:pPr>
      <w:r>
        <w:t>Recommended Commercial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06"/>
        <w:gridCol w:w="59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r>
      <w:tr>
        <w:trPr>
          <w:trHeight w:val="425" w:hRule="atLeast"/>
        </w:trPr>
        <w:tc>
          <w:tcPr>
            <w:tcW w:type="dxa" w:w="4873"/>
            <w:vAlign w:val="center"/>
          </w:tcPr>
          <w:p>
            <w:pPr>
              <w:spacing w:line="276" w:lineRule="auto" w:before="0" w:after="0"/>
            </w:pPr>
            <w:r/>
            <w:r>
              <w:rPr>
                <w:rFonts w:ascii="Figtree" w:hAnsi="Figtree"/>
                <w:b w:val="0"/>
                <w:i w:val="0"/>
                <w:sz w:val="20"/>
              </w:rPr>
              <w:t>Platform Tier</w:t>
            </w:r>
          </w:p>
        </w:tc>
        <w:tc>
          <w:tcPr>
            <w:tcW w:type="dxa" w:w="4873"/>
            <w:vAlign w:val="center"/>
          </w:tcPr>
          <w:p>
            <w:pPr>
              <w:spacing w:line="276" w:lineRule="auto" w:before="0" w:after="0"/>
            </w:pPr>
            <w:r/>
            <w:r>
              <w:rPr>
                <w:rFonts w:ascii="Figtree" w:hAnsi="Figtree"/>
                <w:b w:val="0"/>
                <w:i w:val="0"/>
                <w:sz w:val="20"/>
              </w:rPr>
              <w:t>Enterprise</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Dedicated Cloud (AWS eu-north-1, Stockholm)</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Premium</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Scope</w:t>
            </w:r>
          </w:p>
        </w:tc>
        <w:tc>
          <w:tcPr>
            <w:tcW w:type="dxa" w:w="4873"/>
            <w:vAlign w:val="center"/>
          </w:tcPr>
          <w:p>
            <w:pPr>
              <w:spacing w:line="276" w:lineRule="auto" w:before="0" w:after="0"/>
            </w:pPr>
            <w:r/>
            <w:r>
              <w:rPr>
                <w:rFonts w:ascii="Figtree" w:hAnsi="Figtree"/>
                <w:b w:val="0"/>
                <w:i w:val="0"/>
                <w:sz w:val="20"/>
              </w:rPr>
              <w:t>Full deployment with Nordic CSD integrations</w:t>
            </w:r>
          </w:p>
        </w:tc>
      </w:tr>
      <w:tr>
        <w:trPr>
          <w:trHeight w:val="425" w:hRule="atLeast"/>
        </w:trPr>
        <w:tc>
          <w:tcPr>
            <w:tcW w:type="dxa" w:w="4873"/>
            <w:vAlign w:val="center"/>
          </w:tcPr>
          <w:p>
            <w:pPr>
              <w:spacing w:line="276" w:lineRule="auto" w:before="0" w:after="0"/>
            </w:pPr>
            <w:r/>
            <w:r>
              <w:rPr>
                <w:rFonts w:ascii="Figtree" w:hAnsi="Figtree"/>
                <w:b w:val="0"/>
                <w:i w:val="0"/>
                <w:sz w:val="20"/>
              </w:rPr>
              <w:t>Contract Term</w:t>
            </w:r>
          </w:p>
        </w:tc>
        <w:tc>
          <w:tcPr>
            <w:tcW w:type="dxa" w:w="4873"/>
            <w:vAlign w:val="center"/>
          </w:tcPr>
          <w:p>
            <w:pPr>
              <w:spacing w:line="276" w:lineRule="auto" w:before="0" w:after="0"/>
            </w:pPr>
            <w:r/>
            <w:r>
              <w:rPr>
                <w:rFonts w:ascii="Figtree" w:hAnsi="Figtree"/>
                <w:b w:val="0"/>
                <w:i w:val="0"/>
                <w:sz w:val="20"/>
              </w:rPr>
              <w:t>3-year initial</w:t>
            </w:r>
          </w:p>
        </w:tc>
      </w:tr>
    </w:tbl>
    <w:p>
      <w:pPr>
        <w:spacing w:before="0" w:after="0" w:line="120" w:lineRule="exact"/>
      </w:pPr>
    </w:p>
    <w:p>
      <w:pPr>
        <w:pStyle w:val="H3"/>
        <w:numPr>
          <w:ilvl w:val="2"/>
          <w:numId w:val="1"/>
        </w:numPr>
      </w:pPr>
      <w:r>
        <w:t>Investment Summary</w:t>
      </w:r>
    </w:p>
    <w:p>
      <w:pPr>
        <w:pStyle w:val="ListParagraph"/>
        <w:numPr>
          <w:ilvl w:val="0"/>
          <w:numId w:val="4"/>
        </w:numPr>
      </w:pPr>
      <w:r>
        <w:rPr>
          <w:rFonts w:ascii="Figtree" w:hAnsi="Figtree"/>
          <w:b/>
          <w:i w:val="0"/>
          <w:sz w:val="22"/>
        </w:rPr>
        <w:t>Predictable annual licensing</w:t>
      </w:r>
      <w:r>
        <w:rPr>
          <w:rFonts w:ascii="Figtree" w:hAnsi="Figtree"/>
          <w:b w:val="0"/>
          <w:i w:val="0"/>
          <w:sz w:val="22"/>
        </w:rPr>
        <w:t>: No per-transaction or per-token fees</w:t>
      </w:r>
    </w:p>
    <w:p>
      <w:pPr>
        <w:pStyle w:val="ListParagraph"/>
        <w:numPr>
          <w:ilvl w:val="0"/>
          <w:numId w:val="4"/>
        </w:numPr>
      </w:pPr>
      <w:r>
        <w:rPr>
          <w:rFonts w:ascii="Figtree" w:hAnsi="Figtree"/>
          <w:b/>
          <w:i w:val="0"/>
          <w:sz w:val="22"/>
        </w:rPr>
        <w:t>Transparent implementation costs</w:t>
      </w:r>
      <w:r>
        <w:rPr>
          <w:rFonts w:ascii="Figtree" w:hAnsi="Figtree"/>
          <w:b w:val="0"/>
          <w:i w:val="0"/>
          <w:sz w:val="22"/>
        </w:rPr>
        <w:t>: Fixed-price implementation</w:t>
      </w:r>
    </w:p>
    <w:p>
      <w:pPr>
        <w:pStyle w:val="ListParagraph"/>
        <w:numPr>
          <w:ilvl w:val="0"/>
          <w:numId w:val="4"/>
        </w:numPr>
      </w:pPr>
      <w:r>
        <w:rPr>
          <w:rFonts w:ascii="Figtree" w:hAnsi="Figtree"/>
          <w:b/>
          <w:i w:val="0"/>
          <w:sz w:val="22"/>
        </w:rPr>
        <w:t>Premium support</w:t>
      </w:r>
      <w:r>
        <w:rPr>
          <w:rFonts w:ascii="Figtree" w:hAnsi="Figtree"/>
          <w:b w:val="0"/>
          <w:i w:val="0"/>
          <w:sz w:val="22"/>
        </w:rPr>
        <w:t>: 12x7 coverage matching Nordic banking hours</w:t>
      </w:r>
    </w:p>
    <w:p>
      <w:pPr>
        <w:pStyle w:val="ListParagraph"/>
        <w:numPr>
          <w:ilvl w:val="0"/>
          <w:numId w:val="4"/>
        </w:numPr>
      </w:pPr>
      <w:r>
        <w:rPr>
          <w:rFonts w:ascii="Figtree" w:hAnsi="Figtree"/>
          <w:b/>
          <w:i w:val="0"/>
          <w:sz w:val="22"/>
        </w:rPr>
        <w:t>Total first-year investment</w:t>
      </w:r>
      <w:r>
        <w:rPr>
          <w:rFonts w:ascii="Figtree" w:hAnsi="Figtree"/>
          <w:b w:val="0"/>
          <w:i w:val="0"/>
          <w:sz w:val="22"/>
        </w:rPr>
        <w:t>: [To be finalized]</w:t>
      </w:r>
    </w:p>
    <w:p>
      <w:r>
        <w:br w:type="page"/>
      </w:r>
    </w:p>
    <w:p>
      <w:pPr>
        <w:pStyle w:val="H2"/>
        <w:numPr>
          <w:ilvl w:val="1"/>
          <w:numId w:val="1"/>
        </w:numPr>
      </w:pPr>
      <w:r>
        <w:t>Licensing and Pricing Structure</w:t>
      </w:r>
    </w:p>
    <w:p>
      <w:pPr>
        <w:pStyle w:val="H3"/>
        <w:numPr>
          <w:ilvl w:val="2"/>
          <w:numId w:val="1"/>
        </w:numPr>
      </w:pPr>
      <w:r>
        <w:t>Platform Licensing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67"/>
        <w:gridCol w:w="4802"/>
        <w:gridCol w:w="24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License Fee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Single environment, single network</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i w:val="0"/>
                <w:sz w:val="20"/>
              </w:rPr>
              <w:t>Enterprise</w:t>
            </w:r>
          </w:p>
        </w:tc>
        <w:tc>
          <w:tcPr>
            <w:tcW w:type="dxa" w:w="3249"/>
            <w:vAlign w:val="center"/>
          </w:tcPr>
          <w:p>
            <w:pPr>
              <w:spacing w:line="276" w:lineRule="auto" w:before="0" w:after="0"/>
            </w:pPr>
            <w:r/>
            <w:r>
              <w:rPr>
                <w:rFonts w:ascii="Figtree" w:hAnsi="Figtree"/>
                <w:b w:val="0"/>
                <w:i w:val="0"/>
                <w:sz w:val="20"/>
              </w:rPr>
              <w:t>Multiple environments, multi-network</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val="0"/>
                <w:i w:val="0"/>
                <w:sz w:val="20"/>
              </w:rPr>
              <w:t>Sovereign</w:t>
            </w:r>
          </w:p>
        </w:tc>
        <w:tc>
          <w:tcPr>
            <w:tcW w:type="dxa" w:w="3249"/>
            <w:vAlign w:val="center"/>
          </w:tcPr>
          <w:p>
            <w:pPr>
              <w:spacing w:line="276" w:lineRule="auto" w:before="0" w:after="0"/>
            </w:pPr>
            <w:r/>
            <w:r>
              <w:rPr>
                <w:rFonts w:ascii="Figtree" w:hAnsi="Figtree"/>
                <w:b w:val="0"/>
                <w:i w:val="0"/>
                <w:sz w:val="20"/>
              </w:rPr>
              <w:t>Unlimited scope</w:t>
            </w:r>
          </w:p>
        </w:tc>
        <w:tc>
          <w:tcPr>
            <w:tcW w:type="dxa" w:w="3249"/>
            <w:vAlign w:val="center"/>
          </w:tcPr>
          <w:p>
            <w:pPr>
              <w:spacing w:line="276" w:lineRule="auto" w:before="0" w:after="0"/>
            </w:pPr>
            <w:r/>
            <w:r>
              <w:rPr>
                <w:rFonts w:ascii="Figtree" w:hAnsi="Figtree"/>
                <w:b w:val="0"/>
                <w:i w:val="0"/>
                <w:sz w:val="20"/>
              </w:rPr>
              <w:t>[TBD]</w:t>
            </w:r>
          </w:p>
        </w:tc>
      </w:tr>
    </w:tbl>
    <w:p>
      <w:pPr>
        <w:spacing w:before="0" w:after="0" w:line="120" w:lineRule="exact"/>
      </w:pPr>
    </w:p>
    <w:p>
      <w:r>
        <w:rPr>
          <w:rFonts w:ascii="Figtree" w:hAnsi="Figtree"/>
          <w:b/>
          <w:i w:val="0"/>
          <w:sz w:val="22"/>
        </w:rPr>
        <w:t>Recommended: Enterprise Tier</w:t>
      </w:r>
    </w:p>
    <w:p>
      <w:pPr>
        <w:pStyle w:val="H3"/>
        <w:numPr>
          <w:ilvl w:val="2"/>
          <w:numId w:val="1"/>
        </w:numPr>
      </w:pPr>
      <w:r>
        <w:t>Licensing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19"/>
        <w:gridCol w:w="42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Billing frequency</w:t>
            </w:r>
          </w:p>
        </w:tc>
        <w:tc>
          <w:tcPr>
            <w:tcW w:type="dxa" w:w="4873"/>
            <w:vAlign w:val="center"/>
          </w:tcPr>
          <w:p>
            <w:pPr>
              <w:spacing w:line="276" w:lineRule="auto" w:before="0" w:after="0"/>
            </w:pPr>
            <w:r/>
            <w:r>
              <w:rPr>
                <w:rFonts w:ascii="Figtree" w:hAnsi="Figtree"/>
                <w:b w:val="0"/>
                <w:i w:val="0"/>
                <w:sz w:val="20"/>
              </w:rPr>
              <w:t>Annual, prepaid</w:t>
            </w:r>
          </w:p>
        </w:tc>
      </w:tr>
      <w:tr>
        <w:trPr>
          <w:trHeight w:val="425" w:hRule="atLeast"/>
        </w:trPr>
        <w:tc>
          <w:tcPr>
            <w:tcW w:type="dxa" w:w="4873"/>
            <w:vAlign w:val="center"/>
          </w:tcPr>
          <w:p>
            <w:pPr>
              <w:spacing w:line="276" w:lineRule="auto" w:before="0" w:after="0"/>
            </w:pPr>
            <w:r/>
            <w:r>
              <w:rPr>
                <w:rFonts w:ascii="Figtree" w:hAnsi="Figtree"/>
                <w:b w:val="0"/>
                <w:i w:val="0"/>
                <w:sz w:val="20"/>
              </w:rPr>
              <w:t>Contract length</w:t>
            </w:r>
          </w:p>
        </w:tc>
        <w:tc>
          <w:tcPr>
            <w:tcW w:type="dxa" w:w="4873"/>
            <w:vAlign w:val="center"/>
          </w:tcPr>
          <w:p>
            <w:pPr>
              <w:spacing w:line="276" w:lineRule="auto" w:before="0" w:after="0"/>
            </w:pPr>
            <w:r/>
            <w:r>
              <w:rPr>
                <w:rFonts w:ascii="Figtree" w:hAnsi="Figtree"/>
                <w:b w:val="0"/>
                <w:i w:val="0"/>
                <w:sz w:val="20"/>
              </w:rPr>
              <w:t>3-year initial</w:t>
            </w:r>
          </w:p>
        </w:tc>
      </w:tr>
      <w:tr>
        <w:trPr>
          <w:trHeight w:val="425" w:hRule="atLeast"/>
        </w:trPr>
        <w:tc>
          <w:tcPr>
            <w:tcW w:type="dxa" w:w="4873"/>
            <w:vAlign w:val="center"/>
          </w:tcPr>
          <w:p>
            <w:pPr>
              <w:spacing w:line="276" w:lineRule="auto" w:before="0" w:after="0"/>
            </w:pPr>
            <w:r/>
            <w:r>
              <w:rPr>
                <w:rFonts w:ascii="Figtree" w:hAnsi="Figtree"/>
                <w:b w:val="0"/>
                <w:i w:val="0"/>
                <w:sz w:val="20"/>
              </w:rPr>
              <w:t>Payment terms</w:t>
            </w:r>
          </w:p>
        </w:tc>
        <w:tc>
          <w:tcPr>
            <w:tcW w:type="dxa" w:w="4873"/>
            <w:vAlign w:val="center"/>
          </w:tcPr>
          <w:p>
            <w:pPr>
              <w:spacing w:line="276" w:lineRule="auto" w:before="0" w:after="0"/>
            </w:pPr>
            <w:r/>
            <w:r>
              <w:rPr>
                <w:rFonts w:ascii="Figtree" w:hAnsi="Figtree"/>
                <w:b w:val="0"/>
                <w:i w:val="0"/>
                <w:sz w:val="20"/>
              </w:rPr>
              <w:t>Net 30</w:t>
            </w:r>
          </w:p>
        </w:tc>
      </w:tr>
    </w:tbl>
    <w:p>
      <w:pPr>
        <w:spacing w:before="0" w:after="0" w:line="120" w:lineRule="exact"/>
      </w:pPr>
    </w:p>
    <w:p>
      <w:r>
        <w:br w:type="page"/>
      </w:r>
    </w:p>
    <w:p>
      <w:pPr>
        <w:pStyle w:val="H2"/>
        <w:numPr>
          <w:ilvl w:val="1"/>
          <w:numId w:val="1"/>
        </w:numPr>
      </w:pPr>
      <w:r>
        <w:t>Implementation Cost Framework</w:t>
      </w:r>
    </w:p>
    <w:p>
      <w:pPr>
        <w:pStyle w:val="H3"/>
        <w:numPr>
          <w:ilvl w:val="2"/>
          <w:numId w:val="1"/>
        </w:numPr>
      </w:pPr>
      <w:r>
        <w:t>Implementation Approach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2474"/>
        <w:gridCol w:w="20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Phase 1: Discovery</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val="0"/>
                <w:i w:val="0"/>
                <w:sz w:val="20"/>
              </w:rPr>
              <w:t>Phase 2: Foundation</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val="0"/>
                <w:i w:val="0"/>
                <w:sz w:val="20"/>
              </w:rPr>
              <w:t>Phase 3: Configuration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val="0"/>
                <w:i w:val="0"/>
                <w:sz w:val="20"/>
              </w:rPr>
              <w:t>Phase 4: Integration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val="0"/>
                <w:i w:val="0"/>
                <w:sz w:val="20"/>
              </w:rPr>
              <w:t>Phase 5: Go-Live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[TBD]</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19 weeks</w:t>
            </w:r>
          </w:p>
        </w:tc>
        <w:tc>
          <w:tcPr>
            <w:tcW w:type="dxa" w:w="3249"/>
            <w:vAlign w:val="center"/>
          </w:tcPr>
          <w:p>
            <w:pPr>
              <w:spacing w:line="276" w:lineRule="auto" w:before="0" w:after="0"/>
            </w:pPr>
            <w:r/>
            <w:r>
              <w:rPr>
                <w:rFonts w:ascii="Figtree" w:hAnsi="Figtree"/>
                <w:b/>
                <w:i w:val="0"/>
                <w:sz w:val="20"/>
              </w:rPr>
              <w:t>[TBD]</w:t>
            </w:r>
          </w:p>
        </w:tc>
      </w:tr>
    </w:tbl>
    <w:p>
      <w:pPr>
        <w:spacing w:before="0" w:after="0" w:line="120" w:lineRule="exact"/>
      </w:pPr>
    </w:p>
    <w:p>
      <w:r>
        <w:br w:type="page"/>
      </w:r>
    </w:p>
    <w:p>
      <w:pPr>
        <w:pStyle w:val="H2"/>
        <w:numPr>
          <w:ilvl w:val="1"/>
          <w:numId w:val="1"/>
        </w:numPr>
      </w:pPr>
      <w:r>
        <w:t>Support and Maintenance</w:t>
      </w:r>
    </w:p>
    <w:p>
      <w:pPr>
        <w:pStyle w:val="H3"/>
        <w:numPr>
          <w:ilvl w:val="2"/>
          <w:numId w:val="1"/>
        </w:numPr>
      </w:pPr>
      <w:r>
        <w:t>Support Tier Options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23"/>
        <w:gridCol w:w="514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Premium (Recommended)</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12x7</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Up to 8</w:t>
            </w:r>
          </w:p>
        </w:tc>
      </w:tr>
      <w:tr>
        <w:trPr>
          <w:trHeight w:val="425" w:hRule="atLeast"/>
        </w:trPr>
        <w:tc>
          <w:tcPr>
            <w:tcW w:type="dxa" w:w="4873"/>
            <w:vAlign w:val="center"/>
          </w:tcPr>
          <w:p>
            <w:pPr>
              <w:spacing w:line="276" w:lineRule="auto" w:before="0" w:after="0"/>
            </w:pPr>
            <w:r/>
            <w:r>
              <w:rPr>
                <w:rFonts w:ascii="Figtree" w:hAnsi="Figtree"/>
                <w:b w:val="0"/>
                <w:i w:val="0"/>
                <w:sz w:val="20"/>
              </w:rPr>
              <w:t>Business Reviews</w:t>
            </w:r>
          </w:p>
        </w:tc>
        <w:tc>
          <w:tcPr>
            <w:tcW w:type="dxa" w:w="4873"/>
            <w:vAlign w:val="center"/>
          </w:tcPr>
          <w:p>
            <w:pPr>
              <w:spacing w:line="276" w:lineRule="auto" w:before="0" w:after="0"/>
            </w:pPr>
            <w:r/>
            <w:r>
              <w:rPr>
                <w:rFonts w:ascii="Figtree" w:hAnsi="Figtree"/>
                <w:b w:val="0"/>
                <w:i w:val="0"/>
                <w:sz w:val="20"/>
              </w:rPr>
              <w:t>Monthly</w:t>
            </w:r>
          </w:p>
        </w:tc>
      </w:tr>
    </w:tbl>
    <w:p>
      <w:pPr>
        <w:spacing w:before="0" w:after="0" w:line="120" w:lineRule="exact"/>
      </w:pPr>
    </w:p>
    <w:p>
      <w:r>
        <w:br w:type="page"/>
      </w:r>
    </w:p>
    <w:p>
      <w:pPr>
        <w:pStyle w:val="H2"/>
        <w:numPr>
          <w:ilvl w:val="1"/>
          <w:numId w:val="1"/>
        </w:numPr>
      </w:pPr>
      <w:r>
        <w:t>Total Cost of Ownership</w:t>
      </w:r>
    </w:p>
    <w:p>
      <w:pPr>
        <w:pStyle w:val="H3"/>
        <w:numPr>
          <w:ilvl w:val="2"/>
          <w:numId w:val="1"/>
        </w:numPr>
      </w:pPr>
      <w:r>
        <w:t>3-Year TCO Projection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83"/>
        <w:gridCol w:w="1383"/>
        <w:gridCol w:w="2152"/>
        <w:gridCol w:w="1383"/>
        <w:gridCol w:w="1383"/>
        <w:gridCol w:w="138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Hosting</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c>
          <w:tcPr>
            <w:tcW w:type="dxa" w:w="1624"/>
            <w:vAlign w:val="center"/>
          </w:tcPr>
          <w:p>
            <w:pPr>
              <w:spacing w:line="276" w:lineRule="auto" w:before="0" w:after="0"/>
            </w:pPr>
            <w:r/>
            <w:r>
              <w:rPr>
                <w:rFonts w:ascii="Figtree" w:hAnsi="Figtree"/>
                <w:b w:val="0"/>
                <w:i w:val="0"/>
                <w:sz w:val="20"/>
              </w:rPr>
              <w:t>[TBD]</w:t>
            </w:r>
          </w:p>
        </w:tc>
      </w:tr>
      <w:tr>
        <w:trPr>
          <w:trHeight w:val="425" w:hRule="atLeast"/>
        </w:trPr>
        <w:tc>
          <w:tcPr>
            <w:tcW w:type="dxa" w:w="1624"/>
            <w:vAlign w:val="center"/>
          </w:tcPr>
          <w:p>
            <w:pPr>
              <w:spacing w:line="276" w:lineRule="auto" w:before="0" w:after="0"/>
            </w:pPr>
            <w:r/>
            <w:r>
              <w:rPr>
                <w:rFonts w:ascii="Figtree" w:hAnsi="Figtree"/>
                <w:b/>
                <w:i w:val="0"/>
                <w:sz w:val="20"/>
              </w:rPr>
              <w:t>Total</w:t>
            </w:r>
          </w:p>
        </w:tc>
        <w:tc>
          <w:tcPr>
            <w:tcW w:type="dxa" w:w="1624"/>
            <w:vAlign w:val="center"/>
          </w:tcPr>
          <w:p>
            <w:pPr>
              <w:spacing w:line="276" w:lineRule="auto" w:before="0" w:after="0"/>
            </w:pPr>
            <w:r/>
            <w:r>
              <w:rPr>
                <w:rFonts w:ascii="Figtree" w:hAnsi="Figtree"/>
                <w:b/>
                <w:i w:val="0"/>
                <w:sz w:val="20"/>
              </w:rPr>
              <w:t>[TBD]</w:t>
            </w:r>
          </w:p>
        </w:tc>
        <w:tc>
          <w:tcPr>
            <w:tcW w:type="dxa" w:w="1624"/>
            <w:vAlign w:val="center"/>
          </w:tcPr>
          <w:p>
            <w:pPr>
              <w:spacing w:line="276" w:lineRule="auto" w:before="0" w:after="0"/>
            </w:pPr>
            <w:r/>
            <w:r>
              <w:rPr>
                <w:rFonts w:ascii="Figtree" w:hAnsi="Figtree"/>
                <w:b/>
                <w:i w:val="0"/>
                <w:sz w:val="20"/>
              </w:rPr>
              <w:t>[TBD]</w:t>
            </w:r>
          </w:p>
        </w:tc>
        <w:tc>
          <w:tcPr>
            <w:tcW w:type="dxa" w:w="1624"/>
            <w:vAlign w:val="center"/>
          </w:tcPr>
          <w:p>
            <w:pPr>
              <w:spacing w:line="276" w:lineRule="auto" w:before="0" w:after="0"/>
            </w:pPr>
            <w:r/>
            <w:r>
              <w:rPr>
                <w:rFonts w:ascii="Figtree" w:hAnsi="Figtree"/>
                <w:b/>
                <w:i w:val="0"/>
                <w:sz w:val="20"/>
              </w:rPr>
              <w:t>[TBD]</w:t>
            </w:r>
          </w:p>
        </w:tc>
        <w:tc>
          <w:tcPr>
            <w:tcW w:type="dxa" w:w="1624"/>
            <w:vAlign w:val="center"/>
          </w:tcPr>
          <w:p>
            <w:pPr>
              <w:spacing w:line="276" w:lineRule="auto" w:before="0" w:after="0"/>
            </w:pPr>
            <w:r/>
            <w:r>
              <w:rPr>
                <w:rFonts w:ascii="Figtree" w:hAnsi="Figtree"/>
                <w:b/>
                <w:i w:val="0"/>
                <w:sz w:val="20"/>
              </w:rPr>
              <w:t>[TBD]</w:t>
            </w:r>
          </w:p>
        </w:tc>
        <w:tc>
          <w:tcPr>
            <w:tcW w:type="dxa" w:w="1624"/>
            <w:vAlign w:val="center"/>
          </w:tcPr>
          <w:p>
            <w:pPr>
              <w:spacing w:line="276" w:lineRule="auto" w:before="0" w:after="0"/>
            </w:pPr>
            <w:r/>
            <w:r>
              <w:rPr>
                <w:rFonts w:ascii="Figtree" w:hAnsi="Figtree"/>
                <w:b/>
                <w:i w:val="0"/>
                <w:sz w:val="20"/>
              </w:rPr>
              <w:t>[TBD]</w:t>
            </w:r>
          </w:p>
        </w:tc>
      </w:tr>
    </w:tbl>
    <w:p>
      <w:pPr>
        <w:spacing w:before="0" w:after="0" w:line="120" w:lineRule="exact"/>
      </w:pPr>
    </w:p>
    <w:p>
      <w:r>
        <w:br w:type="page"/>
      </w:r>
    </w:p>
    <w:p>
      <w:pPr>
        <w:pStyle w:val="H2"/>
        <w:numPr>
          <w:ilvl w:val="1"/>
          <w:numId w:val="1"/>
        </w:numPr>
      </w:pPr>
      <w:r>
        <w:t>Commercial Terms and Conditions</w:t>
      </w:r>
    </w:p>
    <w:p>
      <w:pPr>
        <w:pStyle w:val="H3"/>
        <w:numPr>
          <w:ilvl w:val="2"/>
          <w:numId w:val="1"/>
        </w:numPr>
      </w:pPr>
      <w:r>
        <w:t>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76"/>
        <w:gridCol w:w="369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Document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 Agreement</w:t>
            </w:r>
          </w:p>
        </w:tc>
        <w:tc>
          <w:tcPr>
            <w:tcW w:type="dxa" w:w="4873"/>
            <w:vAlign w:val="center"/>
          </w:tcPr>
          <w:p>
            <w:pPr>
              <w:spacing w:line="276" w:lineRule="auto" w:before="0" w:after="0"/>
            </w:pPr>
            <w:r/>
            <w:r>
              <w:rPr>
                <w:rFonts w:ascii="Figtree" w:hAnsi="Figtree"/>
                <w:b w:val="0"/>
                <w:i w:val="0"/>
                <w:sz w:val="20"/>
              </w:rPr>
              <w:t>Annual licensing terms</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Statement of Work</w:t>
            </w:r>
          </w:p>
        </w:tc>
        <w:tc>
          <w:tcPr>
            <w:tcW w:type="dxa" w:w="4873"/>
            <w:vAlign w:val="center"/>
          </w:tcPr>
          <w:p>
            <w:pPr>
              <w:spacing w:line="276" w:lineRule="auto" w:before="0" w:after="0"/>
            </w:pPr>
            <w:r/>
            <w:r>
              <w:rPr>
                <w:rFonts w:ascii="Figtree" w:hAnsi="Figtree"/>
                <w:b w:val="0"/>
                <w:i w:val="0"/>
                <w:sz w:val="20"/>
              </w:rPr>
              <w:t>Project scope</w:t>
            </w:r>
          </w:p>
        </w:tc>
      </w:tr>
      <w:tr>
        <w:trPr>
          <w:trHeight w:val="425" w:hRule="atLeast"/>
        </w:trPr>
        <w:tc>
          <w:tcPr>
            <w:tcW w:type="dxa" w:w="4873"/>
            <w:vAlign w:val="center"/>
          </w:tcPr>
          <w:p>
            <w:pPr>
              <w:spacing w:line="276" w:lineRule="auto" w:before="0" w:after="0"/>
            </w:pPr>
            <w:r/>
            <w:r>
              <w:rPr>
                <w:rFonts w:ascii="Figtree" w:hAnsi="Figtree"/>
                <w:b w:val="0"/>
                <w:i w:val="0"/>
                <w:sz w:val="20"/>
              </w:rPr>
              <w:t>Support Services Agreement</w:t>
            </w:r>
          </w:p>
        </w:tc>
        <w:tc>
          <w:tcPr>
            <w:tcW w:type="dxa" w:w="4873"/>
            <w:vAlign w:val="center"/>
          </w:tcPr>
          <w:p>
            <w:pPr>
              <w:spacing w:line="276" w:lineRule="auto" w:before="0" w:after="0"/>
            </w:pPr>
            <w:r/>
            <w:r>
              <w:rPr>
                <w:rFonts w:ascii="Figtree" w:hAnsi="Figtree"/>
                <w:b w:val="0"/>
                <w:i w:val="0"/>
                <w:sz w:val="20"/>
              </w:rPr>
              <w:t>Support tier terms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GDPR compliance</w:t>
            </w:r>
          </w:p>
        </w:tc>
      </w:tr>
    </w:tbl>
    <w:p>
      <w:pPr>
        <w:spacing w:before="0" w:after="0" w:line="120" w:lineRule="exact"/>
      </w:pPr>
    </w:p>
    <w:p>
      <w:pPr>
        <w:pStyle w:val="H3"/>
        <w:numPr>
          <w:ilvl w:val="2"/>
          <w:numId w:val="1"/>
        </w:numPr>
      </w:pPr>
      <w:r>
        <w:t>Pricing Validity</w:t>
      </w:r>
    </w:p>
    <w:p>
      <w:r>
        <w:rPr>
          <w:rFonts w:ascii="Figtree" w:hAnsi="Figtree"/>
          <w:b w:val="0"/>
          <w:i w:val="0"/>
          <w:sz w:val="22"/>
        </w:rPr>
        <w:t>90 days from proposal date.</w:t>
      </w:r>
    </w:p>
    <w:p>
      <w:r>
        <w:br w:type="page"/>
      </w:r>
    </w:p>
    <w:p>
      <w:pPr>
        <w:pStyle w:val="H2"/>
        <w:numPr>
          <w:ilvl w:val="1"/>
          <w:numId w:val="1"/>
        </w:numPr>
      </w:pPr>
      <w:r>
        <w:t>Next Steps</w:t>
      </w:r>
    </w:p>
    <w:p>
      <w:pPr>
        <w:pStyle w:val="ListParagraph"/>
        <w:numPr>
          <w:ilvl w:val="0"/>
          <w:numId w:val="6"/>
        </w:numPr>
      </w:pPr>
      <w:r>
        <w:rPr>
          <w:rFonts w:ascii="Figtree" w:hAnsi="Figtree"/>
          <w:b w:val="0"/>
          <w:i w:val="0"/>
          <w:sz w:val="22"/>
        </w:rPr>
        <w:t>Commercial validation workshop</w:t>
      </w:r>
    </w:p>
    <w:p>
      <w:pPr>
        <w:pStyle w:val="ListParagraph"/>
        <w:numPr>
          <w:ilvl w:val="0"/>
          <w:numId w:val="6"/>
        </w:numPr>
      </w:pPr>
      <w:r>
        <w:rPr>
          <w:rFonts w:ascii="Figtree" w:hAnsi="Figtree"/>
          <w:b w:val="0"/>
          <w:i w:val="0"/>
          <w:sz w:val="22"/>
        </w:rPr>
        <w:t>Reference discussion</w:t>
      </w:r>
    </w:p>
    <w:p>
      <w:pPr>
        <w:pStyle w:val="ListParagraph"/>
        <w:numPr>
          <w:ilvl w:val="0"/>
          <w:numId w:val="6"/>
        </w:numPr>
      </w:pPr>
      <w:r>
        <w:rPr>
          <w:rFonts w:ascii="Figtree" w:hAnsi="Figtree"/>
          <w:b w:val="0"/>
          <w:i w:val="0"/>
          <w:sz w:val="22"/>
        </w:rPr>
        <w:t>Security assessment</w:t>
      </w:r>
    </w:p>
    <w:p>
      <w:pPr>
        <w:pStyle w:val="ListParagraph"/>
        <w:numPr>
          <w:ilvl w:val="0"/>
          <w:numId w:val="6"/>
        </w:numPr>
      </w:pPr>
      <w:r>
        <w:rPr>
          <w:rFonts w:ascii="Figtree" w:hAnsi="Figtree"/>
          <w:b w:val="0"/>
          <w:i w:val="0"/>
          <w:sz w:val="22"/>
        </w:rPr>
        <w:t>Contract negotiation</w:t>
      </w:r>
    </w:p>
    <w:p>
      <w:r>
        <w:br w:type="page"/>
      </w:r>
    </w:p>
    <w:p>
      <w:r>
        <w:rPr>
          <w:rFonts w:ascii="Figtree" w:hAnsi="Figtree"/>
          <w:b w:val="0"/>
          <w:i/>
          <w:sz w:val="22"/>
        </w:rPr>
        <w:t>End of Commercial Proposal</w:t>
      </w:r>
    </w:p>
    <w:p>
      <w:r>
        <w:rPr>
          <w:rFonts w:ascii="Figtree" w:hAnsi="Figtree"/>
          <w:b/>
          <w:i w:val="0"/>
          <w:sz w:val="22"/>
        </w:rPr>
        <w:t>Document Control</w:t>
      </w:r>
    </w:p>
    <w:p>
      <w:pPr>
        <w:pStyle w:val="ListParagraph"/>
        <w:numPr>
          <w:ilvl w:val="0"/>
          <w:numId w:val="4"/>
        </w:numPr>
      </w:pPr>
      <w:r>
        <w:rPr>
          <w:rFonts w:ascii="Figtree" w:hAnsi="Figtree"/>
          <w:b w:val="0"/>
          <w:i w:val="0"/>
          <w:sz w:val="22"/>
        </w:rPr>
        <w:t>Version: 1.0</w:t>
      </w:r>
    </w:p>
    <w:p>
      <w:pPr>
        <w:pStyle w:val="ListParagraph"/>
        <w:numPr>
          <w:ilvl w:val="0"/>
          <w:numId w:val="4"/>
        </w:numPr>
      </w:pPr>
      <w:r>
        <w:rPr>
          <w:rFonts w:ascii="Figtree" w:hAnsi="Figtree"/>
          <w:b w:val="0"/>
          <w:i w:val="0"/>
          <w:sz w:val="22"/>
        </w:rPr>
        <w:t>Date: March 2026</w:t>
      </w:r>
    </w:p>
    <w:p>
      <w:pPr>
        <w:pStyle w:val="ListParagraph"/>
        <w:numPr>
          <w:ilvl w:val="0"/>
          <w:numId w:val="4"/>
        </w:numPr>
      </w:pPr>
      <w:r>
        <w:rPr>
          <w:rFonts w:ascii="Figtree" w:hAnsi="Figtree"/>
          <w:b w:val="0"/>
          <w:i w:val="0"/>
          <w:sz w:val="22"/>
        </w:rPr>
        <w:t>Classification: Confidential</w:t>
      </w:r>
    </w:p>
    <w:p>
      <w:pPr>
        <w:pStyle w:val="ListParagraph"/>
        <w:numPr>
          <w:ilvl w:val="0"/>
          <w:numId w:val="4"/>
        </w:numPr>
      </w:pPr>
      <w:r>
        <w:rPr>
          <w:rFonts w:ascii="Figtree" w:hAnsi="Figtree"/>
          <w:b w:val="0"/>
          <w:i w:val="0"/>
          <w:sz w:val="22"/>
        </w:rPr>
        <w:t>Prepared by: SettleMint NV</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