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Why DALP Changes Economics</w:t>
          </w:r>
          <w:r>
            <w:tab/>
          </w:r>
          <w:r>
            <w:t xml:space="preserve">7</w:t>
          </w:r>
        </w:p>
        <w:p>
          <w:pPr>
            <w:pStyle w:val="TOC3"/>
            <w:tabs>
              <w:tab w:val="right" w:leader="dot" w:pos="9072"/>
            </w:tabs>
          </w:pPr>
          <w:r>
            <w:t xml:space="preserve">2.3 ROI Framework</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What's Included</w:t>
          </w:r>
          <w:r>
            <w:tab/>
          </w:r>
          <w:r>
            <w:t xml:space="preserve">11</w:t>
          </w:r>
        </w:p>
        <w:p>
          <w:pPr>
            <w:pStyle w:val="TOC3"/>
            <w:tabs>
              <w:tab w:val="right" w:leader="dot" w:pos="9072"/>
            </w:tabs>
          </w:pPr>
          <w:r>
            <w:t xml:space="preserve">3.3 What Varies by Engagement</w:t>
          </w:r>
          <w:r>
            <w:tab/>
          </w:r>
          <w:r>
            <w:t xml:space="preserve">12</w:t>
          </w:r>
        </w:p>
        <w:p>
          <w:pPr>
            <w:pStyle w:val="TOC3"/>
            <w:tabs>
              <w:tab w:val="right" w:leader="dot" w:pos="9072"/>
            </w:tabs>
          </w:pPr>
          <w:r>
            <w:t xml:space="preserve">3.4 Platform Tiers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4.1 Model Overview</w:t>
          </w:r>
          <w:r>
            <w:tab/>
          </w:r>
          <w:r>
            <w:t xml:space="preserve">15</w:t>
          </w:r>
        </w:p>
        <w:p>
          <w:pPr>
            <w:pStyle w:val="TOC3"/>
            <w:tabs>
              <w:tab w:val="right" w:leader="dot" w:pos="9072"/>
            </w:tabs>
          </w:pPr>
          <w:r>
            <w:t xml:space="preserve">4.2 Recommended: Private Cloud (Bank-Managed UK Region)</w:t>
          </w:r>
          <w:r>
            <w:tab/>
          </w:r>
          <w:r>
            <w:t xml:space="preserve">16</w:t>
          </w:r>
        </w:p>
        <w:p>
          <w:pPr>
            <w:pStyle w:val="TOC3"/>
            <w:tabs>
              <w:tab w:val="right" w:leader="dot" w:pos="9072"/>
            </w:tabs>
          </w:pPr>
          <w:r>
            <w:t xml:space="preserve">4.3 Cost Drivers</w:t>
          </w:r>
          <w:r>
            <w:tab/>
          </w:r>
          <w:r>
            <w:t xml:space="preserve">17</w:t>
          </w:r>
        </w:p>
        <w:p>
          <w:pPr>
            <w:pStyle w:val="TOC2"/>
            <w:tabs>
              <w:tab w:val="right" w:leader="dot" w:pos="9072"/>
            </w:tabs>
          </w:pPr>
          <w:r>
            <w:t xml:space="preserve">5. Support and SLA Framework</w:t>
          </w:r>
          <w:r>
            <w:tab/>
          </w:r>
          <w:r>
            <w:t xml:space="preserve">18</w:t>
          </w:r>
        </w:p>
        <w:p>
          <w:pPr>
            <w:pStyle w:val="TOC3"/>
            <w:tabs>
              <w:tab w:val="right" w:leader="dot" w:pos="9072"/>
            </w:tabs>
          </w:pPr>
          <w:r>
            <w:t xml:space="preserve">5.1 Tiers</w:t>
          </w:r>
          <w:r>
            <w:tab/>
          </w:r>
          <w:r>
            <w:t xml:space="preserve">19</w:t>
          </w:r>
        </w:p>
        <w:p>
          <w:pPr>
            <w:pStyle w:val="TOC3"/>
            <w:tabs>
              <w:tab w:val="right" w:leader="dot" w:pos="9072"/>
            </w:tabs>
          </w:pPr>
          <w:r>
            <w:t xml:space="preserve">5.2 Severity Levels</w:t>
          </w:r>
          <w:r>
            <w:tab/>
          </w:r>
          <w:r>
            <w:t xml:space="preserve">20</w:t>
          </w:r>
        </w:p>
        <w:p>
          <w:pPr>
            <w:pStyle w:val="TOC3"/>
            <w:tabs>
              <w:tab w:val="right" w:leader="dot" w:pos="9072"/>
            </w:tabs>
          </w:pPr>
          <w:r>
            <w:t xml:space="preserve">5.3 Uptime SLA</w:t>
          </w:r>
          <w:r>
            <w:tab/>
          </w:r>
          <w:r>
            <w:t xml:space="preserve">21</w:t>
          </w:r>
        </w:p>
        <w:p>
          <w:pPr>
            <w:pStyle w:val="TOC3"/>
            <w:tabs>
              <w:tab w:val="right" w:leader="dot" w:pos="9072"/>
            </w:tabs>
          </w:pPr>
          <w:r>
            <w:t xml:space="preserve">5.4 Escalation</w:t>
          </w:r>
          <w:r>
            <w:tab/>
          </w:r>
          <w:r>
            <w:t xml:space="preserve">22</w:t>
          </w:r>
        </w:p>
        <w:p>
          <w:pPr>
            <w:pStyle w:val="TOC3"/>
            <w:tabs>
              <w:tab w:val="right" w:leader="dot" w:pos="9072"/>
            </w:tabs>
          </w:pPr>
          <w:r>
            <w:t xml:space="preserve">5.5 Maintenance</w:t>
          </w:r>
          <w:r>
            <w:tab/>
          </w:r>
          <w:r>
            <w:t xml:space="preserve">23</w:t>
          </w:r>
        </w:p>
        <w:p>
          <w:pPr>
            <w:pStyle w:val="TOC2"/>
            <w:tabs>
              <w:tab w:val="right" w:leader="dot" w:pos="9072"/>
            </w:tabs>
          </w:pPr>
          <w:r>
            <w:t xml:space="preserve">6. Implementation Investment</w:t>
          </w:r>
          <w:r>
            <w:tab/>
          </w:r>
          <w:r>
            <w:t xml:space="preserve">24</w:t>
          </w:r>
        </w:p>
        <w:p>
          <w:pPr>
            <w:pStyle w:val="TOC3"/>
            <w:tabs>
              <w:tab w:val="right" w:leader="dot" w:pos="9072"/>
            </w:tabs>
          </w:pPr>
          <w:r>
            <w:t xml:space="preserve">6.1 Methodology</w:t>
          </w:r>
          <w:r>
            <w:tab/>
          </w:r>
          <w:r>
            <w:t xml:space="preserve">25</w:t>
          </w:r>
        </w:p>
        <w:p>
          <w:pPr>
            <w:pStyle w:val="TOC3"/>
            <w:tabs>
              <w:tab w:val="right" w:leader="dot" w:pos="9072"/>
            </w:tabs>
          </w:pPr>
          <w:r>
            <w:t xml:space="preserve">6.2 Phase Summary</w:t>
          </w:r>
          <w:r>
            <w:tab/>
          </w:r>
          <w:r>
            <w:t xml:space="preserve">26</w:t>
          </w:r>
        </w:p>
        <w:p>
          <w:pPr>
            <w:pStyle w:val="TOC3"/>
            <w:tabs>
              <w:tab w:val="right" w:leader="dot" w:pos="9072"/>
            </w:tabs>
          </w:pPr>
          <w:r>
            <w:t xml:space="preserve">6.3 Implementation Pricing Summary Table</w:t>
          </w:r>
          <w:r>
            <w:tab/>
          </w:r>
          <w:r>
            <w:t xml:space="preserve">27</w:t>
          </w:r>
        </w:p>
        <w:p>
          <w:pPr>
            <w:pStyle w:val="TOC3"/>
            <w:tabs>
              <w:tab w:val="right" w:leader="dot" w:pos="9072"/>
            </w:tabs>
          </w:pPr>
          <w:r>
            <w:t xml:space="preserve">6.4 Accelerators</w:t>
          </w:r>
          <w:r>
            <w:tab/>
          </w:r>
          <w:r>
            <w:t xml:space="preserve">28</w:t>
          </w:r>
        </w:p>
        <w:p>
          <w:pPr>
            <w:pStyle w:val="TOC3"/>
            <w:tabs>
              <w:tab w:val="right" w:leader="dot" w:pos="9072"/>
            </w:tabs>
          </w:pPr>
          <w:r>
            <w:t xml:space="preserve">6.5 Risks to Implementation Budget</w:t>
          </w:r>
          <w:r>
            <w:tab/>
          </w:r>
          <w:r>
            <w:t xml:space="preserve">29</w:t>
          </w:r>
        </w:p>
        <w:p>
          <w:pPr>
            <w:pStyle w:val="TOC3"/>
            <w:tabs>
              <w:tab w:val="right" w:leader="dot" w:pos="9072"/>
            </w:tabs>
          </w:pPr>
          <w:r>
            <w:t xml:space="preserve">6.6 Training Investment</w:t>
          </w:r>
          <w:r>
            <w:tab/>
          </w:r>
          <w:r>
            <w:t xml:space="preserve">30</w:t>
          </w:r>
        </w:p>
        <w:p>
          <w:pPr>
            <w:pStyle w:val="TOC2"/>
            <w:tabs>
              <w:tab w:val="right" w:leader="dot" w:pos="9072"/>
            </w:tabs>
          </w:pPr>
          <w:r>
            <w:t xml:space="preserve">7. Total Cost of Ownership</w:t>
          </w:r>
          <w:r>
            <w:tab/>
          </w:r>
          <w:r>
            <w:t xml:space="preserve">31</w:t>
          </w:r>
        </w:p>
        <w:p>
          <w:pPr>
            <w:pStyle w:val="TOC3"/>
            <w:tabs>
              <w:tab w:val="right" w:leader="dot" w:pos="9072"/>
            </w:tabs>
          </w:pPr>
          <w:r>
            <w:t xml:space="preserve">7.1 TCO Framework</w:t>
          </w:r>
          <w:r>
            <w:tab/>
          </w:r>
          <w:r>
            <w:t xml:space="preserve">32</w:t>
          </w:r>
        </w:p>
        <w:p>
          <w:pPr>
            <w:pStyle w:val="TOC3"/>
            <w:tabs>
              <w:tab w:val="right" w:leader="dot" w:pos="9072"/>
            </w:tabs>
          </w:pPr>
          <w:r>
            <w:t xml:space="preserve">7.2 Three-Year TCO Model (DALP)</w:t>
          </w:r>
          <w:r>
            <w:tab/>
          </w:r>
          <w:r>
            <w:t xml:space="preserve">33</w:t>
          </w:r>
        </w:p>
        <w:p>
          <w:pPr>
            <w:pStyle w:val="TOC3"/>
            <w:tabs>
              <w:tab w:val="right" w:leader="dot" w:pos="9072"/>
            </w:tabs>
          </w:pPr>
          <w:r>
            <w:t xml:space="preserve">7.3 Five-Year TCO Model (DALP)</w:t>
          </w:r>
          <w:r>
            <w:tab/>
          </w:r>
          <w:r>
            <w:t xml:space="preserve">34</w:t>
          </w:r>
        </w:p>
        <w:p>
          <w:pPr>
            <w:pStyle w:val="TOC3"/>
            <w:tabs>
              <w:tab w:val="right" w:leader="dot" w:pos="9072"/>
            </w:tabs>
          </w:pPr>
          <w:r>
            <w:t xml:space="preserve">7.4 Comparative Analysis: DALP vs. Build vs. Multi-Vendor</w:t>
          </w:r>
          <w:r>
            <w:tab/>
          </w:r>
          <w:r>
            <w:t xml:space="preserve">35</w:t>
          </w:r>
        </w:p>
        <w:p>
          <w:pPr>
            <w:pStyle w:val="TOC2"/>
            <w:tabs>
              <w:tab w:val="right" w:leader="dot" w:pos="9072"/>
            </w:tabs>
          </w:pPr>
          <w:r>
            <w:t xml:space="preserve">8. Commercial Terms</w:t>
          </w:r>
          <w:r>
            <w:tab/>
          </w:r>
          <w:r>
            <w:t xml:space="preserve">36</w:t>
          </w:r>
        </w:p>
        <w:p>
          <w:pPr>
            <w:pStyle w:val="TOC3"/>
            <w:tabs>
              <w:tab w:val="right" w:leader="dot" w:pos="9072"/>
            </w:tabs>
          </w:pPr>
          <w:r>
            <w:t xml:space="preserve">8.1 Contract Structure</w:t>
          </w:r>
          <w:r>
            <w:tab/>
          </w:r>
          <w:r>
            <w:t xml:space="preserve">37</w:t>
          </w:r>
        </w:p>
        <w:p>
          <w:pPr>
            <w:pStyle w:val="TOC3"/>
            <w:tabs>
              <w:tab w:val="right" w:leader="dot" w:pos="9072"/>
            </w:tabs>
          </w:pPr>
          <w:r>
            <w:t xml:space="preserve">8.2 Payment Schedule</w:t>
          </w:r>
          <w:r>
            <w:tab/>
          </w:r>
          <w:r>
            <w:t xml:space="preserve">38</w:t>
          </w:r>
        </w:p>
        <w:p>
          <w:pPr>
            <w:pStyle w:val="TOC3"/>
            <w:tabs>
              <w:tab w:val="right" w:leader="dot" w:pos="9072"/>
            </w:tabs>
          </w:pPr>
          <w:r>
            <w:t xml:space="preserve">8.3 Duration</w:t>
          </w:r>
          <w:r>
            <w:tab/>
          </w:r>
          <w:r>
            <w:t xml:space="preserve">39</w:t>
          </w:r>
        </w:p>
        <w:p>
          <w:pPr>
            <w:pStyle w:val="TOC3"/>
            <w:tabs>
              <w:tab w:val="right" w:leader="dot" w:pos="9072"/>
            </w:tabs>
          </w:pPr>
          <w:r>
            <w:t xml:space="preserve">8.4 Renewal</w:t>
          </w:r>
          <w:r>
            <w:tab/>
          </w:r>
          <w:r>
            <w:t xml:space="preserve">40</w:t>
          </w:r>
        </w:p>
        <w:p>
          <w:pPr>
            <w:pStyle w:val="TOC3"/>
            <w:tabs>
              <w:tab w:val="right" w:leader="dot" w:pos="9072"/>
            </w:tabs>
          </w:pPr>
          <w:r>
            <w:t xml:space="preserve">8.5 Termination</w:t>
          </w:r>
          <w:r>
            <w:tab/>
          </w:r>
          <w:r>
            <w:t xml:space="preserve">41</w:t>
          </w:r>
        </w:p>
        <w:p>
          <w:pPr>
            <w:pStyle w:val="TOC3"/>
            <w:tabs>
              <w:tab w:val="right" w:leader="dot" w:pos="9072"/>
            </w:tabs>
          </w:pPr>
          <w:r>
            <w:t xml:space="preserve">8.6 Intellectual Property</w:t>
          </w:r>
          <w:r>
            <w:tab/>
          </w:r>
          <w:r>
            <w:t xml:space="preserve">42</w:t>
          </w:r>
        </w:p>
        <w:p>
          <w:pPr>
            <w:pStyle w:val="TOC3"/>
            <w:tabs>
              <w:tab w:val="right" w:leader="dot" w:pos="9072"/>
            </w:tabs>
          </w:pPr>
          <w:r>
            <w:t xml:space="preserve">8.7 Liability</w:t>
          </w:r>
          <w:r>
            <w:tab/>
          </w:r>
          <w:r>
            <w:t xml:space="preserve">43</w:t>
          </w:r>
        </w:p>
        <w:p>
          <w:pPr>
            <w:pStyle w:val="TOC3"/>
            <w:tabs>
              <w:tab w:val="right" w:leader="dot" w:pos="9072"/>
            </w:tabs>
          </w:pPr>
          <w:r>
            <w:t xml:space="preserve">8.8 Confidentiality</w:t>
          </w:r>
          <w:r>
            <w:tab/>
          </w:r>
          <w:r>
            <w:t xml:space="preserve">44</w:t>
          </w:r>
        </w:p>
        <w:p>
          <w:pPr>
            <w:pStyle w:val="TOC3"/>
            <w:tabs>
              <w:tab w:val="right" w:leader="dot" w:pos="9072"/>
            </w:tabs>
          </w:pPr>
          <w:r>
            <w:t xml:space="preserve">8.9 Escrow</w:t>
          </w:r>
          <w:r>
            <w:tab/>
          </w:r>
          <w:r>
            <w:t xml:space="preserve">45</w:t>
          </w:r>
        </w:p>
        <w:p>
          <w:pPr>
            <w:pStyle w:val="TOC2"/>
            <w:tabs>
              <w:tab w:val="right" w:leader="dot" w:pos="9072"/>
            </w:tabs>
          </w:pPr>
          <w:r>
            <w:t xml:space="preserve">9. Reference Clients</w:t>
          </w:r>
          <w:r>
            <w:tab/>
          </w:r>
          <w:r>
            <w:t xml:space="preserve">46</w:t>
          </w:r>
        </w:p>
        <w:p>
          <w:pPr>
            <w:pStyle w:val="TOC3"/>
            <w:tabs>
              <w:tab w:val="right" w:leader="dot" w:pos="9072"/>
            </w:tabs>
          </w:pPr>
          <w:r>
            <w:t xml:space="preserve">9.1 Track Record</w:t>
          </w:r>
          <w:r>
            <w:tab/>
          </w:r>
          <w:r>
            <w:t xml:space="preserve">47</w:t>
          </w:r>
        </w:p>
        <w:p>
          <w:pPr>
            <w:pStyle w:val="TOC3"/>
            <w:tabs>
              <w:tab w:val="right" w:leader="dot" w:pos="9072"/>
            </w:tabs>
          </w:pPr>
          <w:r>
            <w:t xml:space="preserve">9.2 Case Studies</w:t>
          </w:r>
          <w:r>
            <w:tab/>
          </w:r>
          <w:r>
            <w:t xml:space="preserve">48</w:t>
          </w:r>
        </w:p>
        <w:p>
          <w:pPr>
            <w:pStyle w:val="TOC2"/>
            <w:tabs>
              <w:tab w:val="right" w:leader="dot" w:pos="9072"/>
            </w:tabs>
          </w:pPr>
          <w:r>
            <w:t xml:space="preserve">10. Next Steps</w:t>
          </w:r>
          <w:r>
            <w:tab/>
          </w:r>
          <w:r>
            <w:t xml:space="preserve">49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England</w:t>
      </w:r>
    </w:p>
    <w:p>
      <w:r>
        <w:rPr>
          <w:rFonts w:ascii="Figtree" w:hAnsi="Figtree"/>
          <w:b/>
          <w:i w:val="0"/>
          <w:sz w:val="22"/>
        </w:rPr>
        <w:t>Document Title:</w:t>
      </w:r>
      <w:r>
        <w:rPr>
          <w:rFonts w:ascii="Figtree" w:hAnsi="Figtree"/>
          <w:b w:val="0"/>
          <w:i w:val="0"/>
          <w:sz w:val="22"/>
        </w:rPr>
        <w:t xml:space="preserve"> Commercial Proposal — Wholesale CBDC Pilot Infrastructure</w:t>
      </w:r>
    </w:p>
    <w:p>
      <w:r>
        <w:rPr>
          <w:rFonts w:ascii="Figtree" w:hAnsi="Figtree"/>
          <w:b/>
          <w:i w:val="0"/>
          <w:sz w:val="22"/>
        </w:rPr>
        <w:t>RFP Reference:</w:t>
      </w:r>
      <w:r>
        <w:rPr>
          <w:rFonts w:ascii="Figtree" w:hAnsi="Figtree"/>
          <w:b w:val="0"/>
          <w:i w:val="0"/>
          <w:sz w:val="22"/>
        </w:rPr>
        <w:t xml:space="preserve"> BANKOFENGLAND-RFP-202603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The Bank of England requires a production-grade digital asset platform capable of supporting wholesale CBDC pilot infrastructure under FMI governance, UK Operational Resilience regime requirements, and the governance authority model of a central bank operating systemic payment infrastructure. The procurement document makes clear this is not a research experiment; it is a controlled assessment of production-grade capability.</w:t>
      </w:r>
    </w:p>
    <w:p>
      <w:r>
        <w:rPr>
          <w:rFonts w:ascii="Figtree" w:hAnsi="Figtree"/>
          <w:b w:val="0"/>
          <w:i w:val="0"/>
          <w:sz w:val="22"/>
        </w:rPr>
        <w:t>The commercial decision facing the Bank is whether to build, assemble from multiple vendors, or adopt a governed platform. Building bespoke wholesale CBDC infrastructure carries a minimum 24-36 month timeline and requires sustained engineering investment in areas where the Bank has no competitive advantage: EVM-compatible smart contract development, on-chain compliance enforcement, durable transaction orchestration, and institutional key management. Multi-vendor assembly introduces coordination complexity that runs directly counter to the Bank's stated desire to avoid manual breaks and opaque dependencies.</w:t>
      </w:r>
    </w:p>
    <w:p>
      <w:r>
        <w:rPr>
          <w:rFonts w:ascii="Figtree" w:hAnsi="Figtree"/>
          <w:b w:val="0"/>
          <w:i w:val="0"/>
          <w:sz w:val="22"/>
        </w:rPr>
        <w:t>DALP provides the governed execution layer the Bank needs, already operating in production at central banks, market infrastructure operators, and regulated institutions across multiple jurisdictions. The commercial model is transparent: platform license, structured implementation at fixed price by phase, and support tier aligned to the systemic importance of the programme.</w:t>
      </w:r>
    </w:p>
    <w:p>
      <w:r>
        <w:rPr>
          <w:rFonts w:ascii="Figtree" w:hAnsi="Figtree"/>
          <w:b/>
          <w:i w:val="0"/>
          <w:sz w:val="22"/>
        </w:rPr>
        <w:t>Recommended commercial profile:</w:t>
      </w:r>
    </w:p>
    <w:p>
      <w:pPr>
        <w:pStyle w:val="ListParagraph"/>
        <w:numPr>
          <w:ilvl w:val="0"/>
          <w:numId w:val="4"/>
        </w:numPr>
      </w:pPr>
      <w:r>
        <w:rPr>
          <w:rFonts w:ascii="Figtree" w:hAnsi="Figtree"/>
          <w:b w:val="0"/>
          <w:i w:val="0"/>
          <w:sz w:val="22"/>
        </w:rPr>
        <w:t>License tier: Sovereign (given the systemic nature of the programme and the Bank's governance requirements)</w:t>
      </w:r>
    </w:p>
    <w:p>
      <w:pPr>
        <w:pStyle w:val="ListParagraph"/>
        <w:numPr>
          <w:ilvl w:val="0"/>
          <w:numId w:val="4"/>
        </w:numPr>
      </w:pPr>
      <w:r>
        <w:rPr>
          <w:rFonts w:ascii="Figtree" w:hAnsi="Figtree"/>
          <w:b w:val="0"/>
          <w:i w:val="0"/>
          <w:sz w:val="22"/>
        </w:rPr>
        <w:t>Deployment model: Private Cloud (Bank-managed UK region) with on-premises upgrade path</w:t>
      </w:r>
    </w:p>
    <w:p>
      <w:pPr>
        <w:pStyle w:val="ListParagraph"/>
        <w:numPr>
          <w:ilvl w:val="0"/>
          <w:numId w:val="4"/>
        </w:numPr>
      </w:pPr>
      <w:r>
        <w:rPr>
          <w:rFonts w:ascii="Figtree" w:hAnsi="Figtree"/>
          <w:b w:val="0"/>
          <w:i w:val="0"/>
          <w:sz w:val="22"/>
        </w:rPr>
        <w:t>Implementation: Fixed-price, 32-week phased delivery</w:t>
      </w:r>
    </w:p>
    <w:p>
      <w:pPr>
        <w:pStyle w:val="ListParagraph"/>
        <w:numPr>
          <w:ilvl w:val="0"/>
          <w:numId w:val="4"/>
        </w:numPr>
      </w:pPr>
      <w:r>
        <w:rPr>
          <w:rFonts w:ascii="Figtree" w:hAnsi="Figtree"/>
          <w:b w:val="0"/>
          <w:i w:val="0"/>
          <w:sz w:val="22"/>
        </w:rPr>
        <w:t>Support tier: Enterprise (24/7, dedicated SRE, 99.99% uptime SLA)</w:t>
      </w:r>
    </w:p>
    <w:p>
      <w:r>
        <w:rPr>
          <w:rFonts w:ascii="Figtree" w:hAnsi="Figtree"/>
          <w:b/>
          <w:i w:val="0"/>
          <w:sz w:val="22"/>
        </w:rPr>
        <w:t>Commercial headline:</w:t>
      </w:r>
      <w:r>
        <w:rPr>
          <w:rFonts w:ascii="Figtree" w:hAnsi="Figtree"/>
          <w:b w:val="0"/>
          <w:i w:val="0"/>
          <w:sz w:val="22"/>
        </w:rPr>
        <w:t xml:space="preserve"> Total 3-year investment (license, implementation, support, infrastructure) in the range [CLIENT-SPECIFIC: indicative EUR 2.5M–4.5M depending on scope validation]. This compares to an estimated build cost of EUR 6-12M+ for equivalent capability developed in-house, without the benefit of production-proven architecture, existing compliance modules, or institutional custody integrations.</w:t>
      </w:r>
    </w:p>
    <w:p>
      <w:r>
        <w:rPr>
          <w:rFonts w:ascii="Figtree" w:hAnsi="Figtree"/>
          <w:b w:val="0"/>
          <w:i/>
          <w:sz w:val="22"/>
        </w:rPr>
        <w:t>All specific pricing figures in this document are indicative and will be finalized through commercial discussion following scope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val="0"/>
          <w:i w:val="0"/>
          <w:sz w:val="22"/>
        </w:rPr>
        <w:t>The Bank of England currently has no production wholesale CBDC infrastructure. The relevant cost comparison is therefore build versus buy, with a secondary comparison to multi-vendor assembly.</w:t>
      </w:r>
    </w:p>
    <w:p>
      <w:r>
        <w:rPr>
          <w:rFonts w:ascii="Figtree" w:hAnsi="Figtree"/>
          <w:b/>
          <w:i w:val="0"/>
          <w:sz w:val="22"/>
        </w:rPr>
        <w:t>Build-from-scratch path:</w:t>
      </w:r>
    </w:p>
    <w:p>
      <w:r>
        <w:rPr>
          <w:rFonts w:ascii="Figtree" w:hAnsi="Figtree"/>
          <w:b w:val="0"/>
          <w:i w:val="0"/>
          <w:sz w:val="22"/>
        </w:rPr>
        <w:t>A realistic in-house build programme for equivalent capability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20"/>
        <w:gridCol w:w="2475"/>
        <w:gridCol w:w="7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Engineering 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EVM-compatible smart contract development (ERC-3643 compliance engine, asset contracts, identity)</w:t>
            </w:r>
          </w:p>
        </w:tc>
        <w:tc>
          <w:tcPr>
            <w:tcW w:type="dxa" w:w="3249"/>
            <w:vAlign w:val="center"/>
          </w:tcPr>
          <w:p>
            <w:pPr>
              <w:spacing w:line="276" w:lineRule="auto" w:before="0" w:after="0"/>
            </w:pPr>
            <w:r/>
            <w:r>
              <w:rPr>
                <w:rFonts w:ascii="Figtree" w:hAnsi="Figtree"/>
                <w:b w:val="0"/>
                <w:i w:val="0"/>
                <w:sz w:val="20"/>
              </w:rPr>
              <w:t>4-6 FTE engineers, 12 months</w:t>
            </w:r>
          </w:p>
        </w:tc>
        <w:tc>
          <w:tcPr>
            <w:tcW w:type="dxa" w:w="3249"/>
            <w:vAlign w:val="center"/>
          </w:tcPr>
          <w:p>
            <w:pPr>
              <w:spacing w:line="276" w:lineRule="auto" w:before="0" w:after="0"/>
            </w:pPr>
            <w:r/>
            <w:r>
              <w:rPr>
                <w:rFonts w:ascii="Figtree" w:hAnsi="Figtree"/>
                <w:b w:val="0"/>
                <w:i w:val="0"/>
                <w:sz w:val="20"/>
              </w:rPr>
              <w:t>12+ months</w:t>
            </w:r>
          </w:p>
        </w:tc>
      </w:tr>
      <w:tr>
        <w:trPr>
          <w:trHeight w:val="425" w:hRule="atLeast"/>
        </w:trPr>
        <w:tc>
          <w:tcPr>
            <w:tcW w:type="dxa" w:w="3249"/>
            <w:vAlign w:val="center"/>
          </w:tcPr>
          <w:p>
            <w:pPr>
              <w:spacing w:line="276" w:lineRule="auto" w:before="0" w:after="0"/>
            </w:pPr>
            <w:r/>
            <w:r>
              <w:rPr>
                <w:rFonts w:ascii="Figtree" w:hAnsi="Figtree"/>
                <w:b w:val="0"/>
                <w:i w:val="0"/>
                <w:sz w:val="20"/>
              </w:rPr>
              <w:t>Durable transaction orchestration layer</w:t>
            </w:r>
          </w:p>
        </w:tc>
        <w:tc>
          <w:tcPr>
            <w:tcW w:type="dxa" w:w="3249"/>
            <w:vAlign w:val="center"/>
          </w:tcPr>
          <w:p>
            <w:pPr>
              <w:spacing w:line="276" w:lineRule="auto" w:before="0" w:after="0"/>
            </w:pPr>
            <w:r/>
            <w:r>
              <w:rPr>
                <w:rFonts w:ascii="Figtree" w:hAnsi="Figtree"/>
                <w:b w:val="0"/>
                <w:i w:val="0"/>
                <w:sz w:val="20"/>
              </w:rPr>
              <w:t>3-4 FTE platform engineers, 9 months</w:t>
            </w:r>
          </w:p>
        </w:tc>
        <w:tc>
          <w:tcPr>
            <w:tcW w:type="dxa" w:w="3249"/>
            <w:vAlign w:val="center"/>
          </w:tcPr>
          <w:p>
            <w:pPr>
              <w:spacing w:line="276" w:lineRule="auto" w:before="0" w:after="0"/>
            </w:pPr>
            <w:r/>
            <w:r>
              <w:rPr>
                <w:rFonts w:ascii="Figtree" w:hAnsi="Figtree"/>
                <w:b w:val="0"/>
                <w:i w:val="0"/>
                <w:sz w:val="20"/>
              </w:rPr>
              <w:t>9-12 months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key management and HSM integration</w:t>
            </w:r>
          </w:p>
        </w:tc>
        <w:tc>
          <w:tcPr>
            <w:tcW w:type="dxa" w:w="3249"/>
            <w:vAlign w:val="center"/>
          </w:tcPr>
          <w:p>
            <w:pPr>
              <w:spacing w:line="276" w:lineRule="auto" w:before="0" w:after="0"/>
            </w:pPr>
            <w:r/>
            <w:r>
              <w:rPr>
                <w:rFonts w:ascii="Figtree" w:hAnsi="Figtree"/>
                <w:b w:val="0"/>
                <w:i w:val="0"/>
                <w:sz w:val="20"/>
              </w:rPr>
              <w:t>2-3 FTE security engineers, 6 months</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operational tooling</w:t>
            </w:r>
          </w:p>
        </w:tc>
        <w:tc>
          <w:tcPr>
            <w:tcW w:type="dxa" w:w="3249"/>
            <w:vAlign w:val="center"/>
          </w:tcPr>
          <w:p>
            <w:pPr>
              <w:spacing w:line="276" w:lineRule="auto" w:before="0" w:after="0"/>
            </w:pPr>
            <w:r/>
            <w:r>
              <w:rPr>
                <w:rFonts w:ascii="Figtree" w:hAnsi="Figtree"/>
                <w:b w:val="0"/>
                <w:i w:val="0"/>
                <w:sz w:val="20"/>
              </w:rPr>
              <w:t>2 FTE DevOps engineers, 6 months</w:t>
            </w:r>
          </w:p>
        </w:tc>
        <w:tc>
          <w:tcPr>
            <w:tcW w:type="dxa" w:w="3249"/>
            <w:vAlign w:val="center"/>
          </w:tcPr>
          <w:p>
            <w:pPr>
              <w:spacing w:line="276" w:lineRule="auto" w:before="0" w:after="0"/>
            </w:pPr>
            <w:r/>
            <w:r>
              <w:rPr>
                <w:rFonts w:ascii="Figtree" w:hAnsi="Figtree"/>
                <w:b w:val="0"/>
                <w:i w:val="0"/>
                <w:sz w:val="20"/>
              </w:rPr>
              <w:t>6 months</w:t>
            </w:r>
          </w:p>
        </w:tc>
      </w:tr>
      <w:tr>
        <w:trPr>
          <w:trHeight w:val="425" w:hRule="atLeast"/>
        </w:trPr>
        <w:tc>
          <w:tcPr>
            <w:tcW w:type="dxa" w:w="3249"/>
            <w:vAlign w:val="center"/>
          </w:tcPr>
          <w:p>
            <w:pPr>
              <w:spacing w:line="276" w:lineRule="auto" w:before="0" w:after="0"/>
            </w:pPr>
            <w:r/>
            <w:r>
              <w:rPr>
                <w:rFonts w:ascii="Figtree" w:hAnsi="Figtree"/>
                <w:b w:val="0"/>
                <w:i w:val="0"/>
                <w:sz w:val="20"/>
              </w:rPr>
              <w:t>Integration framework (API, webhooks, RTGS)</w:t>
            </w:r>
          </w:p>
        </w:tc>
        <w:tc>
          <w:tcPr>
            <w:tcW w:type="dxa" w:w="3249"/>
            <w:vAlign w:val="center"/>
          </w:tcPr>
          <w:p>
            <w:pPr>
              <w:spacing w:line="276" w:lineRule="auto" w:before="0" w:after="0"/>
            </w:pPr>
            <w:r/>
            <w:r>
              <w:rPr>
                <w:rFonts w:ascii="Figtree" w:hAnsi="Figtree"/>
                <w:b w:val="0"/>
                <w:i w:val="0"/>
                <w:sz w:val="20"/>
              </w:rPr>
              <w:t>3 FTE integration engineers, 9 months</w:t>
            </w:r>
          </w:p>
        </w:tc>
        <w:tc>
          <w:tcPr>
            <w:tcW w:type="dxa" w:w="3249"/>
            <w:vAlign w:val="center"/>
          </w:tcPr>
          <w:p>
            <w:pPr>
              <w:spacing w:line="276" w:lineRule="auto" w:before="0" w:after="0"/>
            </w:pPr>
            <w:r/>
            <w:r>
              <w:rPr>
                <w:rFonts w:ascii="Figtree" w:hAnsi="Figtree"/>
                <w:b w:val="0"/>
                <w:i w:val="0"/>
                <w:sz w:val="20"/>
              </w:rPr>
              <w:t>9 months</w:t>
            </w:r>
          </w:p>
        </w:tc>
      </w:tr>
      <w:tr>
        <w:trPr>
          <w:trHeight w:val="425" w:hRule="atLeast"/>
        </w:trPr>
        <w:tc>
          <w:tcPr>
            <w:tcW w:type="dxa" w:w="3249"/>
            <w:vAlign w:val="center"/>
          </w:tcPr>
          <w:p>
            <w:pPr>
              <w:spacing w:line="276" w:lineRule="auto" w:before="0" w:after="0"/>
            </w:pPr>
            <w:r/>
            <w:r>
              <w:rPr>
                <w:rFonts w:ascii="Figtree" w:hAnsi="Figtree"/>
                <w:b w:val="0"/>
                <w:i w:val="0"/>
                <w:sz w:val="20"/>
              </w:rPr>
              <w:t>Testing, security assurance, and pilot</w:t>
            </w:r>
          </w:p>
        </w:tc>
        <w:tc>
          <w:tcPr>
            <w:tcW w:type="dxa" w:w="3249"/>
            <w:vAlign w:val="center"/>
          </w:tcPr>
          <w:p>
            <w:pPr>
              <w:spacing w:line="276" w:lineRule="auto" w:before="0" w:after="0"/>
            </w:pPr>
            <w:r/>
            <w:r>
              <w:rPr>
                <w:rFonts w:ascii="Figtree" w:hAnsi="Figtree"/>
                <w:b w:val="0"/>
                <w:i w:val="0"/>
                <w:sz w:val="20"/>
              </w:rPr>
              <w:t>2-3 FTE QA/security, 6 months</w:t>
            </w:r>
          </w:p>
        </w:tc>
        <w:tc>
          <w:tcPr>
            <w:tcW w:type="dxa" w:w="3249"/>
            <w:vAlign w:val="center"/>
          </w:tcPr>
          <w:p>
            <w:pPr>
              <w:spacing w:line="276" w:lineRule="auto" w:before="0" w:after="0"/>
            </w:pPr>
            <w:r/>
            <w:r>
              <w:rPr>
                <w:rFonts w:ascii="Figtree" w:hAnsi="Figtree"/>
                <w:b w:val="0"/>
                <w:i w:val="0"/>
                <w:sz w:val="20"/>
              </w:rPr>
              <w:t>6 months</w:t>
            </w:r>
          </w:p>
        </w:tc>
      </w:tr>
    </w:tbl>
    <w:p>
      <w:pPr>
        <w:spacing w:before="0" w:after="0" w:line="120" w:lineRule="exact"/>
      </w:pPr>
    </w:p>
    <w:p>
      <w:r>
        <w:rPr>
          <w:rFonts w:ascii="Figtree" w:hAnsi="Figtree"/>
          <w:b/>
          <w:i w:val="0"/>
          <w:sz w:val="22"/>
        </w:rPr>
        <w:t>Estimated build cost:</w:t>
      </w:r>
      <w:r>
        <w:rPr>
          <w:rFonts w:ascii="Figtree" w:hAnsi="Figtree"/>
          <w:b w:val="0"/>
          <w:i w:val="0"/>
          <w:sz w:val="22"/>
        </w:rPr>
        <w:t xml:space="preserve"> EUR 6-12M+ including staff costs, infrastructure, security auditing, and 2 years of engineering time. This estimate assumes the Bank could recruit the required specialized skills at market rates, which is a significant operational assumption.</w:t>
      </w:r>
    </w:p>
    <w:p>
      <w:r>
        <w:rPr>
          <w:rFonts w:ascii="Figtree" w:hAnsi="Figtree"/>
          <w:b/>
          <w:i w:val="0"/>
          <w:sz w:val="22"/>
        </w:rPr>
        <w:t>Hidden costs of build approach:</w:t>
      </w:r>
    </w:p>
    <w:p>
      <w:pPr>
        <w:pStyle w:val="ListParagraph"/>
        <w:numPr>
          <w:ilvl w:val="0"/>
          <w:numId w:val="4"/>
        </w:numPr>
      </w:pPr>
      <w:r>
        <w:rPr>
          <w:rFonts w:ascii="Figtree" w:hAnsi="Figtree"/>
          <w:b w:val="0"/>
          <w:i w:val="0"/>
          <w:sz w:val="22"/>
        </w:rPr>
        <w:t>Permanent engineering dependency: the built platform requires ongoing maintenance, security patching, and feature development. No exit path.</w:t>
      </w:r>
    </w:p>
    <w:p>
      <w:pPr>
        <w:pStyle w:val="ListParagraph"/>
        <w:numPr>
          <w:ilvl w:val="0"/>
          <w:numId w:val="4"/>
        </w:numPr>
      </w:pPr>
      <w:r>
        <w:rPr>
          <w:rFonts w:ascii="Figtree" w:hAnsi="Figtree"/>
          <w:b w:val="0"/>
          <w:i w:val="0"/>
          <w:sz w:val="22"/>
        </w:rPr>
        <w:t>No production validation: built platform is unproven at institutional scale. The Bank bears all pilot and production readiness risk.</w:t>
      </w:r>
    </w:p>
    <w:p>
      <w:pPr>
        <w:pStyle w:val="ListParagraph"/>
        <w:numPr>
          <w:ilvl w:val="0"/>
          <w:numId w:val="4"/>
        </w:numPr>
      </w:pPr>
      <w:r>
        <w:rPr>
          <w:rFonts w:ascii="Figtree" w:hAnsi="Figtree"/>
          <w:b w:val="0"/>
          <w:i w:val="0"/>
          <w:sz w:val="22"/>
        </w:rPr>
        <w:t>No regulatory precedent: existing DALP deployments at comparable institutions provide the Bank with reference architecture evidence that a clean-sheet build cannot offer.</w:t>
      </w:r>
    </w:p>
    <w:p>
      <w:pPr>
        <w:pStyle w:val="ListParagraph"/>
        <w:numPr>
          <w:ilvl w:val="0"/>
          <w:numId w:val="4"/>
        </w:numPr>
      </w:pPr>
      <w:r>
        <w:rPr>
          <w:rFonts w:ascii="Figtree" w:hAnsi="Figtree"/>
          <w:b w:val="0"/>
          <w:i w:val="0"/>
          <w:sz w:val="22"/>
        </w:rPr>
        <w:t>Compliance module development: DALP ships 18 production-ready compliance modules. Building equivalent capability from scratch requires sustained regulatory and technical investment.</w:t>
      </w:r>
    </w:p>
    <w:p>
      <w:r>
        <w:rPr>
          <w:rFonts w:ascii="Figtree" w:hAnsi="Figtree"/>
          <w:b/>
          <w:i w:val="0"/>
          <w:sz w:val="22"/>
        </w:rPr>
        <w:t>Multi-vendor assembly path:</w:t>
      </w:r>
    </w:p>
    <w:p>
      <w:r>
        <w:rPr>
          <w:rFonts w:ascii="Figtree" w:hAnsi="Figtree"/>
          <w:b w:val="0"/>
          <w:i w:val="0"/>
          <w:sz w:val="22"/>
        </w:rPr>
        <w:t>Assembling token issuance, compliance enforcement, custody, settlement, and reporting from separate vendors introduces:</w:t>
      </w:r>
    </w:p>
    <w:p>
      <w:pPr>
        <w:pStyle w:val="ListParagraph"/>
        <w:numPr>
          <w:ilvl w:val="0"/>
          <w:numId w:val="4"/>
        </w:numPr>
      </w:pPr>
      <w:r>
        <w:rPr>
          <w:rFonts w:ascii="Figtree" w:hAnsi="Figtree"/>
          <w:b w:val="0"/>
          <w:i w:val="0"/>
          <w:sz w:val="22"/>
        </w:rPr>
        <w:t>Multiple contract negotiations and vendor onboarding cycles</w:t>
      </w:r>
    </w:p>
    <w:p>
      <w:pPr>
        <w:pStyle w:val="ListParagraph"/>
        <w:numPr>
          <w:ilvl w:val="0"/>
          <w:numId w:val="4"/>
        </w:numPr>
      </w:pPr>
      <w:r>
        <w:rPr>
          <w:rFonts w:ascii="Figtree" w:hAnsi="Figtree"/>
          <w:b w:val="0"/>
          <w:i w:val="0"/>
          <w:sz w:val="22"/>
        </w:rPr>
        <w:t>Cross-vendor incident resolution complexity</w:t>
      </w:r>
    </w:p>
    <w:p>
      <w:pPr>
        <w:pStyle w:val="ListParagraph"/>
        <w:numPr>
          <w:ilvl w:val="0"/>
          <w:numId w:val="4"/>
        </w:numPr>
      </w:pPr>
      <w:r>
        <w:rPr>
          <w:rFonts w:ascii="Figtree" w:hAnsi="Figtree"/>
          <w:b w:val="0"/>
          <w:i w:val="0"/>
          <w:sz w:val="22"/>
        </w:rPr>
        <w:t>Inconsistent audit trails and reporting semantics</w:t>
      </w:r>
    </w:p>
    <w:p>
      <w:pPr>
        <w:pStyle w:val="ListParagraph"/>
        <w:numPr>
          <w:ilvl w:val="0"/>
          <w:numId w:val="4"/>
        </w:numPr>
      </w:pPr>
      <w:r>
        <w:rPr>
          <w:rFonts w:ascii="Figtree" w:hAnsi="Figtree"/>
          <w:b w:val="0"/>
          <w:i w:val="0"/>
          <w:sz w:val="22"/>
        </w:rPr>
        <w:t>Architectural drift as independent components evolve at different rates</w:t>
      </w:r>
    </w:p>
    <w:p>
      <w:pPr>
        <w:pStyle w:val="ListParagraph"/>
        <w:numPr>
          <w:ilvl w:val="0"/>
          <w:numId w:val="4"/>
        </w:numPr>
      </w:pPr>
      <w:r>
        <w:rPr>
          <w:rFonts w:ascii="Figtree" w:hAnsi="Figtree"/>
          <w:b w:val="0"/>
          <w:i w:val="0"/>
          <w:sz w:val="22"/>
        </w:rPr>
        <w:t>3-4x the integration engineering effort compared to a single platform</w:t>
      </w:r>
    </w:p>
    <w:p>
      <w:r>
        <w:rPr>
          <w:rFonts w:ascii="Figtree" w:hAnsi="Figtree"/>
          <w:b w:val="0"/>
          <w:i w:val="0"/>
          <w:sz w:val="22"/>
        </w:rPr>
        <w:t>The Bank's procurement document explicitly identifies avoiding "opaque dependencies" and "manual breaks" as programme objectives. Multi-vendor assembly is structurally opposed to those objectives.</w:t>
      </w:r>
    </w:p>
    <w:p>
      <w:pPr>
        <w:pStyle w:val="H3"/>
        <w:numPr>
          <w:ilvl w:val="2"/>
          <w:numId w:val="1"/>
        </w:numPr>
      </w:pPr>
      <w:r>
        <w:t>2.2 Why DALP Changes Economics</w:t>
      </w:r>
    </w:p>
    <w:p>
      <w:r>
        <w:rPr>
          <w:rFonts w:ascii="Figtree" w:hAnsi="Figtree"/>
          <w:b w:val="0"/>
          <w:i w:val="0"/>
          <w:sz w:val="22"/>
        </w:rPr>
        <w:t>DALP collapses the multi-component assembly into a single governed platform. The commercial implications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6"/>
        <w:gridCol w:w="3024"/>
        <w:gridCol w:w="36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12+ months, high cost</w:t>
            </w:r>
          </w:p>
        </w:tc>
        <w:tc>
          <w:tcPr>
            <w:tcW w:type="dxa" w:w="3249"/>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Separate contract, integration build</w:t>
            </w:r>
          </w:p>
        </w:tc>
        <w:tc>
          <w:tcPr>
            <w:tcW w:type="dxa" w:w="3249"/>
            <w:vAlign w:val="center"/>
          </w:tcPr>
          <w:p>
            <w:pPr>
              <w:spacing w:line="276" w:lineRule="auto" w:before="0" w:after="0"/>
            </w:pPr>
            <w:r/>
            <w:r>
              <w:rPr>
                <w:rFonts w:ascii="Figtree" w:hAnsi="Figtree"/>
                <w:b w:val="0"/>
                <w:i w:val="0"/>
                <w:sz w:val="20"/>
              </w:rPr>
              <w:t>Included: DFNS, Fireblocks, HSM</w:t>
            </w:r>
          </w:p>
        </w:tc>
      </w:tr>
      <w:tr>
        <w:trPr>
          <w:trHeight w:val="425" w:hRule="atLeast"/>
        </w:trPr>
        <w:tc>
          <w:tcPr>
            <w:tcW w:type="dxa" w:w="3249"/>
            <w:vAlign w:val="center"/>
          </w:tcPr>
          <w:p>
            <w:pPr>
              <w:spacing w:line="276" w:lineRule="auto" w:before="0" w:after="0"/>
            </w:pPr>
            <w:r/>
            <w:r>
              <w:rPr>
                <w:rFonts w:ascii="Figtree" w:hAnsi="Figtree"/>
                <w:b w:val="0"/>
                <w:i w:val="0"/>
                <w:sz w:val="20"/>
              </w:rPr>
              <w:t>Settlement coordination</w:t>
            </w:r>
          </w:p>
        </w:tc>
        <w:tc>
          <w:tcPr>
            <w:tcW w:type="dxa" w:w="3249"/>
            <w:vAlign w:val="center"/>
          </w:tcPr>
          <w:p>
            <w:pPr>
              <w:spacing w:line="276" w:lineRule="auto" w:before="0" w:after="0"/>
            </w:pPr>
            <w:r/>
            <w:r>
              <w:rPr>
                <w:rFonts w:ascii="Figtree" w:hAnsi="Figtree"/>
                <w:b w:val="0"/>
                <w:i w:val="0"/>
                <w:sz w:val="20"/>
              </w:rPr>
              <w:t>Custom XvP build or separate vendor</w:t>
            </w:r>
          </w:p>
        </w:tc>
        <w:tc>
          <w:tcPr>
            <w:tcW w:type="dxa" w:w="3249"/>
            <w:vAlign w:val="center"/>
          </w:tcPr>
          <w:p>
            <w:pPr>
              <w:spacing w:line="276" w:lineRule="auto" w:before="0" w:after="0"/>
            </w:pPr>
            <w:r/>
            <w:r>
              <w:rPr>
                <w:rFonts w:ascii="Figtree" w:hAnsi="Figtree"/>
                <w:b w:val="0"/>
                <w:i w:val="0"/>
                <w:sz w:val="20"/>
              </w:rPr>
              <w:t>Included: XvP addon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Separate build or tool procurement</w:t>
            </w:r>
          </w:p>
        </w:tc>
        <w:tc>
          <w:tcPr>
            <w:tcW w:type="dxa" w:w="3249"/>
            <w:vAlign w:val="center"/>
          </w:tcPr>
          <w:p>
            <w:pPr>
              <w:spacing w:line="276" w:lineRule="auto" w:before="0" w:after="0"/>
            </w:pPr>
            <w:r/>
            <w:r>
              <w:rPr>
                <w:rFonts w:ascii="Figtree" w:hAnsi="Figtree"/>
                <w:b w:val="0"/>
                <w:i w:val="0"/>
                <w:sz w:val="20"/>
              </w:rPr>
              <w:t>Included: VictoriaMetrics, Loki, Grafana</w:t>
            </w:r>
          </w:p>
        </w:tc>
      </w:tr>
      <w:tr>
        <w:trPr>
          <w:trHeight w:val="425" w:hRule="atLeast"/>
        </w:trPr>
        <w:tc>
          <w:tcPr>
            <w:tcW w:type="dxa" w:w="3249"/>
            <w:vAlign w:val="center"/>
          </w:tcPr>
          <w:p>
            <w:pPr>
              <w:spacing w:line="276" w:lineRule="auto" w:before="0" w:after="0"/>
            </w:pPr>
            <w:r/>
            <w:r>
              <w:rPr>
                <w:rFonts w:ascii="Figtree" w:hAnsi="Figtree"/>
                <w:b w:val="0"/>
                <w:i w:val="0"/>
                <w:sz w:val="20"/>
              </w:rPr>
              <w:t>Audit trail architecture</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Included: on-chain events + structured logs</w:t>
            </w:r>
          </w:p>
        </w:tc>
      </w:tr>
      <w:tr>
        <w:trPr>
          <w:trHeight w:val="425" w:hRule="atLeast"/>
        </w:trPr>
        <w:tc>
          <w:tcPr>
            <w:tcW w:type="dxa" w:w="3249"/>
            <w:vAlign w:val="center"/>
          </w:tcPr>
          <w:p>
            <w:pPr>
              <w:spacing w:line="276" w:lineRule="auto" w:before="0" w:after="0"/>
            </w:pPr>
            <w:r/>
            <w:r>
              <w:rPr>
                <w:rFonts w:ascii="Figtree" w:hAnsi="Figtree"/>
                <w:b w:val="0"/>
                <w:i w:val="0"/>
                <w:sz w:val="20"/>
              </w:rPr>
              <w:t>API development</w:t>
            </w:r>
          </w:p>
        </w:tc>
        <w:tc>
          <w:tcPr>
            <w:tcW w:type="dxa" w:w="3249"/>
            <w:vAlign w:val="center"/>
          </w:tcPr>
          <w:p>
            <w:pPr>
              <w:spacing w:line="276" w:lineRule="auto" w:before="0" w:after="0"/>
            </w:pPr>
            <w:r/>
            <w:r>
              <w:rPr>
                <w:rFonts w:ascii="Figtree" w:hAnsi="Figtree"/>
                <w:b w:val="0"/>
                <w:i w:val="0"/>
                <w:sz w:val="20"/>
              </w:rPr>
              <w:t>Custom REST API build</w:t>
            </w:r>
          </w:p>
        </w:tc>
        <w:tc>
          <w:tcPr>
            <w:tcW w:type="dxa" w:w="3249"/>
            <w:vAlign w:val="center"/>
          </w:tcPr>
          <w:p>
            <w:pPr>
              <w:spacing w:line="276" w:lineRule="auto" w:before="0" w:after="0"/>
            </w:pPr>
            <w:r/>
            <w:r>
              <w:rPr>
                <w:rFonts w:ascii="Figtree" w:hAnsi="Figtree"/>
                <w:b w:val="0"/>
                <w:i w:val="0"/>
                <w:sz w:val="20"/>
              </w:rPr>
              <w:t>Included: OpenAPI 3.1 + TypeScript SDK</w:t>
            </w:r>
          </w:p>
        </w:tc>
      </w:tr>
    </w:tbl>
    <w:p>
      <w:pPr>
        <w:spacing w:before="0" w:after="0" w:line="120" w:lineRule="exact"/>
      </w:pPr>
    </w:p>
    <w:p>
      <w:r>
        <w:rPr>
          <w:rFonts w:ascii="Figtree" w:hAnsi="Figtree"/>
          <w:b w:val="0"/>
          <w:i w:val="0"/>
          <w:sz w:val="22"/>
        </w:rPr>
        <w:t>The platform license is not just a software subscription. It is access to 7 years of production-hardened capabilities that would take 2-3 years to replicate internally.</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0"/>
        <w:gridCol w:w="4016"/>
        <w:gridCol w:w="3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r>
      <w:tr>
        <w:trPr>
          <w:trHeight w:val="425" w:hRule="atLeast"/>
        </w:trPr>
        <w:tc>
          <w:tcPr>
            <w:tcW w:type="dxa" w:w="3249"/>
            <w:vAlign w:val="center"/>
          </w:tcPr>
          <w:p>
            <w:pPr>
              <w:spacing w:line="276" w:lineRule="auto" w:before="0" w:after="0"/>
            </w:pPr>
            <w:r/>
            <w:r>
              <w:rPr>
                <w:rFonts w:ascii="Figtree" w:hAnsi="Figtree"/>
                <w:b w:val="0"/>
                <w:i w:val="0"/>
                <w:sz w:val="20"/>
              </w:rPr>
              <w:t>Engineering cost avoidance</w:t>
            </w:r>
          </w:p>
        </w:tc>
        <w:tc>
          <w:tcPr>
            <w:tcW w:type="dxa" w:w="3249"/>
            <w:vAlign w:val="center"/>
          </w:tcPr>
          <w:p>
            <w:pPr>
              <w:spacing w:line="276" w:lineRule="auto" w:before="0" w:after="0"/>
            </w:pPr>
            <w:r/>
            <w:r>
              <w:rPr>
                <w:rFonts w:ascii="Figtree" w:hAnsi="Figtree"/>
                <w:b w:val="0"/>
                <w:i w:val="0"/>
                <w:sz w:val="20"/>
              </w:rPr>
              <w:t>Platform replaces 18+ months of custom build</w:t>
            </w:r>
          </w:p>
        </w:tc>
        <w:tc>
          <w:tcPr>
            <w:tcW w:type="dxa" w:w="3249"/>
            <w:vAlign w:val="center"/>
          </w:tcPr>
          <w:p>
            <w:pPr>
              <w:spacing w:line="276" w:lineRule="auto" w:before="0" w:after="0"/>
            </w:pPr>
            <w:r/>
            <w:r>
              <w:rPr>
                <w:rFonts w:ascii="Figtree" w:hAnsi="Figtree"/>
                <w:b w:val="0"/>
                <w:i w:val="0"/>
                <w:sz w:val="20"/>
              </w:rPr>
              <w:t>EUR 6-12M avoided engineering cost</w:t>
            </w:r>
          </w:p>
        </w:tc>
      </w:tr>
      <w:tr>
        <w:trPr>
          <w:trHeight w:val="425" w:hRule="atLeast"/>
        </w:trPr>
        <w:tc>
          <w:tcPr>
            <w:tcW w:type="dxa" w:w="3249"/>
            <w:vAlign w:val="center"/>
          </w:tcPr>
          <w:p>
            <w:pPr>
              <w:spacing w:line="276" w:lineRule="auto" w:before="0" w:after="0"/>
            </w:pPr>
            <w:r/>
            <w:r>
              <w:rPr>
                <w:rFonts w:ascii="Figtree" w:hAnsi="Figtree"/>
                <w:b w:val="0"/>
                <w:i w:val="0"/>
                <w:sz w:val="20"/>
              </w:rPr>
              <w:t>Time-to-pilot</w:t>
            </w:r>
          </w:p>
        </w:tc>
        <w:tc>
          <w:tcPr>
            <w:tcW w:type="dxa" w:w="3249"/>
            <w:vAlign w:val="center"/>
          </w:tcPr>
          <w:p>
            <w:pPr>
              <w:spacing w:line="276" w:lineRule="auto" w:before="0" w:after="0"/>
            </w:pPr>
            <w:r/>
            <w:r>
              <w:rPr>
                <w:rFonts w:ascii="Figtree" w:hAnsi="Figtree"/>
                <w:b w:val="0"/>
                <w:i w:val="0"/>
                <w:sz w:val="20"/>
              </w:rPr>
              <w:t>32-week delivery vs 36+ month build</w:t>
            </w:r>
          </w:p>
        </w:tc>
        <w:tc>
          <w:tcPr>
            <w:tcW w:type="dxa" w:w="3249"/>
            <w:vAlign w:val="center"/>
          </w:tcPr>
          <w:p>
            <w:pPr>
              <w:spacing w:line="276" w:lineRule="auto" w:before="0" w:after="0"/>
            </w:pPr>
            <w:r/>
            <w:r>
              <w:rPr>
                <w:rFonts w:ascii="Figtree" w:hAnsi="Figtree"/>
                <w:b w:val="0"/>
                <w:i w:val="0"/>
                <w:sz w:val="20"/>
              </w:rPr>
              <w:t>2+ years faster pilot initiation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risk reduction</w:t>
            </w:r>
          </w:p>
        </w:tc>
        <w:tc>
          <w:tcPr>
            <w:tcW w:type="dxa" w:w="3249"/>
            <w:vAlign w:val="center"/>
          </w:tcPr>
          <w:p>
            <w:pPr>
              <w:spacing w:line="276" w:lineRule="auto" w:before="0" w:after="0"/>
            </w:pPr>
            <w:r/>
            <w:r>
              <w:rPr>
                <w:rFonts w:ascii="Figtree" w:hAnsi="Figtree"/>
                <w:b w:val="0"/>
                <w:i w:val="0"/>
                <w:sz w:val="20"/>
              </w:rPr>
              <w:t>Ex-ante enforcement at smart contract layer</w:t>
            </w:r>
          </w:p>
        </w:tc>
        <w:tc>
          <w:tcPr>
            <w:tcW w:type="dxa" w:w="3249"/>
            <w:vAlign w:val="center"/>
          </w:tcPr>
          <w:p>
            <w:pPr>
              <w:spacing w:line="276" w:lineRule="auto" w:before="0" w:after="0"/>
            </w:pPr>
            <w:r/>
            <w:r>
              <w:rPr>
                <w:rFonts w:ascii="Figtree" w:hAnsi="Figtree"/>
                <w:b w:val="0"/>
                <w:i w:val="0"/>
                <w:sz w:val="20"/>
              </w:rPr>
              <w:t>Regulatory penalty exposure reduced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Automated settlement, audit trail, monitoring</w:t>
            </w:r>
          </w:p>
        </w:tc>
        <w:tc>
          <w:tcPr>
            <w:tcW w:type="dxa" w:w="3249"/>
            <w:vAlign w:val="center"/>
          </w:tcPr>
          <w:p>
            <w:pPr>
              <w:spacing w:line="276" w:lineRule="auto" w:before="0" w:after="0"/>
            </w:pPr>
            <w:r/>
            <w:r>
              <w:rPr>
                <w:rFonts w:ascii="Figtree" w:hAnsi="Figtree"/>
                <w:b w:val="0"/>
                <w:i w:val="0"/>
                <w:sz w:val="20"/>
              </w:rPr>
              <w:t>Ongoing operational cost reduction</w:t>
            </w:r>
          </w:p>
        </w:tc>
      </w:tr>
      <w:tr>
        <w:trPr>
          <w:trHeight w:val="425" w:hRule="atLeast"/>
        </w:trPr>
        <w:tc>
          <w:tcPr>
            <w:tcW w:type="dxa" w:w="3249"/>
            <w:vAlign w:val="center"/>
          </w:tcPr>
          <w:p>
            <w:pPr>
              <w:spacing w:line="276" w:lineRule="auto" w:before="0" w:after="0"/>
            </w:pPr>
            <w:r/>
            <w:r>
              <w:rPr>
                <w:rFonts w:ascii="Figtree" w:hAnsi="Figtree"/>
                <w:b w:val="0"/>
                <w:i w:val="0"/>
                <w:sz w:val="20"/>
              </w:rPr>
              <w:t>Reuse across programs</w:t>
            </w:r>
          </w:p>
        </w:tc>
        <w:tc>
          <w:tcPr>
            <w:tcW w:type="dxa" w:w="3249"/>
            <w:vAlign w:val="center"/>
          </w:tcPr>
          <w:p>
            <w:pPr>
              <w:spacing w:line="276" w:lineRule="auto" w:before="0" w:after="0"/>
            </w:pPr>
            <w:r/>
            <w:r>
              <w:rPr>
                <w:rFonts w:ascii="Figtree" w:hAnsi="Figtree"/>
                <w:b w:val="0"/>
                <w:i w:val="0"/>
                <w:sz w:val="20"/>
              </w:rPr>
              <w:t>Platform reusable for future BoE digital asset initiatives</w:t>
            </w:r>
          </w:p>
        </w:tc>
        <w:tc>
          <w:tcPr>
            <w:tcW w:type="dxa" w:w="3249"/>
            <w:vAlign w:val="center"/>
          </w:tcPr>
          <w:p>
            <w:pPr>
              <w:spacing w:line="276" w:lineRule="auto" w:before="0" w:after="0"/>
            </w:pPr>
            <w:r/>
            <w:r>
              <w:rPr>
                <w:rFonts w:ascii="Figtree" w:hAnsi="Figtree"/>
                <w:b w:val="0"/>
                <w:i w:val="0"/>
                <w:sz w:val="20"/>
              </w:rPr>
              <w:t>Marginal cost per additional program much lower</w:t>
            </w:r>
          </w:p>
        </w:tc>
      </w:tr>
    </w:tbl>
    <w:p>
      <w:pPr>
        <w:spacing w:before="0" w:after="0" w:line="120" w:lineRule="exact"/>
      </w:pPr>
    </w:p>
    <w:p>
      <w:r>
        <w:rPr>
          <w:rFonts w:ascii="Figtree" w:hAnsi="Figtree"/>
          <w:b/>
          <w:i w:val="0"/>
          <w:sz w:val="22"/>
        </w:rPr>
        <w:t>Payback logic:</w:t>
      </w:r>
      <w:r>
        <w:rPr>
          <w:rFonts w:ascii="Figtree" w:hAnsi="Figtree"/>
          <w:b w:val="0"/>
          <w:i w:val="0"/>
          <w:sz w:val="22"/>
        </w:rPr>
        <w:t xml:space="preserve"> The differential between DALP 3-year TCO (indicative EUR 2.5-4.5M) and the build alternative (EUR 6-12M+) represents a direct cost avoidance of EUR 3-8M over the first 3 years, before accounting for operational efficiency and speed-to-pilot benefits.</w:t>
      </w: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DALP uses a platform licensing model, not a per-transaction or per-token fee structure. The Bank's wCBDC pilot will execute compliance checks on every transfer, query participant eligibility on every onboarding, and generate audit evidence for every state transition. A per-operation pricing model would penalize precisely the behaviors the platform is designed to enable.</w:t>
      </w:r>
    </w:p>
    <w:p>
      <w:r>
        <w:rPr>
          <w:rFonts w:ascii="Figtree" w:hAnsi="Figtree"/>
          <w:b w:val="0"/>
          <w:i w:val="0"/>
          <w:sz w:val="22"/>
        </w:rPr>
        <w:t>The annual platform subscription includes all core lifecycle capabilities, compliance modules, settlement addons, API surface, observability stack, and platform updates. The Bank's cost is predictable regardless of transaction volume growth during the pilot.</w:t>
      </w:r>
    </w:p>
    <w:p>
      <w:r>
        <w:rPr>
          <w:rFonts w:ascii="Figtree" w:hAnsi="Figtree"/>
          <w:b/>
          <w:i w:val="0"/>
          <w:sz w:val="22"/>
        </w:rPr>
        <w:t>Platform license vs. transaction fee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5"/>
        <w:gridCol w:w="3124"/>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Transaction-Fee Model</w:t>
            </w:r>
          </w:p>
        </w:tc>
      </w:tr>
      <w:tr>
        <w:trPr>
          <w:trHeight w:val="425" w:hRule="atLeast"/>
        </w:trPr>
        <w:tc>
          <w:tcPr>
            <w:tcW w:type="dxa" w:w="3249"/>
            <w:vAlign w:val="center"/>
          </w:tcPr>
          <w:p>
            <w:pPr>
              <w:spacing w:line="276" w:lineRule="auto" w:before="0" w:after="0"/>
            </w:pPr>
            <w:r/>
            <w:r>
              <w:rPr>
                <w:rFonts w:ascii="Figtree" w:hAnsi="Figtree"/>
                <w:b w:val="0"/>
                <w:i w:val="0"/>
                <w:sz w:val="20"/>
              </w:rPr>
              <w:t>Compliance check cost</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Per check</w:t>
            </w:r>
          </w:p>
        </w:tc>
      </w:tr>
      <w:tr>
        <w:trPr>
          <w:trHeight w:val="425" w:hRule="atLeast"/>
        </w:trPr>
        <w:tc>
          <w:tcPr>
            <w:tcW w:type="dxa" w:w="3249"/>
            <w:vAlign w:val="center"/>
          </w:tcPr>
          <w:p>
            <w:pPr>
              <w:spacing w:line="276" w:lineRule="auto" w:before="0" w:after="0"/>
            </w:pPr>
            <w:r/>
            <w:r>
              <w:rPr>
                <w:rFonts w:ascii="Figtree" w:hAnsi="Figtree"/>
                <w:b w:val="0"/>
                <w:i w:val="0"/>
                <w:sz w:val="20"/>
              </w:rPr>
              <w:t>Transfer cost</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Per transfer</w:t>
            </w:r>
          </w:p>
        </w:tc>
      </w:tr>
      <w:tr>
        <w:trPr>
          <w:trHeight w:val="425" w:hRule="atLeast"/>
        </w:trPr>
        <w:tc>
          <w:tcPr>
            <w:tcW w:type="dxa" w:w="3249"/>
            <w:vAlign w:val="center"/>
          </w:tcPr>
          <w:p>
            <w:pPr>
              <w:spacing w:line="276" w:lineRule="auto" w:before="0" w:after="0"/>
            </w:pPr>
            <w:r/>
            <w:r>
              <w:rPr>
                <w:rFonts w:ascii="Figtree" w:hAnsi="Figtree"/>
                <w:b w:val="0"/>
                <w:i w:val="0"/>
                <w:sz w:val="20"/>
              </w:rPr>
              <w:t>Audit trail generation</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Per event</w:t>
            </w:r>
          </w:p>
        </w:tc>
      </w:tr>
      <w:tr>
        <w:trPr>
          <w:trHeight w:val="425" w:hRule="atLeast"/>
        </w:trPr>
        <w:tc>
          <w:tcPr>
            <w:tcW w:type="dxa" w:w="3249"/>
            <w:vAlign w:val="center"/>
          </w:tcPr>
          <w:p>
            <w:pPr>
              <w:spacing w:line="276" w:lineRule="auto" w:before="0" w:after="0"/>
            </w:pPr>
            <w:r/>
            <w:r>
              <w:rPr>
                <w:rFonts w:ascii="Figtree" w:hAnsi="Figtree"/>
                <w:b w:val="0"/>
                <w:i w:val="0"/>
                <w:sz w:val="20"/>
              </w:rPr>
              <w:t>Scaling economics</w:t>
            </w:r>
          </w:p>
        </w:tc>
        <w:tc>
          <w:tcPr>
            <w:tcW w:type="dxa" w:w="3249"/>
            <w:vAlign w:val="center"/>
          </w:tcPr>
          <w:p>
            <w:pPr>
              <w:spacing w:line="276" w:lineRule="auto" w:before="0" w:after="0"/>
            </w:pPr>
            <w:r/>
            <w:r>
              <w:rPr>
                <w:rFonts w:ascii="Figtree" w:hAnsi="Figtree"/>
                <w:b w:val="0"/>
                <w:i w:val="0"/>
                <w:sz w:val="20"/>
              </w:rPr>
              <w:t>Fixed cost regardless of volume</w:t>
            </w:r>
          </w:p>
        </w:tc>
        <w:tc>
          <w:tcPr>
            <w:tcW w:type="dxa" w:w="3249"/>
            <w:vAlign w:val="center"/>
          </w:tcPr>
          <w:p>
            <w:pPr>
              <w:spacing w:line="276" w:lineRule="auto" w:before="0" w:after="0"/>
            </w:pPr>
            <w:r/>
            <w:r>
              <w:rPr>
                <w:rFonts w:ascii="Figtree" w:hAnsi="Figtree"/>
                <w:b w:val="0"/>
                <w:i w:val="0"/>
                <w:sz w:val="20"/>
              </w:rPr>
              <w:t>Increasing cost with volume</w:t>
            </w:r>
          </w:p>
        </w:tc>
      </w:tr>
      <w:tr>
        <w:trPr>
          <w:trHeight w:val="425" w:hRule="atLeast"/>
        </w:trPr>
        <w:tc>
          <w:tcPr>
            <w:tcW w:type="dxa" w:w="3249"/>
            <w:vAlign w:val="center"/>
          </w:tcPr>
          <w:p>
            <w:pPr>
              <w:spacing w:line="276" w:lineRule="auto" w:before="0" w:after="0"/>
            </w:pPr>
            <w:r/>
            <w:r>
              <w:rPr>
                <w:rFonts w:ascii="Figtree" w:hAnsi="Figtree"/>
                <w:b w:val="0"/>
                <w:i w:val="0"/>
                <w:sz w:val="20"/>
              </w:rPr>
              <w:t>Budget predictability</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Low</w:t>
            </w:r>
          </w:p>
        </w:tc>
      </w:tr>
      <w:tr>
        <w:trPr>
          <w:trHeight w:val="425" w:hRule="atLeast"/>
        </w:trPr>
        <w:tc>
          <w:tcPr>
            <w:tcW w:type="dxa" w:w="3249"/>
            <w:vAlign w:val="center"/>
          </w:tcPr>
          <w:p>
            <w:pPr>
              <w:spacing w:line="276" w:lineRule="auto" w:before="0" w:after="0"/>
            </w:pPr>
            <w:r/>
            <w:r>
              <w:rPr>
                <w:rFonts w:ascii="Figtree" w:hAnsi="Figtree"/>
                <w:b w:val="0"/>
                <w:i w:val="0"/>
                <w:sz w:val="20"/>
              </w:rPr>
              <w:t>Pilot-to-production scaling risk</w:t>
            </w:r>
          </w:p>
        </w:tc>
        <w:tc>
          <w:tcPr>
            <w:tcW w:type="dxa" w:w="3249"/>
            <w:vAlign w:val="center"/>
          </w:tcPr>
          <w:p>
            <w:pPr>
              <w:spacing w:line="276" w:lineRule="auto" w:before="0" w:after="0"/>
            </w:pPr>
            <w:r/>
            <w:r>
              <w:rPr>
                <w:rFonts w:ascii="Figtree" w:hAnsi="Figtree"/>
                <w:b w:val="0"/>
                <w:i w:val="0"/>
                <w:sz w:val="20"/>
              </w:rPr>
              <w:t>None</w:t>
            </w:r>
          </w:p>
        </w:tc>
        <w:tc>
          <w:tcPr>
            <w:tcW w:type="dxa" w:w="3249"/>
            <w:vAlign w:val="center"/>
          </w:tcPr>
          <w:p>
            <w:pPr>
              <w:spacing w:line="276" w:lineRule="auto" w:before="0" w:after="0"/>
            </w:pPr>
            <w:r/>
            <w:r>
              <w:rPr>
                <w:rFonts w:ascii="Figtree" w:hAnsi="Figtree"/>
                <w:b w:val="0"/>
                <w:i w:val="0"/>
                <w:sz w:val="20"/>
              </w:rPr>
              <w:t>Significant</w:t>
            </w:r>
          </w:p>
        </w:tc>
      </w:tr>
    </w:tbl>
    <w:p>
      <w:pPr>
        <w:spacing w:before="0" w:after="0" w:line="120" w:lineRule="exact"/>
      </w:pPr>
    </w:p>
    <w:p>
      <w:pPr>
        <w:pStyle w:val="H3"/>
        <w:numPr>
          <w:ilvl w:val="2"/>
          <w:numId w:val="1"/>
        </w:numPr>
      </w:pPr>
      <w:r>
        <w:t>3.2 What's Included</w:t>
      </w:r>
    </w:p>
    <w:p>
      <w:r>
        <w:rPr>
          <w:rFonts w:ascii="Figtree" w:hAnsi="Figtree"/>
          <w:b w:val="0"/>
          <w:i w:val="0"/>
          <w:sz w:val="22"/>
        </w:rPr>
        <w:t>A DALP Sovereign tier license for the Bank of England programme includes:</w:t>
      </w:r>
    </w:p>
    <w:p>
      <w:pPr>
        <w:pStyle w:val="ListParagraph"/>
        <w:numPr>
          <w:ilvl w:val="0"/>
          <w:numId w:val="4"/>
        </w:numPr>
      </w:pPr>
      <w:r>
        <w:rPr>
          <w:rFonts w:ascii="Figtree" w:hAnsi="Figtree"/>
          <w:b w:val="0"/>
          <w:i w:val="0"/>
          <w:sz w:val="22"/>
        </w:rPr>
        <w:t>All five lifecycle pillars: Issuance, Compliance, Custody integration, Settlement, Servicing</w:t>
      </w:r>
    </w:p>
    <w:p>
      <w:pPr>
        <w:pStyle w:val="ListParagraph"/>
        <w:numPr>
          <w:ilvl w:val="0"/>
          <w:numId w:val="4"/>
        </w:numPr>
      </w:pPr>
      <w:r>
        <w:rPr>
          <w:rFonts w:ascii="Figtree" w:hAnsi="Figtree"/>
          <w:b w:val="0"/>
          <w:i w:val="0"/>
          <w:sz w:val="22"/>
        </w:rPr>
        <w:t>All compliance module types (18 types) including identity verification, jurisdiction restrictions, transfer approval workflows, supply caps, and timelock restrictions</w:t>
      </w:r>
    </w:p>
    <w:p>
      <w:pPr>
        <w:pStyle w:val="ListParagraph"/>
        <w:numPr>
          <w:ilvl w:val="0"/>
          <w:numId w:val="4"/>
        </w:numPr>
      </w:pPr>
      <w:r>
        <w:rPr>
          <w:rFonts w:ascii="Figtree" w:hAnsi="Figtree"/>
          <w:b w:val="0"/>
          <w:i w:val="0"/>
          <w:sz w:val="22"/>
        </w:rPr>
        <w:t>DALPAsset Configurable for wCBDC instrument design</w:t>
      </w:r>
    </w:p>
    <w:p>
      <w:pPr>
        <w:pStyle w:val="ListParagraph"/>
        <w:numPr>
          <w:ilvl w:val="0"/>
          <w:numId w:val="4"/>
        </w:numPr>
      </w:pPr>
      <w:r>
        <w:rPr>
          <w:rFonts w:ascii="Figtree" w:hAnsi="Figtree"/>
          <w:b w:val="0"/>
          <w:i w:val="0"/>
          <w:sz w:val="22"/>
        </w:rPr>
        <w:t>XvP addon for atomic settlement coordination</w:t>
      </w:r>
    </w:p>
    <w:p>
      <w:pPr>
        <w:pStyle w:val="ListParagraph"/>
        <w:numPr>
          <w:ilvl w:val="0"/>
          <w:numId w:val="4"/>
        </w:numPr>
      </w:pPr>
      <w:r>
        <w:rPr>
          <w:rFonts w:ascii="Figtree" w:hAnsi="Figtree"/>
          <w:b w:val="0"/>
          <w:i w:val="0"/>
          <w:sz w:val="22"/>
        </w:rPr>
        <w:t>Full API surface: REST API (OpenAPI 3.1), TypeScript SDK, webhooks</w:t>
      </w:r>
    </w:p>
    <w:p>
      <w:pPr>
        <w:pStyle w:val="ListParagraph"/>
        <w:numPr>
          <w:ilvl w:val="0"/>
          <w:numId w:val="4"/>
        </w:numPr>
      </w:pPr>
      <w:r>
        <w:rPr>
          <w:rFonts w:ascii="Figtree" w:hAnsi="Figtree"/>
          <w:b w:val="0"/>
          <w:i w:val="0"/>
          <w:sz w:val="22"/>
        </w:rPr>
        <w:t>Key Guardian with HSM integration support</w:t>
      </w:r>
    </w:p>
    <w:p>
      <w:pPr>
        <w:pStyle w:val="ListParagraph"/>
        <w:numPr>
          <w:ilvl w:val="0"/>
          <w:numId w:val="4"/>
        </w:numPr>
      </w:pPr>
      <w:r>
        <w:rPr>
          <w:rFonts w:ascii="Figtree" w:hAnsi="Figtree"/>
          <w:b w:val="0"/>
          <w:i w:val="0"/>
          <w:sz w:val="22"/>
        </w:rPr>
        <w:t>Observability stack: VictoriaMetrics, Loki, Tempo, Grafana with pre-built dashboards</w:t>
      </w:r>
    </w:p>
    <w:p>
      <w:pPr>
        <w:pStyle w:val="ListParagraph"/>
        <w:numPr>
          <w:ilvl w:val="0"/>
          <w:numId w:val="4"/>
        </w:numPr>
      </w:pPr>
      <w:r>
        <w:rPr>
          <w:rFonts w:ascii="Figtree" w:hAnsi="Figtree"/>
          <w:b w:val="0"/>
          <w:i w:val="0"/>
          <w:sz w:val="22"/>
        </w:rPr>
        <w:t>All platform updates, security patches, and compliance module updates during license term</w:t>
      </w:r>
    </w:p>
    <w:p>
      <w:pPr>
        <w:pStyle w:val="ListParagraph"/>
        <w:numPr>
          <w:ilvl w:val="0"/>
          <w:numId w:val="4"/>
        </w:numPr>
      </w:pPr>
      <w:r>
        <w:rPr>
          <w:rFonts w:ascii="Figtree" w:hAnsi="Figtree"/>
          <w:b w:val="0"/>
          <w:i w:val="0"/>
          <w:sz w:val="22"/>
        </w:rPr>
        <w:t>Hyperledger Besu private network deployment support</w:t>
      </w:r>
    </w:p>
    <w:p>
      <w:pPr>
        <w:pStyle w:val="ListParagraph"/>
        <w:numPr>
          <w:ilvl w:val="0"/>
          <w:numId w:val="4"/>
        </w:numPr>
      </w:pPr>
      <w:r>
        <w:rPr>
          <w:rFonts w:ascii="Figtree" w:hAnsi="Figtree"/>
          <w:b w:val="0"/>
          <w:i w:val="0"/>
          <w:sz w:val="22"/>
        </w:rPr>
        <w:t>Dedicated solution architect for Sovereign tier</w:t>
      </w:r>
    </w:p>
    <w:p>
      <w:pPr>
        <w:pStyle w:val="H3"/>
        <w:numPr>
          <w:ilvl w:val="2"/>
          <w:numId w:val="1"/>
        </w:numPr>
      </w:pPr>
      <w:r>
        <w:t>3.3 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5"/>
        <w:gridCol w:w="62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Variable 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Bank of England Scope</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(Bank-managed UK region)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Development + Staging + Production (3 environments)</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Permissioned Hyperledger Besu (private)</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HSM-backed Key Guardian; optional DFNS/Fireblocks</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 dedicated SRE)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Fixed-price 32-week delivery</w:t>
            </w:r>
          </w:p>
        </w:tc>
      </w:tr>
    </w:tbl>
    <w:p>
      <w:pPr>
        <w:spacing w:before="0" w:after="0" w:line="120" w:lineRule="exact"/>
      </w:pPr>
    </w:p>
    <w:p>
      <w:pPr>
        <w:pStyle w:val="H3"/>
        <w:numPr>
          <w:ilvl w:val="2"/>
          <w:numId w:val="1"/>
        </w:numPr>
      </w:pPr>
      <w:r>
        <w:t>3.4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6"/>
        <w:gridCol w:w="2410"/>
        <w:gridCol w:w="2410"/>
        <w:gridCol w:w="22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 module support</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Dedicated 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Onboarding only</w:t>
            </w:r>
          </w:p>
        </w:tc>
        <w:tc>
          <w:tcPr>
            <w:tcW w:type="dxa" w:w="2436"/>
            <w:vAlign w:val="center"/>
          </w:tcPr>
          <w:p>
            <w:pPr>
              <w:spacing w:line="276" w:lineRule="auto" w:before="0" w:after="0"/>
            </w:pPr>
            <w:r/>
            <w:r>
              <w:rPr>
                <w:rFonts w:ascii="Figtree" w:hAnsi="Figtree"/>
                <w:b w:val="0"/>
                <w:i w:val="0"/>
                <w:sz w:val="20"/>
              </w:rPr>
              <w:t>Ongoing dedicated</w:t>
            </w:r>
          </w:p>
        </w:tc>
      </w:tr>
      <w:tr>
        <w:trPr>
          <w:trHeight w:val="425" w:hRule="atLeast"/>
        </w:trPr>
        <w:tc>
          <w:tcPr>
            <w:tcW w:type="dxa" w:w="2436"/>
            <w:vAlign w:val="center"/>
          </w:tcPr>
          <w:p>
            <w:pPr>
              <w:spacing w:line="276" w:lineRule="auto" w:before="0" w:after="0"/>
            </w:pPr>
            <w:r/>
            <w:r>
              <w:rPr>
                <w:rFonts w:ascii="Figtree" w:hAnsi="Figtree"/>
                <w:b w:val="0"/>
                <w:i w:val="0"/>
                <w:sz w:val="20"/>
              </w:rPr>
              <w:t>Custom SLA</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Negotiated</w:t>
            </w:r>
          </w:p>
        </w:tc>
        <w:tc>
          <w:tcPr>
            <w:tcW w:type="dxa" w:w="2436"/>
            <w:vAlign w:val="center"/>
          </w:tcPr>
          <w:p>
            <w:pPr>
              <w:spacing w:line="276" w:lineRule="auto" w:before="0" w:after="0"/>
            </w:pPr>
            <w:r/>
            <w:r>
              <w:rPr>
                <w:rFonts w:ascii="Figtree" w:hAnsi="Figtree"/>
                <w:b w:val="0"/>
                <w:i w:val="0"/>
                <w:sz w:val="20"/>
              </w:rPr>
              <w:t>Fully custom</w:t>
            </w:r>
          </w:p>
        </w:tc>
      </w:tr>
      <w:tr>
        <w:trPr>
          <w:trHeight w:val="425" w:hRule="atLeast"/>
        </w:trPr>
        <w:tc>
          <w:tcPr>
            <w:tcW w:type="dxa" w:w="2436"/>
            <w:vAlign w:val="center"/>
          </w:tcPr>
          <w:p>
            <w:pPr>
              <w:spacing w:line="276" w:lineRule="auto" w:before="0" w:after="0"/>
            </w:pPr>
            <w:r/>
            <w:r>
              <w:rPr>
                <w:rFonts w:ascii="Figtree" w:hAnsi="Figtree"/>
                <w:b w:val="0"/>
                <w:i w:val="0"/>
                <w:sz w:val="20"/>
              </w:rPr>
              <w:t>Governance controls depth</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Maximum — designed for FMI</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fee (indicative)</w:t>
            </w:r>
          </w:p>
        </w:tc>
        <w:tc>
          <w:tcPr>
            <w:tcW w:type="dxa" w:w="2436"/>
            <w:vAlign w:val="center"/>
          </w:tcPr>
          <w:p>
            <w:pPr>
              <w:spacing w:line="276" w:lineRule="auto" w:before="0" w:after="0"/>
            </w:pPr>
            <w:r/>
            <w:r>
              <w:rPr>
                <w:rFonts w:ascii="Figtree" w:hAnsi="Figtree"/>
                <w:b w:val="0"/>
                <w:i w:val="0"/>
                <w:sz w:val="20"/>
              </w:rPr>
              <w:t>EUR [CLIENT-SPECIFIC: ~300K-500K/year]</w:t>
            </w:r>
          </w:p>
        </w:tc>
        <w:tc>
          <w:tcPr>
            <w:tcW w:type="dxa" w:w="2436"/>
            <w:vAlign w:val="center"/>
          </w:tcPr>
          <w:p>
            <w:pPr>
              <w:spacing w:line="276" w:lineRule="auto" w:before="0" w:after="0"/>
            </w:pPr>
            <w:r/>
            <w:r>
              <w:rPr>
                <w:rFonts w:ascii="Figtree" w:hAnsi="Figtree"/>
                <w:b w:val="0"/>
                <w:i w:val="0"/>
                <w:sz w:val="20"/>
              </w:rPr>
              <w:t>EUR [CLIENT-SPECIFIC: ~600K-900K/year]</w:t>
            </w:r>
          </w:p>
        </w:tc>
        <w:tc>
          <w:tcPr>
            <w:tcW w:type="dxa" w:w="2436"/>
            <w:vAlign w:val="center"/>
          </w:tcPr>
          <w:p>
            <w:pPr>
              <w:spacing w:line="276" w:lineRule="auto" w:before="0" w:after="0"/>
            </w:pPr>
            <w:r/>
            <w:r>
              <w:rPr>
                <w:rFonts w:ascii="Figtree" w:hAnsi="Figtree"/>
                <w:b w:val="0"/>
                <w:i w:val="0"/>
                <w:sz w:val="20"/>
              </w:rPr>
              <w:t>EUR [CLIENT-SPECIFIC: ~1.2M-2M/year]</w:t>
            </w:r>
          </w:p>
        </w:tc>
      </w:tr>
    </w:tbl>
    <w:p>
      <w:pPr>
        <w:spacing w:before="0" w:after="0" w:line="120" w:lineRule="exact"/>
      </w:pPr>
    </w:p>
    <w:p>
      <w:r>
        <w:rPr>
          <w:rFonts w:ascii="Figtree" w:hAnsi="Figtree"/>
          <w:b/>
          <w:i w:val="0"/>
          <w:sz w:val="22"/>
        </w:rPr>
        <w:t>Recommended tier: Sovereign.</w:t>
      </w:r>
      <w:r>
        <w:rPr>
          <w:rFonts w:ascii="Figtree" w:hAnsi="Figtree"/>
          <w:b w:val="0"/>
          <w:i w:val="0"/>
          <w:sz w:val="22"/>
        </w:rPr>
        <w:t xml:space="preserve"> The Bank of England's requirements for FMI-grade governance controls, UK Operational Resilience obligations, central bank governance authority preservation, and dedicated strategic engagement align with the Sovereign tier. The Foundation and Enterprise tiers are appropriate for commercial banks and market operators without the Bank's specific systemic governance requirements.</w:t>
      </w:r>
    </w:p>
    <w:p>
      <w:r>
        <w:br w:type="page"/>
      </w:r>
    </w:p>
    <w:p>
      <w:pPr>
        <w:pStyle w:val="H2"/>
        <w:numPr>
          <w:ilvl w:val="1"/>
          <w:numId w:val="1"/>
        </w:numPr>
      </w:pPr>
      <w:r>
        <w:t>4. Deployment Options and Pricing</w:t>
      </w:r>
    </w:p>
    <w:p>
      <w:pPr>
        <w:pStyle w:val="H3"/>
        <w:numPr>
          <w:ilvl w:val="2"/>
          <w:numId w:val="1"/>
        </w:numPr>
      </w:pPr>
      <w:r>
        <w:t>4.1 Model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972"/>
        <w:gridCol w:w="3304"/>
        <w:gridCol w:w="29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BoE Suitability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Advantage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Constraint</w:t>
            </w:r>
          </w:p>
        </w:tc>
      </w:tr>
      <w:tr>
        <w:trPr>
          <w:trHeight w:val="425" w:hRule="atLeast"/>
        </w:trPr>
        <w:tc>
          <w:tcPr>
            <w:tcW w:type="dxa" w:w="2436"/>
            <w:vAlign w:val="center"/>
          </w:tcPr>
          <w:p>
            <w:pPr>
              <w:spacing w:line="276" w:lineRule="auto" w:before="0" w:after="0"/>
            </w:pPr>
            <w:r/>
            <w:r>
              <w:rPr>
                <w:rFonts w:ascii="Figtree" w:hAnsi="Figtree"/>
                <w:b w:val="0"/>
                <w:i w:val="0"/>
                <w:sz w:val="20"/>
              </w:rPr>
              <w:t>Managed SaaS</w:t>
            </w:r>
          </w:p>
        </w:tc>
        <w:tc>
          <w:tcPr>
            <w:tcW w:type="dxa" w:w="2436"/>
            <w:vAlign w:val="center"/>
          </w:tcPr>
          <w:p>
            <w:pPr>
              <w:spacing w:line="276" w:lineRule="auto" w:before="0" w:after="0"/>
            </w:pPr>
            <w:r/>
            <w:r>
              <w:rPr>
                <w:rFonts w:ascii="Figtree" w:hAnsi="Figtree"/>
                <w:b w:val="0"/>
                <w:i w:val="0"/>
                <w:sz w:val="20"/>
              </w:rPr>
              <w:t>Not recommended</w:t>
            </w:r>
          </w:p>
        </w:tc>
        <w:tc>
          <w:tcPr>
            <w:tcW w:type="dxa" w:w="2436"/>
            <w:vAlign w:val="center"/>
          </w:tcPr>
          <w:p>
            <w:pPr>
              <w:spacing w:line="276" w:lineRule="auto" w:before="0" w:after="0"/>
            </w:pPr>
            <w:r/>
            <w:r>
              <w:rPr>
                <w:rFonts w:ascii="Figtree" w:hAnsi="Figtree"/>
                <w:b w:val="0"/>
                <w:i w:val="0"/>
                <w:sz w:val="20"/>
              </w:rPr>
              <w:t>Fastest deployment</w:t>
            </w:r>
          </w:p>
        </w:tc>
        <w:tc>
          <w:tcPr>
            <w:tcW w:type="dxa" w:w="2436"/>
            <w:vAlign w:val="center"/>
          </w:tcPr>
          <w:p>
            <w:pPr>
              <w:spacing w:line="276" w:lineRule="auto" w:before="0" w:after="0"/>
            </w:pPr>
            <w:r/>
            <w:r>
              <w:rPr>
                <w:rFonts w:ascii="Figtree" w:hAnsi="Figtree"/>
                <w:b w:val="0"/>
                <w:i w:val="0"/>
                <w:sz w:val="20"/>
              </w:rPr>
              <w:t>Data residency not guaranteed within UK</w:t>
            </w:r>
          </w:p>
        </w:tc>
      </w:tr>
      <w:tr>
        <w:trPr>
          <w:trHeight w:val="425" w:hRule="atLeast"/>
        </w:trPr>
        <w:tc>
          <w:tcPr>
            <w:tcW w:type="dxa" w:w="2436"/>
            <w:vAlign w:val="center"/>
          </w:tcPr>
          <w:p>
            <w:pPr>
              <w:spacing w:line="276" w:lineRule="auto" w:before="0" w:after="0"/>
            </w:pPr>
            <w:r/>
            <w:r>
              <w:rPr>
                <w:rFonts w:ascii="Figtree" w:hAnsi="Figtree"/>
                <w:b w:val="0"/>
                <w:i w:val="0"/>
                <w:sz w:val="20"/>
              </w:rPr>
              <w:t>Private Cloud (Bank-managed)</w:t>
            </w:r>
          </w:p>
        </w:tc>
        <w:tc>
          <w:tcPr>
            <w:tcW w:type="dxa" w:w="2436"/>
            <w:vAlign w:val="center"/>
          </w:tcPr>
          <w:p>
            <w:pPr>
              <w:spacing w:line="276" w:lineRule="auto" w:before="0" w:after="0"/>
            </w:pPr>
            <w:r/>
            <w:r>
              <w:rPr>
                <w:rFonts w:ascii="Figtree" w:hAnsi="Figtree"/>
                <w:b w:val="0"/>
                <w:i w:val="0"/>
                <w:sz w:val="20"/>
              </w:rPr>
              <w:t>Recommended</w:t>
            </w:r>
          </w:p>
        </w:tc>
        <w:tc>
          <w:tcPr>
            <w:tcW w:type="dxa" w:w="2436"/>
            <w:vAlign w:val="center"/>
          </w:tcPr>
          <w:p>
            <w:pPr>
              <w:spacing w:line="276" w:lineRule="auto" w:before="0" w:after="0"/>
            </w:pPr>
            <w:r/>
            <w:r>
              <w:rPr>
                <w:rFonts w:ascii="Figtree" w:hAnsi="Figtree"/>
                <w:b w:val="0"/>
                <w:i w:val="0"/>
                <w:sz w:val="20"/>
              </w:rPr>
              <w:t>Full UK data residency, Bank infrastructure control</w:t>
            </w:r>
          </w:p>
        </w:tc>
        <w:tc>
          <w:tcPr>
            <w:tcW w:type="dxa" w:w="2436"/>
            <w:vAlign w:val="center"/>
          </w:tcPr>
          <w:p>
            <w:pPr>
              <w:spacing w:line="276" w:lineRule="auto" w:before="0" w:after="0"/>
            </w:pPr>
            <w:r/>
            <w:r>
              <w:rPr>
                <w:rFonts w:ascii="Figtree" w:hAnsi="Figtree"/>
                <w:b w:val="0"/>
                <w:i w:val="0"/>
                <w:sz w:val="20"/>
              </w:rPr>
              <w:t>Requires Bank Kubernetes/cloud capability</w:t>
            </w:r>
          </w:p>
        </w:tc>
      </w:tr>
      <w:tr>
        <w:trPr>
          <w:trHeight w:val="425" w:hRule="atLeast"/>
        </w:trPr>
        <w:tc>
          <w:tcPr>
            <w:tcW w:type="dxa" w:w="2436"/>
            <w:vAlign w:val="center"/>
          </w:tcPr>
          <w:p>
            <w:pPr>
              <w:spacing w:line="276" w:lineRule="auto" w:before="0" w:after="0"/>
            </w:pPr>
            <w:r/>
            <w:r>
              <w:rPr>
                <w:rFonts w:ascii="Figtree" w:hAnsi="Figtree"/>
                <w:b w:val="0"/>
                <w:i w:val="0"/>
                <w:sz w:val="20"/>
              </w:rPr>
              <w:t>On-Premises</w:t>
            </w:r>
          </w:p>
        </w:tc>
        <w:tc>
          <w:tcPr>
            <w:tcW w:type="dxa" w:w="2436"/>
            <w:vAlign w:val="center"/>
          </w:tcPr>
          <w:p>
            <w:pPr>
              <w:spacing w:line="276" w:lineRule="auto" w:before="0" w:after="0"/>
            </w:pPr>
            <w:r/>
            <w:r>
              <w:rPr>
                <w:rFonts w:ascii="Figtree" w:hAnsi="Figtree"/>
                <w:b w:val="0"/>
                <w:i w:val="0"/>
                <w:sz w:val="20"/>
              </w:rPr>
              <w:t>Option</w:t>
            </w:r>
          </w:p>
        </w:tc>
        <w:tc>
          <w:tcPr>
            <w:tcW w:type="dxa" w:w="2436"/>
            <w:vAlign w:val="center"/>
          </w:tcPr>
          <w:p>
            <w:pPr>
              <w:spacing w:line="276" w:lineRule="auto" w:before="0" w:after="0"/>
            </w:pPr>
            <w:r/>
            <w:r>
              <w:rPr>
                <w:rFonts w:ascii="Figtree" w:hAnsi="Figtree"/>
                <w:b w:val="0"/>
                <w:i w:val="0"/>
                <w:sz w:val="20"/>
              </w:rPr>
              <w:t>Maximum control, air-gap capable</w:t>
            </w:r>
          </w:p>
        </w:tc>
        <w:tc>
          <w:tcPr>
            <w:tcW w:type="dxa" w:w="2436"/>
            <w:vAlign w:val="center"/>
          </w:tcPr>
          <w:p>
            <w:pPr>
              <w:spacing w:line="276" w:lineRule="auto" w:before="0" w:after="0"/>
            </w:pPr>
            <w:r/>
            <w:r>
              <w:rPr>
                <w:rFonts w:ascii="Figtree" w:hAnsi="Figtree"/>
                <w:b w:val="0"/>
                <w:i w:val="0"/>
                <w:sz w:val="20"/>
              </w:rPr>
              <w:t>Longest timeline, highest operational overhead</w:t>
            </w:r>
          </w:p>
        </w:tc>
      </w:tr>
      <w:tr>
        <w:trPr>
          <w:trHeight w:val="425" w:hRule="atLeast"/>
        </w:trPr>
        <w:tc>
          <w:tcPr>
            <w:tcW w:type="dxa" w:w="2436"/>
            <w:vAlign w:val="center"/>
          </w:tcPr>
          <w:p>
            <w:pPr>
              <w:spacing w:line="276" w:lineRule="auto" w:before="0" w:after="0"/>
            </w:pPr>
            <w:r/>
            <w:r>
              <w:rPr>
                <w:rFonts w:ascii="Figtree" w:hAnsi="Figtree"/>
                <w:b w:val="0"/>
                <w:i w:val="0"/>
                <w:sz w:val="20"/>
              </w:rPr>
              <w:t>Hybrid</w:t>
            </w:r>
          </w:p>
        </w:tc>
        <w:tc>
          <w:tcPr>
            <w:tcW w:type="dxa" w:w="2436"/>
            <w:vAlign w:val="center"/>
          </w:tcPr>
          <w:p>
            <w:pPr>
              <w:spacing w:line="276" w:lineRule="auto" w:before="0" w:after="0"/>
            </w:pPr>
            <w:r/>
            <w:r>
              <w:rPr>
                <w:rFonts w:ascii="Figtree" w:hAnsi="Figtree"/>
                <w:b w:val="0"/>
                <w:i w:val="0"/>
                <w:sz w:val="20"/>
              </w:rPr>
              <w:t>Possible</w:t>
            </w:r>
          </w:p>
        </w:tc>
        <w:tc>
          <w:tcPr>
            <w:tcW w:type="dxa" w:w="2436"/>
            <w:vAlign w:val="center"/>
          </w:tcPr>
          <w:p>
            <w:pPr>
              <w:spacing w:line="276" w:lineRule="auto" w:before="0" w:after="0"/>
            </w:pPr>
            <w:r/>
            <w:r>
              <w:rPr>
                <w:rFonts w:ascii="Figtree" w:hAnsi="Figtree"/>
                <w:b w:val="0"/>
                <w:i w:val="0"/>
                <w:sz w:val="20"/>
              </w:rPr>
              <w:t>Flexibility per component</w:t>
            </w:r>
          </w:p>
        </w:tc>
        <w:tc>
          <w:tcPr>
            <w:tcW w:type="dxa" w:w="2436"/>
            <w:vAlign w:val="center"/>
          </w:tcPr>
          <w:p>
            <w:pPr>
              <w:spacing w:line="276" w:lineRule="auto" w:before="0" w:after="0"/>
            </w:pPr>
            <w:r/>
            <w:r>
              <w:rPr>
                <w:rFonts w:ascii="Figtree" w:hAnsi="Figtree"/>
                <w:b w:val="0"/>
                <w:i w:val="0"/>
                <w:sz w:val="20"/>
              </w:rPr>
              <w:t>Increased integration complexity</w:t>
            </w:r>
          </w:p>
        </w:tc>
      </w:tr>
    </w:tbl>
    <w:p>
      <w:pPr>
        <w:spacing w:before="0" w:after="0" w:line="120" w:lineRule="exact"/>
      </w:pPr>
    </w:p>
    <w:p>
      <w:pPr>
        <w:pStyle w:val="H3"/>
        <w:numPr>
          <w:ilvl w:val="2"/>
          <w:numId w:val="1"/>
        </w:numPr>
      </w:pPr>
      <w:r>
        <w:t>4.2 Recommended: Private Cloud (Bank-Managed UK Region)</w:t>
      </w:r>
    </w:p>
    <w:p>
      <w:r>
        <w:rPr>
          <w:rFonts w:ascii="Figtree" w:hAnsi="Figtree"/>
          <w:b w:val="0"/>
          <w:i w:val="0"/>
          <w:sz w:val="22"/>
        </w:rPr>
        <w:t>The Bank manages DALP on its own cloud subscription (AWS UK Region or Azure UK South). SettleMint provides Helm charts, deployment documentation, and implementation support. The Bank retains full infrastructure control.</w:t>
      </w:r>
    </w:p>
    <w:p>
      <w:r>
        <w:rPr>
          <w:rFonts w:ascii="Figtree" w:hAnsi="Figtree"/>
          <w:b/>
          <w:i w:val="0"/>
          <w:sz w:val="22"/>
        </w:rPr>
        <w:t>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52"/>
        <w:gridCol w:w="4612"/>
        <w:gridCol w:w="23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(Sovereign)</w:t>
            </w:r>
          </w:p>
        </w:tc>
        <w:tc>
          <w:tcPr>
            <w:tcW w:type="dxa" w:w="3249"/>
            <w:vAlign w:val="center"/>
          </w:tcPr>
          <w:p>
            <w:pPr>
              <w:spacing w:line="276" w:lineRule="auto" w:before="0" w:after="0"/>
            </w:pPr>
            <w:r/>
            <w:r>
              <w:rPr>
                <w:rFonts w:ascii="Figtree" w:hAnsi="Figtree"/>
                <w:b w:val="0"/>
                <w:i w:val="0"/>
                <w:sz w:val="20"/>
              </w:rPr>
              <w:t>Full lifecycle capabilities</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Kubernetes (EKS/AKS), PostgreSQL, Redis, object storage, HSM</w:t>
            </w:r>
          </w:p>
        </w:tc>
        <w:tc>
          <w:tcPr>
            <w:tcW w:type="dxa" w:w="3249"/>
            <w:vAlign w:val="center"/>
          </w:tcPr>
          <w:p>
            <w:pPr>
              <w:spacing w:line="276" w:lineRule="auto" w:before="0" w:after="0"/>
            </w:pPr>
            <w:r/>
            <w:r>
              <w:rPr>
                <w:rFonts w:ascii="Figtree" w:hAnsi="Figtree"/>
                <w:b w:val="0"/>
                <w:i w:val="0"/>
                <w:sz w:val="20"/>
              </w:rPr>
              <w:t>Monthly (Bank-borne)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32-week fixed-price delivery</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24/7 dedicated SRE</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 hardware</w:t>
            </w:r>
          </w:p>
        </w:tc>
        <w:tc>
          <w:tcPr>
            <w:tcW w:type="dxa" w:w="3249"/>
            <w:vAlign w:val="center"/>
          </w:tcPr>
          <w:p>
            <w:pPr>
              <w:spacing w:line="276" w:lineRule="auto" w:before="0" w:after="0"/>
            </w:pPr>
            <w:r/>
            <w:r>
              <w:rPr>
                <w:rFonts w:ascii="Figtree" w:hAnsi="Figtree"/>
                <w:b w:val="0"/>
                <w:i w:val="0"/>
                <w:sz w:val="20"/>
              </w:rPr>
              <w:t>One-time (Bank-borne) or lease</w:t>
            </w:r>
          </w:p>
        </w:tc>
      </w:tr>
    </w:tbl>
    <w:p>
      <w:pPr>
        <w:spacing w:before="0" w:after="0" w:line="120" w:lineRule="exact"/>
      </w:pPr>
    </w:p>
    <w:p>
      <w:r>
        <w:rPr>
          <w:rFonts w:ascii="Figtree" w:hAnsi="Figtree"/>
          <w:b/>
          <w:i w:val="0"/>
          <w:sz w:val="22"/>
        </w:rPr>
        <w:t>Infrastructure cost estimate (Bank-borne,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85"/>
        <w:gridCol w:w="39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 (indicative)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(EKS 3-AZ)</w:t>
            </w:r>
          </w:p>
        </w:tc>
        <w:tc>
          <w:tcPr>
            <w:tcW w:type="dxa" w:w="4873"/>
            <w:vAlign w:val="center"/>
          </w:tcPr>
          <w:p>
            <w:pPr>
              <w:spacing w:line="276" w:lineRule="auto" w:before="0" w:after="0"/>
            </w:pPr>
            <w:r/>
            <w:r>
              <w:rPr>
                <w:rFonts w:ascii="Figtree" w:hAnsi="Figtree"/>
                <w:b w:val="0"/>
                <w:i w:val="0"/>
                <w:sz w:val="20"/>
              </w:rPr>
              <w:t>EUR 3,000-6,000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RDS Multi-AZ</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 EC2)</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Redis ElastiCache</w:t>
            </w:r>
          </w:p>
        </w:tc>
        <w:tc>
          <w:tcPr>
            <w:tcW w:type="dxa" w:w="4873"/>
            <w:vAlign w:val="center"/>
          </w:tcPr>
          <w:p>
            <w:pPr>
              <w:spacing w:line="276" w:lineRule="auto" w:before="0" w:after="0"/>
            </w:pPr>
            <w:r/>
            <w:r>
              <w:rPr>
                <w:rFonts w:ascii="Figtree" w:hAnsi="Figtree"/>
                <w:b w:val="0"/>
                <w:i w:val="0"/>
                <w:sz w:val="20"/>
              </w:rPr>
              <w:t>EUR 500-1,000</w:t>
            </w:r>
          </w:p>
        </w:tc>
      </w:tr>
      <w:tr>
        <w:trPr>
          <w:trHeight w:val="425" w:hRule="atLeast"/>
        </w:trPr>
        <w:tc>
          <w:tcPr>
            <w:tcW w:type="dxa" w:w="4873"/>
            <w:vAlign w:val="center"/>
          </w:tcPr>
          <w:p>
            <w:pPr>
              <w:spacing w:line="276" w:lineRule="auto" w:before="0" w:after="0"/>
            </w:pPr>
            <w:r/>
            <w:r>
              <w:rPr>
                <w:rFonts w:ascii="Figtree" w:hAnsi="Figtree"/>
                <w:b w:val="0"/>
                <w:i w:val="0"/>
                <w:sz w:val="20"/>
              </w:rPr>
              <w:t>Object storage</w:t>
            </w:r>
          </w:p>
        </w:tc>
        <w:tc>
          <w:tcPr>
            <w:tcW w:type="dxa" w:w="4873"/>
            <w:vAlign w:val="center"/>
          </w:tcPr>
          <w:p>
            <w:pPr>
              <w:spacing w:line="276" w:lineRule="auto" w:before="0" w:after="0"/>
            </w:pPr>
            <w:r/>
            <w:r>
              <w:rPr>
                <w:rFonts w:ascii="Figtree" w:hAnsi="Figtree"/>
                <w:b w:val="0"/>
                <w:i w:val="0"/>
                <w:sz w:val="20"/>
              </w:rPr>
              <w:t>EUR 200-500</w:t>
            </w:r>
          </w:p>
        </w:tc>
      </w:tr>
      <w:tr>
        <w:trPr>
          <w:trHeight w:val="425" w:hRule="atLeast"/>
        </w:trPr>
        <w:tc>
          <w:tcPr>
            <w:tcW w:type="dxa" w:w="4873"/>
            <w:vAlign w:val="center"/>
          </w:tcPr>
          <w:p>
            <w:pPr>
              <w:spacing w:line="276" w:lineRule="auto" w:before="0" w:after="0"/>
            </w:pPr>
            <w:r/>
            <w:r>
              <w:rPr>
                <w:rFonts w:ascii="Figtree" w:hAnsi="Figtree"/>
                <w:b w:val="0"/>
                <w:i w:val="0"/>
                <w:sz w:val="20"/>
              </w:rPr>
              <w:t>Load balancer, networking, egress</w:t>
            </w:r>
          </w:p>
        </w:tc>
        <w:tc>
          <w:tcPr>
            <w:tcW w:type="dxa" w:w="4873"/>
            <w:vAlign w:val="center"/>
          </w:tcPr>
          <w:p>
            <w:pPr>
              <w:spacing w:line="276" w:lineRule="auto" w:before="0" w:after="0"/>
            </w:pPr>
            <w:r/>
            <w:r>
              <w:rPr>
                <w:rFonts w:ascii="Figtree" w:hAnsi="Figtree"/>
                <w:b w:val="0"/>
                <w:i w:val="0"/>
                <w:sz w:val="20"/>
              </w:rPr>
              <w:t>EUR 500-1,000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(indicative)</w:t>
            </w:r>
          </w:p>
        </w:tc>
        <w:tc>
          <w:tcPr>
            <w:tcW w:type="dxa" w:w="4873"/>
            <w:vAlign w:val="center"/>
          </w:tcPr>
          <w:p>
            <w:pPr>
              <w:spacing w:line="276" w:lineRule="auto" w:before="0" w:after="0"/>
            </w:pPr>
            <w:r/>
            <w:r>
              <w:rPr>
                <w:rFonts w:ascii="Figtree" w:hAnsi="Figtree"/>
                <w:b/>
                <w:i w:val="0"/>
                <w:sz w:val="20"/>
              </w:rPr>
              <w:t>EUR 7,700-15,500/month</w:t>
            </w:r>
          </w:p>
        </w:tc>
      </w:tr>
    </w:tbl>
    <w:p>
      <w:pPr>
        <w:spacing w:before="0" w:after="0" w:line="120" w:lineRule="exact"/>
      </w:pPr>
    </w:p>
    <w:p>
      <w:r>
        <w:rPr>
          <w:rFonts w:ascii="Figtree" w:hAnsi="Figtree"/>
          <w:b w:val="0"/>
          <w:i w:val="0"/>
          <w:sz w:val="22"/>
        </w:rPr>
        <w:t>Note: Infrastructure costs are borne by the Bank and are pass-through. SettleMint does not mark up cloud infrastructure costs.</w:t>
      </w:r>
    </w:p>
    <w:p>
      <w:pPr>
        <w:pStyle w:val="H3"/>
        <w:numPr>
          <w:ilvl w:val="2"/>
          <w:numId w:val="1"/>
        </w:numPr>
      </w:pPr>
      <w:r>
        <w:t>4.3 Cost Drivers</w:t>
      </w:r>
    </w:p>
    <w:p>
      <w:r>
        <w:rPr>
          <w:rFonts w:ascii="Figtree" w:hAnsi="Figtree"/>
          <w:b w:val="0"/>
          <w:i w:val="0"/>
          <w:sz w:val="22"/>
        </w:rPr>
        <w:t>Factors that increase total cost:</w:t>
      </w:r>
    </w:p>
    <w:p>
      <w:pPr>
        <w:pStyle w:val="ListParagraph"/>
        <w:numPr>
          <w:ilvl w:val="0"/>
          <w:numId w:val="4"/>
        </w:numPr>
      </w:pPr>
      <w:r>
        <w:rPr>
          <w:rFonts w:ascii="Figtree" w:hAnsi="Figtree"/>
          <w:b w:val="0"/>
          <w:i w:val="0"/>
          <w:sz w:val="22"/>
        </w:rPr>
        <w:t>On-premises deployment (higher implementation complexity, longer timeline)</w:t>
      </w:r>
    </w:p>
    <w:p>
      <w:pPr>
        <w:pStyle w:val="ListParagraph"/>
        <w:numPr>
          <w:ilvl w:val="0"/>
          <w:numId w:val="4"/>
        </w:numPr>
      </w:pPr>
      <w:r>
        <w:rPr>
          <w:rFonts w:ascii="Figtree" w:hAnsi="Figtree"/>
          <w:b w:val="0"/>
          <w:i w:val="0"/>
          <w:sz w:val="22"/>
        </w:rPr>
        <w:t>HSM on-premises rather than cloud-managed KMS</w:t>
      </w:r>
    </w:p>
    <w:p>
      <w:pPr>
        <w:pStyle w:val="ListParagraph"/>
        <w:numPr>
          <w:ilvl w:val="0"/>
          <w:numId w:val="4"/>
        </w:numPr>
      </w:pPr>
      <w:r>
        <w:rPr>
          <w:rFonts w:ascii="Figtree" w:hAnsi="Figtree"/>
          <w:b w:val="0"/>
          <w:i w:val="0"/>
          <w:sz w:val="22"/>
        </w:rPr>
        <w:t>Additional environment count beyond 3</w:t>
      </w:r>
    </w:p>
    <w:p>
      <w:pPr>
        <w:pStyle w:val="ListParagraph"/>
        <w:numPr>
          <w:ilvl w:val="0"/>
          <w:numId w:val="4"/>
        </w:numPr>
      </w:pPr>
      <w:r>
        <w:rPr>
          <w:rFonts w:ascii="Figtree" w:hAnsi="Figtree"/>
          <w:b w:val="0"/>
          <w:i w:val="0"/>
          <w:sz w:val="22"/>
        </w:rPr>
        <w:t>Multi-region DR site (hot-warm architecture)</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Extended implementation timeline due to Bank governance review cycles</w:t>
      </w:r>
    </w:p>
    <w:p>
      <w:r>
        <w:rPr>
          <w:rFonts w:ascii="Figtree" w:hAnsi="Figtree"/>
          <w:b w:val="0"/>
          <w:i w:val="0"/>
          <w:sz w:val="22"/>
        </w:rPr>
        <w:t>Factors that reduce total cost:</w:t>
      </w:r>
    </w:p>
    <w:p>
      <w:pPr>
        <w:pStyle w:val="ListParagraph"/>
        <w:numPr>
          <w:ilvl w:val="0"/>
          <w:numId w:val="4"/>
        </w:numPr>
      </w:pPr>
      <w:r>
        <w:rPr>
          <w:rFonts w:ascii="Figtree" w:hAnsi="Figtree"/>
          <w:b w:val="0"/>
          <w:i w:val="0"/>
          <w:sz w:val="22"/>
        </w:rPr>
        <w:t>Bank-provided Kubernetes infrastructure (reduces implementation scope)</w:t>
      </w:r>
    </w:p>
    <w:p>
      <w:pPr>
        <w:pStyle w:val="ListParagraph"/>
        <w:numPr>
          <w:ilvl w:val="0"/>
          <w:numId w:val="4"/>
        </w:numPr>
      </w:pPr>
      <w:r>
        <w:rPr>
          <w:rFonts w:ascii="Figtree" w:hAnsi="Figtree"/>
          <w:b w:val="0"/>
          <w:i w:val="0"/>
          <w:sz w:val="22"/>
        </w:rPr>
        <w:t>Multi-year license commitment (discount applicable)</w:t>
      </w:r>
    </w:p>
    <w:p>
      <w:pPr>
        <w:pStyle w:val="ListParagraph"/>
        <w:numPr>
          <w:ilvl w:val="0"/>
          <w:numId w:val="4"/>
        </w:numPr>
      </w:pPr>
      <w:r>
        <w:rPr>
          <w:rFonts w:ascii="Figtree" w:hAnsi="Figtree"/>
          <w:b w:val="0"/>
          <w:i w:val="0"/>
          <w:sz w:val="22"/>
        </w:rPr>
        <w:t>Bank self-managed cloud infrastructure (no SettleMint infrastructure management)</w:t>
      </w:r>
    </w:p>
    <w:p>
      <w:r>
        <w:br w:type="page"/>
      </w:r>
    </w:p>
    <w:p>
      <w:pPr>
        <w:pStyle w:val="H2"/>
        <w:numPr>
          <w:ilvl w:val="1"/>
          <w:numId w:val="1"/>
        </w:numPr>
      </w:pPr>
      <w:r>
        <w:t>5. Support and SLA Framework</w:t>
      </w:r>
    </w:p>
    <w:p>
      <w:pPr>
        <w:pStyle w:val="H3"/>
        <w:numPr>
          <w:ilvl w:val="2"/>
          <w:numId w:val="1"/>
        </w:numPr>
      </w:pPr>
      <w:r>
        <w:t>5.1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4"/>
        <w:gridCol w:w="2399"/>
        <w:gridCol w:w="2474"/>
        <w:gridCol w:w="24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dedicated escalation</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 at onboarding</w:t>
            </w:r>
          </w:p>
        </w:tc>
        <w:tc>
          <w:tcPr>
            <w:tcW w:type="dxa" w:w="2436"/>
            <w:vAlign w:val="center"/>
          </w:tcPr>
          <w:p>
            <w:pPr>
              <w:spacing w:line="276" w:lineRule="auto" w:before="0" w:after="0"/>
            </w:pPr>
            <w:r/>
            <w:r>
              <w:rPr>
                <w:rFonts w:ascii="Figtree" w:hAnsi="Figtree"/>
                <w:b w:val="0"/>
                <w:i w:val="0"/>
                <w:sz w:val="20"/>
              </w:rPr>
              <w:t>Named dedicated SRE</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staged</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Quarterly with Solution Architect</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Annual fee (indicative)</w:t>
            </w:r>
          </w:p>
        </w:tc>
        <w:tc>
          <w:tcPr>
            <w:tcW w:type="dxa" w:w="2436"/>
            <w:vAlign w:val="center"/>
          </w:tcPr>
          <w:p>
            <w:pPr>
              <w:spacing w:line="276" w:lineRule="auto" w:before="0" w:after="0"/>
            </w:pPr>
            <w:r/>
            <w:r>
              <w:rPr>
                <w:rFonts w:ascii="Figtree" w:hAnsi="Figtree"/>
                <w:b w:val="0"/>
                <w:i w:val="0"/>
                <w:sz w:val="20"/>
              </w:rPr>
              <w:t>EUR [CLIENT-SPECIFIC: ~80K-120K]</w:t>
            </w:r>
          </w:p>
        </w:tc>
        <w:tc>
          <w:tcPr>
            <w:tcW w:type="dxa" w:w="2436"/>
            <w:vAlign w:val="center"/>
          </w:tcPr>
          <w:p>
            <w:pPr>
              <w:spacing w:line="276" w:lineRule="auto" w:before="0" w:after="0"/>
            </w:pPr>
            <w:r/>
            <w:r>
              <w:rPr>
                <w:rFonts w:ascii="Figtree" w:hAnsi="Figtree"/>
                <w:b w:val="0"/>
                <w:i w:val="0"/>
                <w:sz w:val="20"/>
              </w:rPr>
              <w:t>EUR [CLIENT-SPECIFIC: ~150K-250K]</w:t>
            </w:r>
          </w:p>
        </w:tc>
        <w:tc>
          <w:tcPr>
            <w:tcW w:type="dxa" w:w="2436"/>
            <w:vAlign w:val="center"/>
          </w:tcPr>
          <w:p>
            <w:pPr>
              <w:spacing w:line="276" w:lineRule="auto" w:before="0" w:after="0"/>
            </w:pPr>
            <w:r/>
            <w:r>
              <w:rPr>
                <w:rFonts w:ascii="Figtree" w:hAnsi="Figtree"/>
                <w:b w:val="0"/>
                <w:i w:val="0"/>
                <w:sz w:val="20"/>
              </w:rPr>
              <w:t>EUR [CLIENT-SPECIFIC: ~300K-500K]</w:t>
            </w:r>
          </w:p>
        </w:tc>
      </w:tr>
    </w:tbl>
    <w:p>
      <w:pPr>
        <w:spacing w:before="0" w:after="0" w:line="120" w:lineRule="exact"/>
      </w:pPr>
    </w:p>
    <w:p>
      <w:r>
        <w:rPr>
          <w:rFonts w:ascii="Figtree" w:hAnsi="Figtree"/>
          <w:b/>
          <w:i w:val="0"/>
          <w:sz w:val="22"/>
        </w:rPr>
        <w:t>Recommended tier: Enterprise.</w:t>
      </w:r>
      <w:r>
        <w:rPr>
          <w:rFonts w:ascii="Figtree" w:hAnsi="Figtree"/>
          <w:b w:val="0"/>
          <w:i w:val="0"/>
          <w:sz w:val="22"/>
        </w:rPr>
        <w:t xml:space="preserve"> The Bank of England's Operational Resilience obligations, the systemic importance of wCBDC infrastructure, and the Bank's requirement for evidence-based support model make Enterprise Support the only appropriate choice.</w:t>
      </w: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5"/>
        <w:gridCol w:w="5570"/>
        <w:gridCol w:w="1140"/>
        <w:gridCol w:w="14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wCBDC transfers blocked; compliance engine unavailable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no critical path blocked;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 impaired;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inquiry; documentation; feature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3"/>
        <w:numPr>
          <w:ilvl w:val="2"/>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3888"/>
        <w:gridCol w:w="3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Downtime</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4.38 minutes/month</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21.9 minutes/month</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43.8 minutes/month</w:t>
            </w:r>
          </w:p>
        </w:tc>
      </w:tr>
    </w:tbl>
    <w:p>
      <w:pPr>
        <w:spacing w:before="0" w:after="0" w:line="120" w:lineRule="exact"/>
      </w:pPr>
    </w:p>
    <w:p>
      <w:r>
        <w:rPr>
          <w:rFonts w:ascii="Figtree" w:hAnsi="Figtree"/>
          <w:b w:val="0"/>
          <w:i w:val="0"/>
          <w:sz w:val="22"/>
        </w:rPr>
        <w:t>Measurement basis: Availability of the DALP API layer as measured from the ingress endpoint. Excludes planned maintenance windows with minimum 2-week advance notice.</w:t>
      </w:r>
    </w:p>
    <w:p>
      <w:r>
        <w:rPr>
          <w:rFonts w:ascii="Figtree" w:hAnsi="Figtree"/>
          <w:b w:val="0"/>
          <w:i w:val="0"/>
          <w:sz w:val="22"/>
        </w:rPr>
        <w:t>Service credit mechanics: Downtime below the SLA target in any calendar month entitles the Bank to service credits per the agreed credit schedule (details subject to contract negotiation).</w:t>
      </w:r>
    </w:p>
    <w:p>
      <w:pPr>
        <w:pStyle w:val="H3"/>
        <w:numPr>
          <w:ilvl w:val="2"/>
          <w:numId w:val="1"/>
        </w:numPr>
      </w:pPr>
      <w:r>
        <w:t>5.4 Escalation</w:t>
      </w:r>
    </w:p>
    <w:p>
      <w:r>
        <w:rPr>
          <w:rFonts w:ascii="Figtree" w:hAnsi="Figtree"/>
          <w:b w:val="0"/>
          <w:i w:val="0"/>
          <w:sz w:val="22"/>
        </w:rPr>
        <w:t>L1 (triage, initial response) → L2 (platform engineering, fix development) → L3 (engineering leadership, architectural review) → Executive escalation (systemic incidents).</w:t>
      </w:r>
    </w:p>
    <w:p>
      <w:r>
        <w:rPr>
          <w:rFonts w:ascii="Figtree" w:hAnsi="Figtree"/>
          <w:b w:val="0"/>
          <w:i w:val="0"/>
          <w:sz w:val="22"/>
        </w:rPr>
        <w:t>For P1 incidents: dedicated incident channel open within 15 minutes; status updates every 30 minutes; L3 escalation if no resolution path within 30 minutes; executive escalation if no resolution within 2 hours.</w:t>
      </w:r>
    </w:p>
    <w:p>
      <w:r>
        <w:rPr>
          <w:rFonts w:ascii="Figtree" w:hAnsi="Figtree"/>
          <w:b w:val="0"/>
          <w:i w:val="0"/>
          <w:sz w:val="22"/>
        </w:rPr>
        <w:t>BoE incident notification: P1 incidents notified to designated Bank contacts within 4 hours per DORA-aligned procedures.</w:t>
      </w:r>
    </w:p>
    <w:p>
      <w:pPr>
        <w:pStyle w:val="H3"/>
        <w:numPr>
          <w:ilvl w:val="2"/>
          <w:numId w:val="1"/>
        </w:numPr>
      </w:pPr>
      <w:r>
        <w:t>5.5 Maintenance</w:t>
      </w:r>
    </w:p>
    <w:p>
      <w:r>
        <w:rPr>
          <w:rFonts w:ascii="Figtree" w:hAnsi="Figtree"/>
          <w:b w:val="0"/>
          <w:i w:val="0"/>
          <w:sz w:val="22"/>
        </w:rPr>
        <w:t>Planned maintenance: Pre-agreed windows (typically Saturday 02:00-06:00 UTC). Minimum 2-week advance notice. Changes deployed to staging and Bank-approved before production.</w:t>
      </w:r>
    </w:p>
    <w:p>
      <w:r>
        <w:rPr>
          <w:rFonts w:ascii="Figtree" w:hAnsi="Figtree"/>
          <w:b w:val="0"/>
          <w:i w:val="0"/>
          <w:sz w:val="22"/>
        </w:rPr>
        <w:t>Security patches: Critical vulnerabilities within 24 hours. High vulnerabilities within 72 hours. Staged through staging environment before production.</w:t>
      </w:r>
    </w:p>
    <w:p>
      <w:r>
        <w:rPr>
          <w:rFonts w:ascii="Figtree" w:hAnsi="Figtree"/>
          <w:b w:val="0"/>
          <w:i w:val="0"/>
          <w:sz w:val="22"/>
        </w:rPr>
        <w:t>Release cadence (Enterprise): Continuous staged rollout with Bank sign-off gate before production deployment.</w:t>
      </w:r>
    </w:p>
    <w:p>
      <w:r>
        <w:br w:type="page"/>
      </w:r>
    </w:p>
    <w:p>
      <w:pPr>
        <w:pStyle w:val="H2"/>
        <w:numPr>
          <w:ilvl w:val="1"/>
          <w:numId w:val="1"/>
        </w:numPr>
      </w:pPr>
      <w:r>
        <w:t>6. Implementation Investment</w:t>
      </w:r>
    </w:p>
    <w:p>
      <w:pPr>
        <w:pStyle w:val="H3"/>
        <w:numPr>
          <w:ilvl w:val="2"/>
          <w:numId w:val="1"/>
        </w:numPr>
      </w:pPr>
      <w:r>
        <w:t>6.1 Methodology</w:t>
      </w:r>
    </w:p>
    <w:p>
      <w:r>
        <w:rPr>
          <w:rFonts w:ascii="Figtree" w:hAnsi="Figtree"/>
          <w:b w:val="0"/>
          <w:i w:val="0"/>
          <w:sz w:val="22"/>
        </w:rPr>
        <w:t>The 32-week implementation follows a phase-gated model. Each phase has fixed-price scoping, defined deliverables, and formal acceptance gates. Implementation cost is not open-ended; it is bounded by phase scope agreements. Scope changes outside the agreed phase scope are handled through change control with agreed impact assessment.</w:t>
      </w:r>
    </w:p>
    <w:p>
      <w:pPr>
        <w:pStyle w:val="H3"/>
        <w:numPr>
          <w:ilvl w:val="2"/>
          <w:numId w:val="1"/>
        </w:numPr>
      </w:pPr>
      <w:r>
        <w:t>6.2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1"/>
        <w:gridCol w:w="714"/>
        <w:gridCol w:w="4368"/>
        <w:gridCol w:w="17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 (indicative)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BRD, Regulatory Matrix, Architecture Document, RACI</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and Setup</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Provisioned environments (dev/staging/prod), Besu network, Key management, Observability</w:t>
            </w:r>
          </w:p>
        </w:tc>
        <w:tc>
          <w:tcPr>
            <w:tcW w:type="dxa" w:w="2436"/>
            <w:vAlign w:val="center"/>
          </w:tcPr>
          <w:p>
            <w:pPr>
              <w:spacing w:line="276" w:lineRule="auto" w:before="0" w:after="0"/>
            </w:pPr>
            <w:r/>
            <w:r>
              <w:rPr>
                <w:rFonts w:ascii="Figtree" w:hAnsi="Figtree"/>
                <w:b w:val="0"/>
                <w:i w:val="0"/>
                <w:sz w:val="20"/>
              </w:rPr>
              <w:t>EUR [CLIENT-SPECIFIC: ~200K-350K]</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and Compliance</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wCBDC contract config, Compliance modules, Integration designs, Governance procedures</w:t>
            </w:r>
          </w:p>
        </w:tc>
        <w:tc>
          <w:tcPr>
            <w:tcW w:type="dxa" w:w="2436"/>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9 weeks</w:t>
            </w:r>
          </w:p>
        </w:tc>
        <w:tc>
          <w:tcPr>
            <w:tcW w:type="dxa" w:w="2436"/>
            <w:vAlign w:val="center"/>
          </w:tcPr>
          <w:p>
            <w:pPr>
              <w:spacing w:line="276" w:lineRule="auto" w:before="0" w:after="0"/>
            </w:pPr>
            <w:r/>
            <w:r>
              <w:rPr>
                <w:rFonts w:ascii="Figtree" w:hAnsi="Figtree"/>
                <w:b w:val="0"/>
                <w:i w:val="0"/>
                <w:sz w:val="20"/>
              </w:rPr>
              <w:t>RTGS integration, SIEM integration, Test reports (functional/security/perf/DR), UAT sign-off</w:t>
            </w:r>
          </w:p>
        </w:tc>
        <w:tc>
          <w:tcPr>
            <w:tcW w:type="dxa" w:w="2436"/>
            <w:vAlign w:val="center"/>
          </w:tcPr>
          <w:p>
            <w:pPr>
              <w:spacing w:line="276" w:lineRule="auto" w:before="0" w:after="0"/>
            </w:pPr>
            <w:r/>
            <w:r>
              <w:rPr>
                <w:rFonts w:ascii="Figtree" w:hAnsi="Figtree"/>
                <w:b w:val="0"/>
                <w:i w:val="0"/>
                <w:sz w:val="20"/>
              </w:rPr>
              <w:t>EUR [CLIENT-SPECIFIC: ~350K-550K]</w:t>
            </w:r>
          </w:p>
        </w:tc>
      </w:tr>
      <w:tr>
        <w:trPr>
          <w:trHeight w:val="425" w:hRule="atLeast"/>
        </w:trPr>
        <w:tc>
          <w:tcPr>
            <w:tcW w:type="dxa" w:w="2436"/>
            <w:vAlign w:val="center"/>
          </w:tcPr>
          <w:p>
            <w:pPr>
              <w:spacing w:line="276" w:lineRule="auto" w:before="0" w:after="0"/>
            </w:pPr>
            <w:r/>
            <w:r>
              <w:rPr>
                <w:rFonts w:ascii="Figtree" w:hAnsi="Figtree"/>
                <w:b w:val="0"/>
                <w:i w:val="0"/>
                <w:sz w:val="20"/>
              </w:rPr>
              <w:t>Phase 5: Production Deployment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Parallel run reconciliation reports</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 and Transition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report, Documentation, Training certificates, Support transition</w:t>
            </w:r>
          </w:p>
        </w:tc>
        <w:tc>
          <w:tcPr>
            <w:tcW w:type="dxa" w:w="2436"/>
            <w:vAlign w:val="center"/>
          </w:tcPr>
          <w:p>
            <w:pPr>
              <w:spacing w:line="276" w:lineRule="auto" w:before="0" w:after="0"/>
            </w:pPr>
            <w:r/>
            <w:r>
              <w:rPr>
                <w:rFonts w:ascii="Figtree" w:hAnsi="Figtree"/>
                <w:b w:val="0"/>
                <w:i w:val="0"/>
                <w:sz w:val="20"/>
              </w:rPr>
              <w:t>EUR [CLIENT-SPECIFIC: ~100K-200K]</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~1.2M-2.0M]</w:t>
            </w:r>
          </w:p>
        </w:tc>
      </w:tr>
    </w:tbl>
    <w:p>
      <w:pPr>
        <w:spacing w:before="0" w:after="0" w:line="120" w:lineRule="exact"/>
      </w:pPr>
    </w:p>
    <w:p>
      <w:r>
        <w:rPr>
          <w:rFonts w:ascii="Figtree" w:hAnsi="Figtree"/>
          <w:b w:val="0"/>
          <w:i/>
          <w:sz w:val="22"/>
        </w:rPr>
        <w:t>All figures are indicative planning ranges. Firm pricing is provided following Phase 1 scope validation.</w:t>
      </w:r>
    </w:p>
    <w:p>
      <w:pPr>
        <w:pStyle w:val="H3"/>
        <w:numPr>
          <w:ilvl w:val="2"/>
          <w:numId w:val="1"/>
        </w:numPr>
      </w:pPr>
      <w:r>
        <w:t>6.3 Implementation Pricing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4"/>
        <w:gridCol w:w="1223"/>
        <w:gridCol w:w="2446"/>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Fixed/T&amp;M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 Range</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Setup</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Compliance</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9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Hypercare and Transition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EUR [CLIENT-SPECIFIC]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r>
              <w:rPr>
                <w:rFonts w:ascii="Figtree" w:hAnsi="Figtree"/>
                <w:b/>
                <w:i w:val="0"/>
                <w:sz w:val="20"/>
              </w:rPr>
              <w:t>Fixed price by phase</w:t>
            </w:r>
          </w:p>
        </w:tc>
        <w:tc>
          <w:tcPr>
            <w:tcW w:type="dxa" w:w="2436"/>
            <w:vAlign w:val="center"/>
          </w:tcPr>
          <w:p>
            <w:pPr>
              <w:spacing w:line="276" w:lineRule="auto" w:before="0" w:after="0"/>
            </w:pPr>
            <w:r/>
            <w:r>
              <w:rPr>
                <w:rFonts w:ascii="Figtree" w:hAnsi="Figtree"/>
                <w:b/>
                <w:i w:val="0"/>
                <w:sz w:val="20"/>
              </w:rPr>
              <w:t>EUR [CLIENT-SPECIFIC]</w:t>
            </w:r>
          </w:p>
        </w:tc>
      </w:tr>
    </w:tbl>
    <w:p>
      <w:pPr>
        <w:spacing w:before="0" w:after="0" w:line="120" w:lineRule="exact"/>
      </w:pPr>
    </w:p>
    <w:p>
      <w:pPr>
        <w:pStyle w:val="H3"/>
        <w:numPr>
          <w:ilvl w:val="2"/>
          <w:numId w:val="1"/>
        </w:numPr>
      </w:pPr>
      <w:r>
        <w:t>6.4 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8"/>
        <w:gridCol w:w="58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 deployment patterns</w:t>
            </w:r>
          </w:p>
        </w:tc>
        <w:tc>
          <w:tcPr>
            <w:tcW w:type="dxa" w:w="4873"/>
            <w:vAlign w:val="center"/>
          </w:tcPr>
          <w:p>
            <w:pPr>
              <w:spacing w:line="276" w:lineRule="auto" w:before="0" w:after="0"/>
            </w:pPr>
            <w:r/>
            <w:r>
              <w:rPr>
                <w:rFonts w:ascii="Figtree" w:hAnsi="Figtree"/>
                <w:b w:val="0"/>
                <w:i w:val="0"/>
                <w:sz w:val="20"/>
              </w:rPr>
              <w:t>Pre-built Besu configuration templates reduce network setup time</w:t>
            </w:r>
          </w:p>
        </w:tc>
      </w:tr>
      <w:tr>
        <w:trPr>
          <w:trHeight w:val="425" w:hRule="atLeast"/>
        </w:trPr>
        <w:tc>
          <w:tcPr>
            <w:tcW w:type="dxa" w:w="4873"/>
            <w:vAlign w:val="center"/>
          </w:tcPr>
          <w:p>
            <w:pPr>
              <w:spacing w:line="276" w:lineRule="auto" w:before="0" w:after="0"/>
            </w:pPr>
            <w:r/>
            <w:r>
              <w:rPr>
                <w:rFonts w:ascii="Figtree" w:hAnsi="Figtree"/>
                <w:b w:val="0"/>
                <w:i w:val="0"/>
                <w:sz w:val="20"/>
              </w:rPr>
              <w:t>ERC-3643 compliance module library</w:t>
            </w:r>
          </w:p>
        </w:tc>
        <w:tc>
          <w:tcPr>
            <w:tcW w:type="dxa" w:w="4873"/>
            <w:vAlign w:val="center"/>
          </w:tcPr>
          <w:p>
            <w:pPr>
              <w:spacing w:line="276" w:lineRule="auto" w:before="0" w:after="0"/>
            </w:pPr>
            <w:r/>
            <w:r>
              <w:rPr>
                <w:rFonts w:ascii="Figtree" w:hAnsi="Figtree"/>
                <w:b w:val="0"/>
                <w:i w:val="0"/>
                <w:sz w:val="20"/>
              </w:rPr>
              <w:t>18 pre-built modules; no custom compliance code required for standard policy constraints</w:t>
            </w:r>
          </w:p>
        </w:tc>
      </w:tr>
      <w:tr>
        <w:trPr>
          <w:trHeight w:val="425" w:hRule="atLeast"/>
        </w:trPr>
        <w:tc>
          <w:tcPr>
            <w:tcW w:type="dxa" w:w="4873"/>
            <w:vAlign w:val="center"/>
          </w:tcPr>
          <w:p>
            <w:pPr>
              <w:spacing w:line="276" w:lineRule="auto" w:before="0" w:after="0"/>
            </w:pPr>
            <w:r/>
            <w:r>
              <w:rPr>
                <w:rFonts w:ascii="Figtree" w:hAnsi="Figtree"/>
                <w:b w:val="0"/>
                <w:i w:val="0"/>
                <w:sz w:val="20"/>
              </w:rPr>
              <w:t>RTGS integration pattern library</w:t>
            </w:r>
          </w:p>
        </w:tc>
        <w:tc>
          <w:tcPr>
            <w:tcW w:type="dxa" w:w="4873"/>
            <w:vAlign w:val="center"/>
          </w:tcPr>
          <w:p>
            <w:pPr>
              <w:spacing w:line="276" w:lineRule="auto" w:before="0" w:after="0"/>
            </w:pPr>
            <w:r/>
            <w:r>
              <w:rPr>
                <w:rFonts w:ascii="Figtree" w:hAnsi="Figtree"/>
                <w:b w:val="0"/>
                <w:i w:val="0"/>
                <w:sz w:val="20"/>
              </w:rPr>
              <w:t>ISO 20022 messaging patterns for RTGS integration reduce interface design time</w:t>
            </w:r>
          </w:p>
        </w:tc>
      </w:tr>
      <w:tr>
        <w:trPr>
          <w:trHeight w:val="425" w:hRule="atLeast"/>
        </w:trPr>
        <w:tc>
          <w:tcPr>
            <w:tcW w:type="dxa" w:w="4873"/>
            <w:vAlign w:val="center"/>
          </w:tcPr>
          <w:p>
            <w:pPr>
              <w:spacing w:line="276" w:lineRule="auto" w:before="0" w:after="0"/>
            </w:pPr>
            <w:r/>
            <w:r>
              <w:rPr>
                <w:rFonts w:ascii="Figtree" w:hAnsi="Figtree"/>
                <w:b w:val="0"/>
                <w:i w:val="0"/>
                <w:sz w:val="20"/>
              </w:rPr>
              <w:t>DALP observability stack</w:t>
            </w:r>
          </w:p>
        </w:tc>
        <w:tc>
          <w:tcPr>
            <w:tcW w:type="dxa" w:w="4873"/>
            <w:vAlign w:val="center"/>
          </w:tcPr>
          <w:p>
            <w:pPr>
              <w:spacing w:line="276" w:lineRule="auto" w:before="0" w:after="0"/>
            </w:pPr>
            <w:r/>
            <w:r>
              <w:rPr>
                <w:rFonts w:ascii="Figtree" w:hAnsi="Figtree"/>
                <w:b w:val="0"/>
                <w:i w:val="0"/>
                <w:sz w:val="20"/>
              </w:rPr>
              <w:t>Pre-built Grafana dashboards; no custom monitoring development</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 reference architecture</w:t>
            </w:r>
          </w:p>
        </w:tc>
        <w:tc>
          <w:tcPr>
            <w:tcW w:type="dxa" w:w="4873"/>
            <w:vAlign w:val="center"/>
          </w:tcPr>
          <w:p>
            <w:pPr>
              <w:spacing w:line="276" w:lineRule="auto" w:before="0" w:after="0"/>
            </w:pPr>
            <w:r/>
            <w:r>
              <w:rPr>
                <w:rFonts w:ascii="Figtree" w:hAnsi="Figtree"/>
                <w:b w:val="0"/>
                <w:i w:val="0"/>
                <w:sz w:val="20"/>
              </w:rPr>
              <w:t>Pre-defined governance model for central bank authority separation</w:t>
            </w:r>
          </w:p>
        </w:tc>
      </w:tr>
    </w:tbl>
    <w:p>
      <w:pPr>
        <w:spacing w:before="0" w:after="0" w:line="120" w:lineRule="exact"/>
      </w:pPr>
    </w:p>
    <w:p>
      <w:pPr>
        <w:pStyle w:val="H3"/>
        <w:numPr>
          <w:ilvl w:val="2"/>
          <w:numId w:val="1"/>
        </w:numPr>
      </w:pPr>
      <w:r>
        <w:t>6.5 Risks to Implementation Budget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00"/>
        <w:gridCol w:w="1642"/>
        <w:gridCol w:w="34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Budget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Extended Bank governance approval cycles</w:t>
            </w:r>
          </w:p>
        </w:tc>
        <w:tc>
          <w:tcPr>
            <w:tcW w:type="dxa" w:w="3249"/>
            <w:vAlign w:val="center"/>
          </w:tcPr>
          <w:p>
            <w:pPr>
              <w:spacing w:line="276" w:lineRule="auto" w:before="0" w:after="0"/>
            </w:pPr>
            <w:r/>
            <w:r>
              <w:rPr>
                <w:rFonts w:ascii="Figtree" w:hAnsi="Figtree"/>
                <w:b w:val="0"/>
                <w:i w:val="0"/>
                <w:sz w:val="20"/>
              </w:rPr>
              <w:t>+5-15% to Phase 1 and 3</w:t>
            </w:r>
          </w:p>
        </w:tc>
        <w:tc>
          <w:tcPr>
            <w:tcW w:type="dxa" w:w="3249"/>
            <w:vAlign w:val="center"/>
          </w:tcPr>
          <w:p>
            <w:pPr>
              <w:spacing w:line="276" w:lineRule="auto" w:before="0" w:after="0"/>
            </w:pPr>
            <w:r/>
            <w:r>
              <w:rPr>
                <w:rFonts w:ascii="Figtree" w:hAnsi="Figtree"/>
                <w:b w:val="0"/>
                <w:i w:val="0"/>
                <w:sz w:val="20"/>
              </w:rPr>
              <w:t>Buffer built into phase duration estimates</w:t>
            </w:r>
          </w:p>
        </w:tc>
      </w:tr>
      <w:tr>
        <w:trPr>
          <w:trHeight w:val="425" w:hRule="atLeast"/>
        </w:trPr>
        <w:tc>
          <w:tcPr>
            <w:tcW w:type="dxa" w:w="3249"/>
            <w:vAlign w:val="center"/>
          </w:tcPr>
          <w:p>
            <w:pPr>
              <w:spacing w:line="276" w:lineRule="auto" w:before="0" w:after="0"/>
            </w:pPr>
            <w:r/>
            <w:r>
              <w:rPr>
                <w:rFonts w:ascii="Figtree" w:hAnsi="Figtree"/>
                <w:b w:val="0"/>
                <w:i w:val="0"/>
                <w:sz w:val="20"/>
              </w:rPr>
              <w:t>HSM procurement delay</w:t>
            </w:r>
          </w:p>
        </w:tc>
        <w:tc>
          <w:tcPr>
            <w:tcW w:type="dxa" w:w="3249"/>
            <w:vAlign w:val="center"/>
          </w:tcPr>
          <w:p>
            <w:pPr>
              <w:spacing w:line="276" w:lineRule="auto" w:before="0" w:after="0"/>
            </w:pPr>
            <w:r/>
            <w:r>
              <w:rPr>
                <w:rFonts w:ascii="Figtree" w:hAnsi="Figtree"/>
                <w:b w:val="0"/>
                <w:i w:val="0"/>
                <w:sz w:val="20"/>
              </w:rPr>
              <w:t>+2-4 weeks Phase 2</w:t>
            </w:r>
          </w:p>
        </w:tc>
        <w:tc>
          <w:tcPr>
            <w:tcW w:type="dxa" w:w="3249"/>
            <w:vAlign w:val="center"/>
          </w:tcPr>
          <w:p>
            <w:pPr>
              <w:spacing w:line="276" w:lineRule="auto" w:before="0" w:after="0"/>
            </w:pPr>
            <w:r/>
            <w:r>
              <w:rPr>
                <w:rFonts w:ascii="Figtree" w:hAnsi="Figtree"/>
                <w:b w:val="0"/>
                <w:i w:val="0"/>
                <w:sz w:val="20"/>
              </w:rPr>
              <w:t>Early procurement initiation; cloud KMS fallback</w:t>
            </w:r>
          </w:p>
        </w:tc>
      </w:tr>
      <w:tr>
        <w:trPr>
          <w:trHeight w:val="425" w:hRule="atLeast"/>
        </w:trPr>
        <w:tc>
          <w:tcPr>
            <w:tcW w:type="dxa" w:w="3249"/>
            <w:vAlign w:val="center"/>
          </w:tcPr>
          <w:p>
            <w:pPr>
              <w:spacing w:line="276" w:lineRule="auto" w:before="0" w:after="0"/>
            </w:pPr>
            <w:r/>
            <w:r>
              <w:rPr>
                <w:rFonts w:ascii="Figtree" w:hAnsi="Figtree"/>
                <w:b w:val="0"/>
                <w:i w:val="0"/>
                <w:sz w:val="20"/>
              </w:rPr>
              <w:t>Unanticipated RTGS interface complexity</w:t>
            </w:r>
          </w:p>
        </w:tc>
        <w:tc>
          <w:tcPr>
            <w:tcW w:type="dxa" w:w="3249"/>
            <w:vAlign w:val="center"/>
          </w:tcPr>
          <w:p>
            <w:pPr>
              <w:spacing w:line="276" w:lineRule="auto" w:before="0" w:after="0"/>
            </w:pPr>
            <w:r/>
            <w:r>
              <w:rPr>
                <w:rFonts w:ascii="Figtree" w:hAnsi="Figtree"/>
                <w:b w:val="0"/>
                <w:i w:val="0"/>
                <w:sz w:val="20"/>
              </w:rPr>
              <w:t>+10-20% to Phase 4</w:t>
            </w:r>
          </w:p>
        </w:tc>
        <w:tc>
          <w:tcPr>
            <w:tcW w:type="dxa" w:w="3249"/>
            <w:vAlign w:val="center"/>
          </w:tcPr>
          <w:p>
            <w:pPr>
              <w:spacing w:line="276" w:lineRule="auto" w:before="0" w:after="0"/>
            </w:pPr>
            <w:r/>
            <w:r>
              <w:rPr>
                <w:rFonts w:ascii="Figtree" w:hAnsi="Figtree"/>
                <w:b w:val="0"/>
                <w:i w:val="0"/>
                <w:sz w:val="20"/>
              </w:rPr>
              <w:t>Interface workshop in Phase 1; change control</w:t>
            </w:r>
          </w:p>
        </w:tc>
      </w:tr>
      <w:tr>
        <w:trPr>
          <w:trHeight w:val="425" w:hRule="atLeast"/>
        </w:trPr>
        <w:tc>
          <w:tcPr>
            <w:tcW w:type="dxa" w:w="3249"/>
            <w:vAlign w:val="center"/>
          </w:tcPr>
          <w:p>
            <w:pPr>
              <w:spacing w:line="276" w:lineRule="auto" w:before="0" w:after="0"/>
            </w:pPr>
            <w:r/>
            <w:r>
              <w:rPr>
                <w:rFonts w:ascii="Figtree" w:hAnsi="Figtree"/>
                <w:b w:val="0"/>
                <w:i w:val="0"/>
                <w:sz w:val="20"/>
              </w:rPr>
              <w:t>Additional compliance requirements discovered in Phase 3</w:t>
            </w:r>
          </w:p>
        </w:tc>
        <w:tc>
          <w:tcPr>
            <w:tcW w:type="dxa" w:w="3249"/>
            <w:vAlign w:val="center"/>
          </w:tcPr>
          <w:p>
            <w:pPr>
              <w:spacing w:line="276" w:lineRule="auto" w:before="0" w:after="0"/>
            </w:pPr>
            <w:r/>
            <w:r>
              <w:rPr>
                <w:rFonts w:ascii="Figtree" w:hAnsi="Figtree"/>
                <w:b w:val="0"/>
                <w:i w:val="0"/>
                <w:sz w:val="20"/>
              </w:rPr>
              <w:t>+5-10% to Phase 3</w:t>
            </w:r>
          </w:p>
        </w:tc>
        <w:tc>
          <w:tcPr>
            <w:tcW w:type="dxa" w:w="3249"/>
            <w:vAlign w:val="center"/>
          </w:tcPr>
          <w:p>
            <w:pPr>
              <w:spacing w:line="276" w:lineRule="auto" w:before="0" w:after="0"/>
            </w:pPr>
            <w:r/>
            <w:r>
              <w:rPr>
                <w:rFonts w:ascii="Figtree" w:hAnsi="Figtree"/>
                <w:b w:val="0"/>
                <w:i w:val="0"/>
                <w:sz w:val="20"/>
              </w:rPr>
              <w:t>Change control with impact assessment</w:t>
            </w:r>
          </w:p>
        </w:tc>
      </w:tr>
    </w:tbl>
    <w:p>
      <w:pPr>
        <w:spacing w:before="0" w:after="0" w:line="120" w:lineRule="exact"/>
      </w:pPr>
    </w:p>
    <w:p>
      <w:pPr>
        <w:pStyle w:val="H3"/>
        <w:numPr>
          <w:ilvl w:val="2"/>
          <w:numId w:val="1"/>
        </w:numPr>
      </w:pPr>
      <w:r>
        <w:t>6.6 Training Investment</w:t>
      </w:r>
    </w:p>
    <w:p>
      <w:r>
        <w:rPr>
          <w:rFonts w:ascii="Figtree" w:hAnsi="Figtree"/>
          <w:b w:val="0"/>
          <w:i w:val="0"/>
          <w:sz w:val="22"/>
        </w:rPr>
        <w:t>Training is included within the implementation investment as part of Phase 6. Additional training for new staff joining after go-live is available at EUR [CLIENT-SPECIFIC: ~5K-15K per additional cohort].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864"/>
        <w:gridCol w:w="3672"/>
        <w:gridCol w:w="16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Training 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Administrator Track</w:t>
            </w:r>
          </w:p>
        </w:tc>
        <w:tc>
          <w:tcPr>
            <w:tcW w:type="dxa" w:w="2436"/>
            <w:vAlign w:val="center"/>
          </w:tcPr>
          <w:p>
            <w:pPr>
              <w:spacing w:line="276" w:lineRule="auto" w:before="0" w:after="0"/>
            </w:pPr>
            <w:r/>
            <w:r>
              <w:rPr>
                <w:rFonts w:ascii="Figtree" w:hAnsi="Figtree"/>
                <w:b w:val="0"/>
                <w:i w:val="0"/>
                <w:sz w:val="20"/>
              </w:rPr>
              <w:t>3-4 days</w:t>
            </w:r>
          </w:p>
        </w:tc>
        <w:tc>
          <w:tcPr>
            <w:tcW w:type="dxa" w:w="2436"/>
            <w:vAlign w:val="center"/>
          </w:tcPr>
          <w:p>
            <w:pPr>
              <w:spacing w:line="276" w:lineRule="auto" w:before="0" w:after="0"/>
            </w:pPr>
            <w:r/>
            <w:r>
              <w:rPr>
                <w:rFonts w:ascii="Figtree" w:hAnsi="Figtree"/>
                <w:b w:val="0"/>
                <w:i w:val="0"/>
                <w:sz w:val="20"/>
              </w:rPr>
              <w:t>Platform admins, DevOps</w:t>
            </w:r>
          </w:p>
        </w:tc>
        <w:tc>
          <w:tcPr>
            <w:tcW w:type="dxa" w:w="2436"/>
            <w:vAlign w:val="center"/>
          </w:tcPr>
          <w:p>
            <w:pPr>
              <w:spacing w:line="276" w:lineRule="auto" w:before="0" w:after="0"/>
            </w:pPr>
            <w:r/>
            <w:r>
              <w:rPr>
                <w:rFonts w:ascii="Figtree" w:hAnsi="Figtree"/>
                <w:b w:val="0"/>
                <w:i w:val="0"/>
                <w:sz w:val="20"/>
              </w:rPr>
              <w:t>Yes — Phase 6</w:t>
            </w:r>
          </w:p>
        </w:tc>
      </w:tr>
      <w:tr>
        <w:trPr>
          <w:trHeight w:val="425" w:hRule="atLeast"/>
        </w:trPr>
        <w:tc>
          <w:tcPr>
            <w:tcW w:type="dxa" w:w="2436"/>
            <w:vAlign w:val="center"/>
          </w:tcPr>
          <w:p>
            <w:pPr>
              <w:spacing w:line="276" w:lineRule="auto" w:before="0" w:after="0"/>
            </w:pPr>
            <w:r/>
            <w:r>
              <w:rPr>
                <w:rFonts w:ascii="Figtree" w:hAnsi="Figtree"/>
                <w:b w:val="0"/>
                <w:i w:val="0"/>
                <w:sz w:val="20"/>
              </w:rPr>
              <w:t>Developer Track</w:t>
            </w:r>
          </w:p>
        </w:tc>
        <w:tc>
          <w:tcPr>
            <w:tcW w:type="dxa" w:w="2436"/>
            <w:vAlign w:val="center"/>
          </w:tcPr>
          <w:p>
            <w:pPr>
              <w:spacing w:line="276" w:lineRule="auto" w:before="0" w:after="0"/>
            </w:pPr>
            <w:r/>
            <w:r>
              <w:rPr>
                <w:rFonts w:ascii="Figtree" w:hAnsi="Figtree"/>
                <w:b w:val="0"/>
                <w:i w:val="0"/>
                <w:sz w:val="20"/>
              </w:rPr>
              <w:t>4-5 days</w:t>
            </w:r>
          </w:p>
        </w:tc>
        <w:tc>
          <w:tcPr>
            <w:tcW w:type="dxa" w:w="2436"/>
            <w:vAlign w:val="center"/>
          </w:tcPr>
          <w:p>
            <w:pPr>
              <w:spacing w:line="276" w:lineRule="auto" w:before="0" w:after="0"/>
            </w:pPr>
            <w:r/>
            <w:r>
              <w:rPr>
                <w:rFonts w:ascii="Figtree" w:hAnsi="Figtree"/>
                <w:b w:val="0"/>
                <w:i w:val="0"/>
                <w:sz w:val="20"/>
              </w:rPr>
              <w:t>Integration developers, architects</w:t>
            </w:r>
          </w:p>
        </w:tc>
        <w:tc>
          <w:tcPr>
            <w:tcW w:type="dxa" w:w="2436"/>
            <w:vAlign w:val="center"/>
          </w:tcPr>
          <w:p>
            <w:pPr>
              <w:spacing w:line="276" w:lineRule="auto" w:before="0" w:after="0"/>
            </w:pPr>
            <w:r/>
            <w:r>
              <w:rPr>
                <w:rFonts w:ascii="Figtree" w:hAnsi="Figtree"/>
                <w:b w:val="0"/>
                <w:i w:val="0"/>
                <w:sz w:val="20"/>
              </w:rPr>
              <w:t>Yes — Phase 6</w:t>
            </w:r>
          </w:p>
        </w:tc>
      </w:tr>
      <w:tr>
        <w:trPr>
          <w:trHeight w:val="425" w:hRule="atLeast"/>
        </w:trPr>
        <w:tc>
          <w:tcPr>
            <w:tcW w:type="dxa" w:w="2436"/>
            <w:vAlign w:val="center"/>
          </w:tcPr>
          <w:p>
            <w:pPr>
              <w:spacing w:line="276" w:lineRule="auto" w:before="0" w:after="0"/>
            </w:pPr>
            <w:r/>
            <w:r>
              <w:rPr>
                <w:rFonts w:ascii="Figtree" w:hAnsi="Figtree"/>
                <w:b w:val="0"/>
                <w:i w:val="0"/>
                <w:sz w:val="20"/>
              </w:rPr>
              <w:t>End-User / Operations Track</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Operations, compliance staff</w:t>
            </w:r>
          </w:p>
        </w:tc>
        <w:tc>
          <w:tcPr>
            <w:tcW w:type="dxa" w:w="2436"/>
            <w:vAlign w:val="center"/>
          </w:tcPr>
          <w:p>
            <w:pPr>
              <w:spacing w:line="276" w:lineRule="auto" w:before="0" w:after="0"/>
            </w:pPr>
            <w:r/>
            <w:r>
              <w:rPr>
                <w:rFonts w:ascii="Figtree" w:hAnsi="Figtree"/>
                <w:b w:val="0"/>
                <w:i w:val="0"/>
                <w:sz w:val="20"/>
              </w:rPr>
              <w:t>Yes — Phase 6</w:t>
            </w:r>
          </w:p>
        </w:tc>
      </w:tr>
      <w:tr>
        <w:trPr>
          <w:trHeight w:val="425" w:hRule="atLeast"/>
        </w:trPr>
        <w:tc>
          <w:tcPr>
            <w:tcW w:type="dxa" w:w="2436"/>
            <w:vAlign w:val="center"/>
          </w:tcPr>
          <w:p>
            <w:pPr>
              <w:spacing w:line="276" w:lineRule="auto" w:before="0" w:after="0"/>
            </w:pPr>
            <w:r/>
            <w:r>
              <w:rPr>
                <w:rFonts w:ascii="Figtree" w:hAnsi="Figtree"/>
                <w:b w:val="0"/>
                <w:i w:val="0"/>
                <w:sz w:val="20"/>
              </w:rPr>
              <w:t>Additional cohort training</w:t>
            </w:r>
          </w:p>
        </w:tc>
        <w:tc>
          <w:tcPr>
            <w:tcW w:type="dxa" w:w="2436"/>
            <w:vAlign w:val="center"/>
          </w:tcPr>
          <w:p>
            <w:pPr>
              <w:spacing w:line="276" w:lineRule="auto" w:before="0" w:after="0"/>
            </w:pPr>
            <w:r/>
            <w:r>
              <w:rPr>
                <w:rFonts w:ascii="Figtree" w:hAnsi="Figtree"/>
                <w:b w:val="0"/>
                <w:i w:val="0"/>
                <w:sz w:val="20"/>
              </w:rPr>
              <w:t>Variable</w:t>
            </w:r>
          </w:p>
        </w:tc>
        <w:tc>
          <w:tcPr>
            <w:tcW w:type="dxa" w:w="2436"/>
            <w:vAlign w:val="center"/>
          </w:tcPr>
          <w:p>
            <w:pPr>
              <w:spacing w:line="276" w:lineRule="auto" w:before="0" w:after="0"/>
            </w:pPr>
            <w:r/>
            <w:r>
              <w:rPr>
                <w:rFonts w:ascii="Figtree" w:hAnsi="Figtree"/>
                <w:b w:val="0"/>
                <w:i w:val="0"/>
                <w:sz w:val="20"/>
              </w:rPr>
              <w:t>New joiners, role changes</w:t>
            </w:r>
          </w:p>
        </w:tc>
        <w:tc>
          <w:tcPr>
            <w:tcW w:type="dxa" w:w="2436"/>
            <w:vAlign w:val="center"/>
          </w:tcPr>
          <w:p>
            <w:pPr>
              <w:spacing w:line="276" w:lineRule="auto" w:before="0" w:after="0"/>
            </w:pPr>
            <w:r/>
            <w:r>
              <w:rPr>
                <w:rFonts w:ascii="Figtree" w:hAnsi="Figtree"/>
                <w:b w:val="0"/>
                <w:i w:val="0"/>
                <w:sz w:val="20"/>
              </w:rPr>
              <w:t>Optional add-on</w:t>
            </w:r>
          </w:p>
        </w:tc>
      </w:tr>
    </w:tbl>
    <w:p>
      <w:pPr>
        <w:spacing w:before="0" w:after="0" w:line="120" w:lineRule="exact"/>
      </w:pPr>
    </w:p>
    <w:p>
      <w:r>
        <w:br w:type="page"/>
      </w:r>
    </w:p>
    <w:p>
      <w:pPr>
        <w:pStyle w:val="H2"/>
        <w:numPr>
          <w:ilvl w:val="1"/>
          <w:numId w:val="1"/>
        </w:numPr>
      </w:pPr>
      <w:r>
        <w:t>7. Total Cost of Ownership</w:t>
      </w:r>
    </w:p>
    <w:p>
      <w:pPr>
        <w:pStyle w:val="H3"/>
        <w:numPr>
          <w:ilvl w:val="2"/>
          <w:numId w:val="1"/>
        </w:numPr>
      </w:pPr>
      <w:r>
        <w:t>7.1 TCO Framework</w:t>
      </w:r>
    </w:p>
    <w:p>
      <w:r>
        <w:rPr>
          <w:rFonts w:ascii="Figtree" w:hAnsi="Figtree"/>
          <w:b w:val="0"/>
          <w:i w:val="0"/>
          <w:sz w:val="22"/>
        </w:rPr>
        <w:t>The correct comparison for the Bank's investment decision is not DALP annual license cost versus a single alternative software subscription. The correct comparison is the total cost of operating the wCBDC infrastructure over a multi-year period, including implementation, licensing, support, infrastructure, and ongoing maintenance, against the equivalent cost of building and operating bespoke infrastructure.</w:t>
      </w:r>
    </w:p>
    <w:p>
      <w:r>
        <w:rPr>
          <w:rFonts w:ascii="Figtree" w:hAnsi="Figtree"/>
          <w:b w:val="0"/>
          <w:i w:val="0"/>
          <w:sz w:val="22"/>
        </w:rPr>
        <w:t>Categories included in the TCO model:</w:t>
      </w:r>
    </w:p>
    <w:p>
      <w:pPr>
        <w:pStyle w:val="ListParagraph"/>
        <w:numPr>
          <w:ilvl w:val="0"/>
          <w:numId w:val="4"/>
        </w:numPr>
      </w:pPr>
      <w:r>
        <w:rPr>
          <w:rFonts w:ascii="Figtree" w:hAnsi="Figtree"/>
          <w:b w:val="0"/>
          <w:i w:val="0"/>
          <w:sz w:val="22"/>
        </w:rPr>
        <w:t>Platform license (annual, recurring)</w:t>
      </w:r>
    </w:p>
    <w:p>
      <w:pPr>
        <w:pStyle w:val="ListParagraph"/>
        <w:numPr>
          <w:ilvl w:val="0"/>
          <w:numId w:val="4"/>
        </w:numPr>
      </w:pPr>
      <w:r>
        <w:rPr>
          <w:rFonts w:ascii="Figtree" w:hAnsi="Figtree"/>
          <w:b w:val="0"/>
          <w:i w:val="0"/>
          <w:sz w:val="22"/>
        </w:rPr>
        <w:t>Implementation services (one-time, front-loaded)</w:t>
      </w:r>
    </w:p>
    <w:p>
      <w:pPr>
        <w:pStyle w:val="ListParagraph"/>
        <w:numPr>
          <w:ilvl w:val="0"/>
          <w:numId w:val="4"/>
        </w:numPr>
      </w:pPr>
      <w:r>
        <w:rPr>
          <w:rFonts w:ascii="Figtree" w:hAnsi="Figtree"/>
          <w:b w:val="0"/>
          <w:i w:val="0"/>
          <w:sz w:val="22"/>
        </w:rPr>
        <w:t>Enterprise support (annual, recurring)</w:t>
      </w:r>
    </w:p>
    <w:p>
      <w:pPr>
        <w:pStyle w:val="ListParagraph"/>
        <w:numPr>
          <w:ilvl w:val="0"/>
          <w:numId w:val="4"/>
        </w:numPr>
      </w:pPr>
      <w:r>
        <w:rPr>
          <w:rFonts w:ascii="Figtree" w:hAnsi="Figtree"/>
          <w:b w:val="0"/>
          <w:i w:val="0"/>
          <w:sz w:val="22"/>
        </w:rPr>
        <w:t>Bank-borne infrastructure (annual, recurring)</w:t>
      </w:r>
    </w:p>
    <w:p>
      <w:pPr>
        <w:pStyle w:val="ListParagraph"/>
        <w:numPr>
          <w:ilvl w:val="0"/>
          <w:numId w:val="4"/>
        </w:numPr>
      </w:pPr>
      <w:r>
        <w:rPr>
          <w:rFonts w:ascii="Figtree" w:hAnsi="Figtree"/>
          <w:b w:val="0"/>
          <w:i w:val="0"/>
          <w:sz w:val="22"/>
        </w:rPr>
        <w:t>Training (one-time, with ongoing for new joiners)</w:t>
      </w:r>
    </w:p>
    <w:p>
      <w:r>
        <w:rPr>
          <w:rFonts w:ascii="Figtree" w:hAnsi="Figtree"/>
          <w:b w:val="0"/>
          <w:i w:val="0"/>
          <w:sz w:val="22"/>
        </w:rPr>
        <w:t>Categories excluded (not borne by SettleMint or not applicable):</w:t>
      </w:r>
    </w:p>
    <w:p>
      <w:pPr>
        <w:pStyle w:val="ListParagraph"/>
        <w:numPr>
          <w:ilvl w:val="0"/>
          <w:numId w:val="4"/>
        </w:numPr>
      </w:pPr>
      <w:r>
        <w:rPr>
          <w:rFonts w:ascii="Figtree" w:hAnsi="Figtree"/>
          <w:b w:val="0"/>
          <w:i w:val="0"/>
          <w:sz w:val="22"/>
        </w:rPr>
        <w:t>Bank internal governance and legal costs</w:t>
      </w:r>
    </w:p>
    <w:p>
      <w:pPr>
        <w:pStyle w:val="ListParagraph"/>
        <w:numPr>
          <w:ilvl w:val="0"/>
          <w:numId w:val="4"/>
        </w:numPr>
      </w:pPr>
      <w:r>
        <w:rPr>
          <w:rFonts w:ascii="Figtree" w:hAnsi="Figtree"/>
          <w:b w:val="0"/>
          <w:i w:val="0"/>
          <w:sz w:val="22"/>
        </w:rPr>
        <w:t>Regulator engagement costs</w:t>
      </w:r>
    </w:p>
    <w:p>
      <w:pPr>
        <w:pStyle w:val="ListParagraph"/>
        <w:numPr>
          <w:ilvl w:val="0"/>
          <w:numId w:val="4"/>
        </w:numPr>
      </w:pPr>
      <w:r>
        <w:rPr>
          <w:rFonts w:ascii="Figtree" w:hAnsi="Figtree"/>
          <w:b w:val="0"/>
          <w:i w:val="0"/>
          <w:sz w:val="22"/>
        </w:rPr>
        <w:t>Bank staff costs for programme management</w:t>
      </w:r>
    </w:p>
    <w:p>
      <w:pPr>
        <w:pStyle w:val="H3"/>
        <w:numPr>
          <w:ilvl w:val="2"/>
          <w:numId w:val="1"/>
        </w:numPr>
      </w:pPr>
      <w:r>
        <w:t>7.2 Three-Year TCO Model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7"/>
        <w:gridCol w:w="1587"/>
        <w:gridCol w:w="1587"/>
        <w:gridCol w:w="1587"/>
        <w:gridCol w:w="1587"/>
        <w:gridCol w:w="18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Platform 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 (Bank)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~1.5M]</w:t>
            </w:r>
          </w:p>
        </w:tc>
        <w:tc>
          <w:tcPr>
            <w:tcW w:type="dxa" w:w="1624"/>
            <w:vAlign w:val="center"/>
          </w:tcPr>
          <w:p>
            <w:pPr>
              <w:spacing w:line="276" w:lineRule="auto" w:before="0" w:after="0"/>
            </w:pPr>
            <w:r/>
            <w:r>
              <w:rPr>
                <w:rFonts w:ascii="Figtree" w:hAnsi="Figtree"/>
                <w:b w:val="0"/>
                <w:i w:val="0"/>
                <w:sz w:val="20"/>
              </w:rPr>
              <w:t>EUR [CLIENT-SPECIFIC: ~1.5M]</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~150K]</w:t>
            </w:r>
          </w:p>
        </w:tc>
        <w:tc>
          <w:tcPr>
            <w:tcW w:type="dxa" w:w="1624"/>
            <w:vAlign w:val="center"/>
          </w:tcPr>
          <w:p>
            <w:pPr>
              <w:spacing w:line="276" w:lineRule="auto" w:before="0" w:after="0"/>
            </w:pPr>
            <w:r/>
            <w:r>
              <w:rPr>
                <w:rFonts w:ascii="Figtree" w:hAnsi="Figtree"/>
                <w:b w:val="0"/>
                <w:i w:val="0"/>
                <w:sz w:val="20"/>
              </w:rPr>
              <w:t>EUR [CLIENT-SPECIFIC: ~3.5M]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~1.5M]</w:t>
            </w:r>
          </w:p>
        </w:tc>
        <w:tc>
          <w:tcPr>
            <w:tcW w:type="dxa" w:w="1624"/>
            <w:vAlign w:val="center"/>
          </w:tcPr>
          <w:p>
            <w:pPr>
              <w:spacing w:line="276" w:lineRule="auto" w:before="0" w:after="0"/>
            </w:pPr>
            <w:r/>
            <w:r>
              <w:rPr>
                <w:rFonts w:ascii="Figtree" w:hAnsi="Figtree"/>
                <w:b w:val="0"/>
                <w:i w:val="0"/>
                <w:sz w:val="20"/>
              </w:rPr>
              <w:t>EUR 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~180K]</w:t>
            </w:r>
          </w:p>
        </w:tc>
        <w:tc>
          <w:tcPr>
            <w:tcW w:type="dxa" w:w="1624"/>
            <w:vAlign w:val="center"/>
          </w:tcPr>
          <w:p>
            <w:pPr>
              <w:spacing w:line="276" w:lineRule="auto" w:before="0" w:after="0"/>
            </w:pPr>
            <w:r/>
            <w:r>
              <w:rPr>
                <w:rFonts w:ascii="Figtree" w:hAnsi="Figtree"/>
                <w:b w:val="0"/>
                <w:i w:val="0"/>
                <w:sz w:val="20"/>
              </w:rPr>
              <w:t>EUR [CLIENT-SPECIFIC: ~2.1M]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~1.5M]</w:t>
            </w:r>
          </w:p>
        </w:tc>
        <w:tc>
          <w:tcPr>
            <w:tcW w:type="dxa" w:w="1624"/>
            <w:vAlign w:val="center"/>
          </w:tcPr>
          <w:p>
            <w:pPr>
              <w:spacing w:line="276" w:lineRule="auto" w:before="0" w:after="0"/>
            </w:pPr>
            <w:r/>
            <w:r>
              <w:rPr>
                <w:rFonts w:ascii="Figtree" w:hAnsi="Figtree"/>
                <w:b w:val="0"/>
                <w:i w:val="0"/>
                <w:sz w:val="20"/>
              </w:rPr>
              <w:t>EUR 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~180K]</w:t>
            </w:r>
          </w:p>
        </w:tc>
        <w:tc>
          <w:tcPr>
            <w:tcW w:type="dxa" w:w="1624"/>
            <w:vAlign w:val="center"/>
          </w:tcPr>
          <w:p>
            <w:pPr>
              <w:spacing w:line="276" w:lineRule="auto" w:before="0" w:after="0"/>
            </w:pPr>
            <w:r/>
            <w:r>
              <w:rPr>
                <w:rFonts w:ascii="Figtree" w:hAnsi="Figtree"/>
                <w:b w:val="0"/>
                <w:i w:val="0"/>
                <w:sz w:val="20"/>
              </w:rPr>
              <w:t>EUR [CLIENT-SPECIFIC: ~2.1M]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~7.7M]</w:t>
            </w:r>
          </w:p>
        </w:tc>
      </w:tr>
    </w:tbl>
    <w:p>
      <w:pPr>
        <w:spacing w:before="0" w:after="0" w:line="120" w:lineRule="exact"/>
      </w:pPr>
    </w:p>
    <w:p>
      <w:r>
        <w:rPr>
          <w:rFonts w:ascii="Figtree" w:hAnsi="Figtree"/>
          <w:b w:val="0"/>
          <w:i/>
          <w:sz w:val="22"/>
        </w:rPr>
        <w:t>Year 1 is front-loaded due to one-time implementation cost. Years 2-3 reflect steady-state operating cost.</w:t>
      </w:r>
    </w:p>
    <w:p>
      <w:pPr>
        <w:pStyle w:val="H3"/>
        <w:numPr>
          <w:ilvl w:val="2"/>
          <w:numId w:val="1"/>
        </w:numPr>
      </w:pPr>
      <w:r>
        <w:t>7.3 Five-Year TCO Model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6"/>
        <w:gridCol w:w="1186"/>
        <w:gridCol w:w="1186"/>
        <w:gridCol w:w="1186"/>
        <w:gridCol w:w="2023"/>
        <w:gridCol w:w="237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Platform 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w:t>
            </w:r>
          </w:p>
        </w:tc>
      </w:tr>
      <w:tr>
        <w:trPr>
          <w:trHeight w:val="425" w:hRule="atLeast"/>
        </w:trPr>
        <w:tc>
          <w:tcPr>
            <w:tcW w:type="dxa" w:w="1624"/>
            <w:vAlign w:val="center"/>
          </w:tcPr>
          <w:p>
            <w:pPr>
              <w:spacing w:line="276" w:lineRule="auto" w:before="0" w:after="0"/>
            </w:pPr>
            <w:r/>
            <w:r>
              <w:rPr>
                <w:rFonts w:ascii="Figtree" w:hAnsi="Figtree"/>
                <w:b w:val="0"/>
                <w:i w:val="0"/>
                <w:sz w:val="20"/>
              </w:rPr>
              <w:t>Year 4</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 + expansion]</w:t>
            </w:r>
          </w:p>
        </w:tc>
        <w:tc>
          <w:tcPr>
            <w:tcW w:type="dxa" w:w="1624"/>
            <w:vAlign w:val="center"/>
          </w:tcPr>
          <w:p>
            <w:pPr>
              <w:spacing w:line="276" w:lineRule="auto" w:before="0" w:after="0"/>
            </w:pPr>
            <w:r/>
            <w:r>
              <w:rPr>
                <w:rFonts w:ascii="Figtree" w:hAnsi="Figtree"/>
                <w:b w:val="0"/>
                <w:i w:val="0"/>
                <w:sz w:val="20"/>
              </w:rPr>
              <w:t>[CLIENT-SPECIFIC]</w:t>
            </w:r>
          </w:p>
        </w:tc>
      </w:tr>
      <w:tr>
        <w:trPr>
          <w:trHeight w:val="425" w:hRule="atLeast"/>
        </w:trPr>
        <w:tc>
          <w:tcPr>
            <w:tcW w:type="dxa" w:w="1624"/>
            <w:vAlign w:val="center"/>
          </w:tcPr>
          <w:p>
            <w:pPr>
              <w:spacing w:line="276" w:lineRule="auto" w:before="0" w:after="0"/>
            </w:pPr>
            <w:r/>
            <w:r>
              <w:rPr>
                <w:rFonts w:ascii="Figtree" w:hAnsi="Figtree"/>
                <w:b w:val="0"/>
                <w:i w:val="0"/>
                <w:sz w:val="20"/>
              </w:rPr>
              <w:t>Year 5</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[CLIENT-SPECIFIC]</w:t>
            </w:r>
          </w:p>
        </w:tc>
        <w:tc>
          <w:tcPr>
            <w:tcW w:type="dxa" w:w="1624"/>
            <w:vAlign w:val="center"/>
          </w:tcPr>
          <w:p>
            <w:pPr>
              <w:spacing w:line="276" w:lineRule="auto" w:before="0" w:after="0"/>
            </w:pPr>
            <w:r/>
            <w:r>
              <w:rPr>
                <w:rFonts w:ascii="Figtree" w:hAnsi="Figtree"/>
                <w:b w:val="0"/>
                <w:i w:val="0"/>
                <w:sz w:val="20"/>
              </w:rPr>
              <w:t>[CLIENT-SPECIFIC + expansion]</w:t>
            </w:r>
          </w:p>
        </w:tc>
        <w:tc>
          <w:tcPr>
            <w:tcW w:type="dxa" w:w="1624"/>
            <w:vAlign w:val="center"/>
          </w:tcPr>
          <w:p>
            <w:pPr>
              <w:spacing w:line="276" w:lineRule="auto" w:before="0" w:after="0"/>
            </w:pPr>
            <w:r/>
            <w:r>
              <w:rPr>
                <w:rFonts w:ascii="Figtree" w:hAnsi="Figtree"/>
                <w:b w:val="0"/>
                <w:i w:val="0"/>
                <w:sz w:val="20"/>
              </w:rPr>
              <w:t>[CLIENT-SPECIFIC]</w:t>
            </w:r>
          </w:p>
        </w:tc>
      </w:tr>
      <w:tr>
        <w:trPr>
          <w:trHeight w:val="425" w:hRule="atLeast"/>
        </w:trPr>
        <w:tc>
          <w:tcPr>
            <w:tcW w:type="dxa" w:w="1624"/>
            <w:vAlign w:val="center"/>
          </w:tcPr>
          <w:p>
            <w:pPr>
              <w:spacing w:line="276" w:lineRule="auto" w:before="0" w:after="0"/>
            </w:pPr>
            <w:r/>
            <w:r>
              <w:rPr>
                <w:rFonts w:ascii="Figtree" w:hAnsi="Figtree"/>
                <w:b/>
                <w:i w:val="0"/>
                <w:sz w:val="20"/>
              </w:rPr>
              <w:t>5-Year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~12-15M]</w:t>
            </w:r>
          </w:p>
        </w:tc>
      </w:tr>
    </w:tbl>
    <w:p>
      <w:pPr>
        <w:spacing w:before="0" w:after="0" w:line="120" w:lineRule="exact"/>
      </w:pPr>
    </w:p>
    <w:p>
      <w:r>
        <w:rPr>
          <w:rFonts w:ascii="Figtree" w:hAnsi="Figtree"/>
          <w:b w:val="0"/>
          <w:i/>
          <w:sz w:val="22"/>
        </w:rPr>
        <w:t>Year 4-5 assumes potential expansion to additional wCBDC programs or digital instrument types on the same platform. Marginal cost of expansion is significantly lower than Year 1 due to platform reuse.</w:t>
      </w:r>
    </w:p>
    <w:p>
      <w:pPr>
        <w:pStyle w:val="H3"/>
        <w:numPr>
          <w:ilvl w:val="2"/>
          <w:numId w:val="1"/>
        </w:numPr>
      </w:pPr>
      <w:r>
        <w:t>7.4 Comparative Analysis: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9"/>
        <w:gridCol w:w="2854"/>
        <w:gridCol w:w="2347"/>
        <w:gridCol w:w="20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EUR [CLIENT-SPECIFIC: ~7.7M]</w:t>
            </w:r>
          </w:p>
        </w:tc>
        <w:tc>
          <w:tcPr>
            <w:tcW w:type="dxa" w:w="2436"/>
            <w:vAlign w:val="center"/>
          </w:tcPr>
          <w:p>
            <w:pPr>
              <w:spacing w:line="276" w:lineRule="auto" w:before="0" w:after="0"/>
            </w:pPr>
            <w:r/>
            <w:r>
              <w:rPr>
                <w:rFonts w:ascii="Figtree" w:hAnsi="Figtree"/>
                <w:b w:val="0"/>
                <w:i w:val="0"/>
                <w:sz w:val="20"/>
              </w:rPr>
              <w:t>EUR 15-25M+</w:t>
            </w:r>
          </w:p>
        </w:tc>
        <w:tc>
          <w:tcPr>
            <w:tcW w:type="dxa" w:w="2436"/>
            <w:vAlign w:val="center"/>
          </w:tcPr>
          <w:p>
            <w:pPr>
              <w:spacing w:line="276" w:lineRule="auto" w:before="0" w:after="0"/>
            </w:pPr>
            <w:r/>
            <w:r>
              <w:rPr>
                <w:rFonts w:ascii="Figtree" w:hAnsi="Figtree"/>
                <w:b w:val="0"/>
                <w:i w:val="0"/>
                <w:sz w:val="20"/>
              </w:rPr>
              <w:t>EUR 10-18M+</w:t>
            </w:r>
          </w:p>
        </w:tc>
      </w:tr>
      <w:tr>
        <w:trPr>
          <w:trHeight w:val="425" w:hRule="atLeast"/>
        </w:trPr>
        <w:tc>
          <w:tcPr>
            <w:tcW w:type="dxa" w:w="2436"/>
            <w:vAlign w:val="center"/>
          </w:tcPr>
          <w:p>
            <w:pPr>
              <w:spacing w:line="276" w:lineRule="auto" w:before="0" w:after="0"/>
            </w:pPr>
            <w:r/>
            <w:r>
              <w:rPr>
                <w:rFonts w:ascii="Figtree" w:hAnsi="Figtree"/>
                <w:b w:val="0"/>
                <w:i w:val="0"/>
                <w:sz w:val="20"/>
              </w:rPr>
              <w:t>Time to pilot</w:t>
            </w:r>
          </w:p>
        </w:tc>
        <w:tc>
          <w:tcPr>
            <w:tcW w:type="dxa" w:w="2436"/>
            <w:vAlign w:val="center"/>
          </w:tcPr>
          <w:p>
            <w:pPr>
              <w:spacing w:line="276" w:lineRule="auto" w:before="0" w:after="0"/>
            </w:pPr>
            <w:r/>
            <w:r>
              <w:rPr>
                <w:rFonts w:ascii="Figtree" w:hAnsi="Figtree"/>
                <w:b w:val="0"/>
                <w:i w:val="0"/>
                <w:sz w:val="20"/>
              </w:rPr>
              <w:t>32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Production validation</w:t>
            </w:r>
          </w:p>
        </w:tc>
        <w:tc>
          <w:tcPr>
            <w:tcW w:type="dxa" w:w="2436"/>
            <w:vAlign w:val="center"/>
          </w:tcPr>
          <w:p>
            <w:pPr>
              <w:spacing w:line="276" w:lineRule="auto" w:before="0" w:after="0"/>
            </w:pPr>
            <w:r/>
            <w:r>
              <w:rPr>
                <w:rFonts w:ascii="Figtree" w:hAnsi="Figtree"/>
                <w:b w:val="0"/>
                <w:i w:val="0"/>
                <w:sz w:val="20"/>
              </w:rPr>
              <w:t>7+ years of production track record</w:t>
            </w:r>
          </w:p>
        </w:tc>
        <w:tc>
          <w:tcPr>
            <w:tcW w:type="dxa" w:w="2436"/>
            <w:vAlign w:val="center"/>
          </w:tcPr>
          <w:p>
            <w:pPr>
              <w:spacing w:line="276" w:lineRule="auto" w:before="0" w:after="0"/>
            </w:pPr>
            <w:r/>
            <w:r>
              <w:rPr>
                <w:rFonts w:ascii="Figtree" w:hAnsi="Figtree"/>
                <w:b w:val="0"/>
                <w:i w:val="0"/>
                <w:sz w:val="20"/>
              </w:rPr>
              <w:t>None at launch</w:t>
            </w:r>
          </w:p>
        </w:tc>
        <w:tc>
          <w:tcPr>
            <w:tcW w:type="dxa" w:w="2436"/>
            <w:vAlign w:val="center"/>
          </w:tcPr>
          <w:p>
            <w:pPr>
              <w:spacing w:line="276" w:lineRule="auto" w:before="0" w:after="0"/>
            </w:pPr>
            <w:r/>
            <w:r>
              <w:rPr>
                <w:rFonts w:ascii="Figtree" w:hAnsi="Figtree"/>
                <w:b w:val="0"/>
                <w:i w:val="0"/>
                <w:sz w:val="20"/>
              </w:rPr>
              <w:t>Component-level only</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coverage</w:t>
            </w:r>
          </w:p>
        </w:tc>
        <w:tc>
          <w:tcPr>
            <w:tcW w:type="dxa" w:w="2436"/>
            <w:vAlign w:val="center"/>
          </w:tcPr>
          <w:p>
            <w:pPr>
              <w:spacing w:line="276" w:lineRule="auto" w:before="0" w:after="0"/>
            </w:pPr>
            <w:r/>
            <w:r>
              <w:rPr>
                <w:rFonts w:ascii="Figtree" w:hAnsi="Figtree"/>
                <w:b w:val="0"/>
                <w:i w:val="0"/>
                <w:sz w:val="20"/>
              </w:rPr>
              <w:t>18 modules, production-proven</w:t>
            </w:r>
          </w:p>
        </w:tc>
        <w:tc>
          <w:tcPr>
            <w:tcW w:type="dxa" w:w="2436"/>
            <w:vAlign w:val="center"/>
          </w:tcPr>
          <w:p>
            <w:pPr>
              <w:spacing w:line="276" w:lineRule="auto" w:before="0" w:after="0"/>
            </w:pPr>
            <w:r/>
            <w:r>
              <w:rPr>
                <w:rFonts w:ascii="Figtree" w:hAnsi="Figtree"/>
                <w:b w:val="0"/>
                <w:i w:val="0"/>
                <w:sz w:val="20"/>
              </w:rPr>
              <w:t>Custom-built</w:t>
            </w:r>
          </w:p>
        </w:tc>
        <w:tc>
          <w:tcPr>
            <w:tcW w:type="dxa" w:w="2436"/>
            <w:vAlign w:val="center"/>
          </w:tcPr>
          <w:p>
            <w:pPr>
              <w:spacing w:line="276" w:lineRule="auto" w:before="0" w:after="0"/>
            </w:pPr>
            <w:r/>
            <w:r>
              <w:rPr>
                <w:rFonts w:ascii="Figtree" w:hAnsi="Figtree"/>
                <w:b w:val="0"/>
                <w:i w:val="0"/>
                <w:sz w:val="20"/>
              </w:rPr>
              <w:t>Fragmented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Audit trail quality</w:t>
            </w:r>
          </w:p>
        </w:tc>
        <w:tc>
          <w:tcPr>
            <w:tcW w:type="dxa" w:w="2436"/>
            <w:vAlign w:val="center"/>
          </w:tcPr>
          <w:p>
            <w:pPr>
              <w:spacing w:line="276" w:lineRule="auto" w:before="0" w:after="0"/>
            </w:pPr>
            <w:r/>
            <w:r>
              <w:rPr>
                <w:rFonts w:ascii="Figtree" w:hAnsi="Figtree"/>
                <w:b w:val="0"/>
                <w:i w:val="0"/>
                <w:sz w:val="20"/>
              </w:rPr>
              <w:t>Immutable on-chain + structured off-chain</w:t>
            </w:r>
          </w:p>
        </w:tc>
        <w:tc>
          <w:tcPr>
            <w:tcW w:type="dxa" w:w="2436"/>
            <w:vAlign w:val="center"/>
          </w:tcPr>
          <w:p>
            <w:pPr>
              <w:spacing w:line="276" w:lineRule="auto" w:before="0" w:after="0"/>
            </w:pPr>
            <w:r/>
            <w:r>
              <w:rPr>
                <w:rFonts w:ascii="Figtree" w:hAnsi="Figtree"/>
                <w:b w:val="0"/>
                <w:i w:val="0"/>
                <w:sz w:val="20"/>
              </w:rPr>
              <w:t>Design-dependent</w:t>
            </w:r>
          </w:p>
        </w:tc>
        <w:tc>
          <w:tcPr>
            <w:tcW w:type="dxa" w:w="2436"/>
            <w:vAlign w:val="center"/>
          </w:tcPr>
          <w:p>
            <w:pPr>
              <w:spacing w:line="276" w:lineRule="auto" w:before="0" w:after="0"/>
            </w:pPr>
            <w:r/>
            <w:r>
              <w:rPr>
                <w:rFonts w:ascii="Figtree" w:hAnsi="Figtree"/>
                <w:b w:val="0"/>
                <w:i w:val="0"/>
                <w:sz w:val="20"/>
              </w:rPr>
              <w:t>Inconsistent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Integration with Bank systems</w:t>
            </w:r>
          </w:p>
        </w:tc>
        <w:tc>
          <w:tcPr>
            <w:tcW w:type="dxa" w:w="2436"/>
            <w:vAlign w:val="center"/>
          </w:tcPr>
          <w:p>
            <w:pPr>
              <w:spacing w:line="276" w:lineRule="auto" w:before="0" w:after="0"/>
            </w:pPr>
            <w:r/>
            <w:r>
              <w:rPr>
                <w:rFonts w:ascii="Figtree" w:hAnsi="Figtree"/>
                <w:b w:val="0"/>
                <w:i w:val="0"/>
                <w:sz w:val="20"/>
              </w:rPr>
              <w:t>Documented API, ISO 20022</w:t>
            </w:r>
          </w:p>
        </w:tc>
        <w:tc>
          <w:tcPr>
            <w:tcW w:type="dxa" w:w="2436"/>
            <w:vAlign w:val="center"/>
          </w:tcPr>
          <w:p>
            <w:pPr>
              <w:spacing w:line="276" w:lineRule="auto" w:before="0" w:after="0"/>
            </w:pPr>
            <w:r/>
            <w:r>
              <w:rPr>
                <w:rFonts w:ascii="Figtree" w:hAnsi="Figtree"/>
                <w:b w:val="0"/>
                <w:i w:val="0"/>
                <w:sz w:val="20"/>
              </w:rPr>
              <w:t>Custom-built</w:t>
            </w:r>
          </w:p>
        </w:tc>
        <w:tc>
          <w:tcPr>
            <w:tcW w:type="dxa" w:w="2436"/>
            <w:vAlign w:val="center"/>
          </w:tcPr>
          <w:p>
            <w:pPr>
              <w:spacing w:line="276" w:lineRule="auto" w:before="0" w:after="0"/>
            </w:pPr>
            <w:r/>
            <w:r>
              <w:rPr>
                <w:rFonts w:ascii="Figtree" w:hAnsi="Figtree"/>
                <w:b w:val="0"/>
                <w:i w:val="0"/>
                <w:sz w:val="20"/>
              </w:rPr>
              <w:t>Multiple integration points</w:t>
            </w:r>
          </w:p>
        </w:tc>
      </w:tr>
      <w:tr>
        <w:trPr>
          <w:trHeight w:val="425" w:hRule="atLeast"/>
        </w:trPr>
        <w:tc>
          <w:tcPr>
            <w:tcW w:type="dxa" w:w="2436"/>
            <w:vAlign w:val="center"/>
          </w:tcPr>
          <w:p>
            <w:pPr>
              <w:spacing w:line="276" w:lineRule="auto" w:before="0" w:after="0"/>
            </w:pPr>
            <w:r/>
            <w:r>
              <w:rPr>
                <w:rFonts w:ascii="Figtree" w:hAnsi="Figtree"/>
                <w:b w:val="0"/>
                <w:i w:val="0"/>
                <w:sz w:val="20"/>
              </w:rPr>
              <w:t>Exit portability</w:t>
            </w:r>
          </w:p>
        </w:tc>
        <w:tc>
          <w:tcPr>
            <w:tcW w:type="dxa" w:w="2436"/>
            <w:vAlign w:val="center"/>
          </w:tcPr>
          <w:p>
            <w:pPr>
              <w:spacing w:line="276" w:lineRule="auto" w:before="0" w:after="0"/>
            </w:pPr>
            <w:r/>
            <w:r>
              <w:rPr>
                <w:rFonts w:ascii="Figtree" w:hAnsi="Figtree"/>
                <w:b w:val="0"/>
                <w:i w:val="0"/>
                <w:sz w:val="20"/>
              </w:rPr>
              <w:t>Documented exit support; Helm charts portable</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Data trapped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Ongoing maintenance burden</w:t>
            </w:r>
          </w:p>
        </w:tc>
        <w:tc>
          <w:tcPr>
            <w:tcW w:type="dxa" w:w="2436"/>
            <w:vAlign w:val="center"/>
          </w:tcPr>
          <w:p>
            <w:pPr>
              <w:spacing w:line="276" w:lineRule="auto" w:before="0" w:after="0"/>
            </w:pPr>
            <w:r/>
            <w:r>
              <w:rPr>
                <w:rFonts w:ascii="Figtree" w:hAnsi="Figtree"/>
                <w:b w:val="0"/>
                <w:i w:val="0"/>
                <w:sz w:val="20"/>
              </w:rPr>
              <w:t>SettleMint-managed (included in license)</w:t>
            </w:r>
          </w:p>
        </w:tc>
        <w:tc>
          <w:tcPr>
            <w:tcW w:type="dxa" w:w="2436"/>
            <w:vAlign w:val="center"/>
          </w:tcPr>
          <w:p>
            <w:pPr>
              <w:spacing w:line="276" w:lineRule="auto" w:before="0" w:after="0"/>
            </w:pPr>
            <w:r/>
            <w:r>
              <w:rPr>
                <w:rFonts w:ascii="Figtree" w:hAnsi="Figtree"/>
                <w:b w:val="0"/>
                <w:i w:val="0"/>
                <w:sz w:val="20"/>
              </w:rPr>
              <w:t>Permanent Bank engineering obligation</w:t>
            </w:r>
          </w:p>
        </w:tc>
        <w:tc>
          <w:tcPr>
            <w:tcW w:type="dxa" w:w="2436"/>
            <w:vAlign w:val="center"/>
          </w:tcPr>
          <w:p>
            <w:pPr>
              <w:spacing w:line="276" w:lineRule="auto" w:before="0" w:after="0"/>
            </w:pPr>
            <w:r/>
            <w:r>
              <w:rPr>
                <w:rFonts w:ascii="Figtree" w:hAnsi="Figtree"/>
                <w:b w:val="0"/>
                <w:i w:val="0"/>
                <w:sz w:val="20"/>
              </w:rPr>
              <w:t>Per-vendor maintenance contracts</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Production deployments at comparable FMIs</w:t>
            </w:r>
          </w:p>
        </w:tc>
        <w:tc>
          <w:tcPr>
            <w:tcW w:type="dxa" w:w="2436"/>
            <w:vAlign w:val="center"/>
          </w:tcPr>
          <w:p>
            <w:pPr>
              <w:spacing w:line="276" w:lineRule="auto" w:before="0" w:after="0"/>
            </w:pPr>
            <w:r/>
            <w:r>
              <w:rPr>
                <w:rFonts w:ascii="Figtree" w:hAnsi="Figtree"/>
                <w:b w:val="0"/>
                <w:i w:val="0"/>
                <w:sz w:val="20"/>
              </w:rPr>
              <w:t>None available</w:t>
            </w:r>
          </w:p>
        </w:tc>
        <w:tc>
          <w:tcPr>
            <w:tcW w:type="dxa" w:w="2436"/>
            <w:vAlign w:val="center"/>
          </w:tcPr>
          <w:p>
            <w:pPr>
              <w:spacing w:line="276" w:lineRule="auto" w:before="0" w:after="0"/>
            </w:pPr>
            <w:r/>
            <w:r>
              <w:rPr>
                <w:rFonts w:ascii="Figtree" w:hAnsi="Figtree"/>
                <w:b w:val="0"/>
                <w:i w:val="0"/>
                <w:sz w:val="20"/>
              </w:rPr>
              <w:t>Component-level only</w:t>
            </w:r>
          </w:p>
        </w:tc>
      </w:tr>
    </w:tbl>
    <w:p>
      <w:pPr>
        <w:spacing w:before="0" w:after="0" w:line="120" w:lineRule="exact"/>
      </w:pPr>
    </w:p>
    <w:p>
      <w:r>
        <w:rPr>
          <w:rFonts w:ascii="Figtree" w:hAnsi="Figtree"/>
          <w:b w:val="0"/>
          <w:i w:val="0"/>
          <w:sz w:val="22"/>
        </w:rPr>
        <w:t>The build-in-house comparison is particularly stark: even the optimistic EUR 15M 3-year build estimate assumes the Bank can recruit and retain specialized EVM, distributed systems, and institutional security engineering talent at competitive rates, and that the first-generation system performs reliably in pilot conditions. Neither assumption is certain.</w:t>
      </w:r>
    </w:p>
    <w:p>
      <w:r>
        <w:br w:type="page"/>
      </w:r>
    </w:p>
    <w:p>
      <w:pPr>
        <w:pStyle w:val="H2"/>
        <w:numPr>
          <w:ilvl w:val="1"/>
          <w:numId w:val="1"/>
        </w:numPr>
      </w:pPr>
      <w:r>
        <w:t>8. Commercial Terms</w:t>
      </w:r>
    </w:p>
    <w:p>
      <w:pPr>
        <w:pStyle w:val="H3"/>
        <w:numPr>
          <w:ilvl w:val="2"/>
          <w:numId w:val="1"/>
        </w:numPr>
      </w:pPr>
      <w:r>
        <w:t>8.1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9"/>
        <w:gridCol w:w="3549"/>
        <w:gridCol w:w="33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DALP Sovereign tier license; all included capabilities</w:t>
            </w:r>
          </w:p>
        </w:tc>
        <w:tc>
          <w:tcPr>
            <w:tcW w:type="dxa" w:w="3249"/>
            <w:vAlign w:val="center"/>
          </w:tcPr>
          <w:p>
            <w:pPr>
              <w:spacing w:line="276" w:lineRule="auto" w:before="0" w:after="0"/>
            </w:pPr>
            <w:r/>
            <w:r>
              <w:rPr>
                <w:rFonts w:ascii="Figtree" w:hAnsi="Figtree"/>
                <w:b w:val="0"/>
                <w:i w:val="0"/>
                <w:sz w:val="20"/>
              </w:rPr>
              <w:t>Annual, renewable; initial term 3 years recommended</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Fixed-price phased delivery; 32 weeks</w:t>
            </w:r>
          </w:p>
        </w:tc>
        <w:tc>
          <w:tcPr>
            <w:tcW w:type="dxa" w:w="3249"/>
            <w:vAlign w:val="center"/>
          </w:tcPr>
          <w:p>
            <w:pPr>
              <w:spacing w:line="276" w:lineRule="auto" w:before="0" w:after="0"/>
            </w:pPr>
            <w:r/>
            <w:r>
              <w:rPr>
                <w:rFonts w:ascii="Figtree" w:hAnsi="Figtree"/>
                <w:b w:val="0"/>
                <w:i w:val="0"/>
                <w:sz w:val="20"/>
              </w:rPr>
              <w:t>One-time; milestone-based payment</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 Agreement</w:t>
            </w:r>
          </w:p>
        </w:tc>
        <w:tc>
          <w:tcPr>
            <w:tcW w:type="dxa" w:w="3249"/>
            <w:vAlign w:val="center"/>
          </w:tcPr>
          <w:p>
            <w:pPr>
              <w:spacing w:line="276" w:lineRule="auto" w:before="0" w:after="0"/>
            </w:pPr>
            <w:r/>
            <w:r>
              <w:rPr>
                <w:rFonts w:ascii="Figtree" w:hAnsi="Figtree"/>
                <w:b w:val="0"/>
                <w:i w:val="0"/>
                <w:sz w:val="20"/>
              </w:rPr>
              <w:t>24/7 support; dedicated SRE; uptime SLA</w:t>
            </w:r>
          </w:p>
        </w:tc>
        <w:tc>
          <w:tcPr>
            <w:tcW w:type="dxa" w:w="3249"/>
            <w:vAlign w:val="center"/>
          </w:tcPr>
          <w:p>
            <w:pPr>
              <w:spacing w:line="276" w:lineRule="auto" w:before="0" w:after="0"/>
            </w:pPr>
            <w:r/>
            <w:r>
              <w:rPr>
                <w:rFonts w:ascii="Figtree" w:hAnsi="Figtree"/>
                <w:b w:val="0"/>
                <w:i w:val="0"/>
                <w:sz w:val="20"/>
              </w:rPr>
              <w:t>Annual, co-terminus with license</w:t>
            </w:r>
          </w:p>
        </w:tc>
      </w:tr>
      <w:tr>
        <w:trPr>
          <w:trHeight w:val="425" w:hRule="atLeast"/>
        </w:trPr>
        <w:tc>
          <w:tcPr>
            <w:tcW w:type="dxa" w:w="3249"/>
            <w:vAlign w:val="center"/>
          </w:tcPr>
          <w:p>
            <w:pPr>
              <w:spacing w:line="276" w:lineRule="auto" w:before="0" w:after="0"/>
            </w:pPr>
            <w:r/>
            <w:r>
              <w:rPr>
                <w:rFonts w:ascii="Figtree" w:hAnsi="Figtree"/>
                <w:b w:val="0"/>
                <w:i w:val="0"/>
                <w:sz w:val="20"/>
              </w:rPr>
              <w:t>Source Code Escrow (optional)</w:t>
            </w:r>
          </w:p>
        </w:tc>
        <w:tc>
          <w:tcPr>
            <w:tcW w:type="dxa" w:w="3249"/>
            <w:vAlign w:val="center"/>
          </w:tcPr>
          <w:p>
            <w:pPr>
              <w:spacing w:line="276" w:lineRule="auto" w:before="0" w:after="0"/>
            </w:pPr>
            <w:r/>
            <w:r>
              <w:rPr>
                <w:rFonts w:ascii="Figtree" w:hAnsi="Figtree"/>
                <w:b w:val="0"/>
                <w:i w:val="0"/>
                <w:sz w:val="20"/>
              </w:rPr>
              <w:t>DALP source code access on defined trigger events</w:t>
            </w:r>
          </w:p>
        </w:tc>
        <w:tc>
          <w:tcPr>
            <w:tcW w:type="dxa" w:w="3249"/>
            <w:vAlign w:val="center"/>
          </w:tcPr>
          <w:p>
            <w:pPr>
              <w:spacing w:line="276" w:lineRule="auto" w:before="0" w:after="0"/>
            </w:pPr>
            <w:r/>
            <w:r>
              <w:rPr>
                <w:rFonts w:ascii="Figtree" w:hAnsi="Figtree"/>
                <w:b w:val="0"/>
                <w:i w:val="0"/>
                <w:sz w:val="20"/>
              </w:rPr>
              <w:t>Separate negotiation; available on request</w:t>
            </w:r>
          </w:p>
        </w:tc>
      </w:tr>
    </w:tbl>
    <w:p>
      <w:pPr>
        <w:spacing w:before="0" w:after="0" w:line="120" w:lineRule="exact"/>
      </w:pPr>
    </w:p>
    <w:p>
      <w:pPr>
        <w:pStyle w:val="H3"/>
        <w:numPr>
          <w:ilvl w:val="2"/>
          <w:numId w:val="1"/>
        </w:numPr>
      </w:pPr>
      <w:r>
        <w:t>8.2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2268"/>
        <w:gridCol w:w="4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EUR [CLIENT-SPECIFIC: ~20%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w:t>
            </w:r>
          </w:p>
        </w:tc>
        <w:tc>
          <w:tcPr>
            <w:tcW w:type="dxa" w:w="3249"/>
            <w:vAlign w:val="center"/>
          </w:tcPr>
          <w:p>
            <w:pPr>
              <w:spacing w:line="276" w:lineRule="auto" w:before="0" w:after="0"/>
            </w:pPr>
            <w:r/>
            <w:r>
              <w:rPr>
                <w:rFonts w:ascii="Figtree" w:hAnsi="Figtree"/>
                <w:b w:val="0"/>
                <w:i w:val="0"/>
                <w:sz w:val="20"/>
              </w:rPr>
              <w:t>Gate 1 sign-off</w:t>
            </w:r>
          </w:p>
        </w:tc>
        <w:tc>
          <w:tcPr>
            <w:tcW w:type="dxa" w:w="3249"/>
            <w:vAlign w:val="center"/>
          </w:tcPr>
          <w:p>
            <w:pPr>
              <w:spacing w:line="276" w:lineRule="auto" w:before="0" w:after="0"/>
            </w:pPr>
            <w:r/>
            <w:r>
              <w:rPr>
                <w:rFonts w:ascii="Figtree" w:hAnsi="Figtree"/>
                <w:b w:val="0"/>
                <w:i w:val="0"/>
                <w:sz w:val="20"/>
              </w:rPr>
              <w:t>EUR [CLIENT-SPECIFIC: ~15%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Gate 2 sign-off</w:t>
            </w:r>
          </w:p>
        </w:tc>
        <w:tc>
          <w:tcPr>
            <w:tcW w:type="dxa" w:w="3249"/>
            <w:vAlign w:val="center"/>
          </w:tcPr>
          <w:p>
            <w:pPr>
              <w:spacing w:line="276" w:lineRule="auto" w:before="0" w:after="0"/>
            </w:pPr>
            <w:r/>
            <w:r>
              <w:rPr>
                <w:rFonts w:ascii="Figtree" w:hAnsi="Figtree"/>
                <w:b w:val="0"/>
                <w:i w:val="0"/>
                <w:sz w:val="20"/>
              </w:rPr>
              <w:t>EUR [CLIENT-SPECIFIC: ~15%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Gate 3 sign-off</w:t>
            </w:r>
          </w:p>
        </w:tc>
        <w:tc>
          <w:tcPr>
            <w:tcW w:type="dxa" w:w="3249"/>
            <w:vAlign w:val="center"/>
          </w:tcPr>
          <w:p>
            <w:pPr>
              <w:spacing w:line="276" w:lineRule="auto" w:before="0" w:after="0"/>
            </w:pPr>
            <w:r/>
            <w:r>
              <w:rPr>
                <w:rFonts w:ascii="Figtree" w:hAnsi="Figtree"/>
                <w:b w:val="0"/>
                <w:i w:val="0"/>
                <w:sz w:val="20"/>
              </w:rPr>
              <w:t>EUR [CLIENT-SPECIFIC: ~20%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w:t>
            </w:r>
          </w:p>
        </w:tc>
        <w:tc>
          <w:tcPr>
            <w:tcW w:type="dxa" w:w="3249"/>
            <w:vAlign w:val="center"/>
          </w:tcPr>
          <w:p>
            <w:pPr>
              <w:spacing w:line="276" w:lineRule="auto" w:before="0" w:after="0"/>
            </w:pPr>
            <w:r/>
            <w:r>
              <w:rPr>
                <w:rFonts w:ascii="Figtree" w:hAnsi="Figtree"/>
                <w:b w:val="0"/>
                <w:i w:val="0"/>
                <w:sz w:val="20"/>
              </w:rPr>
              <w:t>Gate 4 sign-off</w:t>
            </w:r>
          </w:p>
        </w:tc>
        <w:tc>
          <w:tcPr>
            <w:tcW w:type="dxa" w:w="3249"/>
            <w:vAlign w:val="center"/>
          </w:tcPr>
          <w:p>
            <w:pPr>
              <w:spacing w:line="276" w:lineRule="auto" w:before="0" w:after="0"/>
            </w:pPr>
            <w:r/>
            <w:r>
              <w:rPr>
                <w:rFonts w:ascii="Figtree" w:hAnsi="Figtree"/>
                <w:b w:val="0"/>
                <w:i w:val="0"/>
                <w:sz w:val="20"/>
              </w:rPr>
              <w:t>EUR [CLIENT-SPECIFIC: ~20%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Go-Live acceptance</w:t>
            </w:r>
          </w:p>
        </w:tc>
        <w:tc>
          <w:tcPr>
            <w:tcW w:type="dxa" w:w="3249"/>
            <w:vAlign w:val="center"/>
          </w:tcPr>
          <w:p>
            <w:pPr>
              <w:spacing w:line="276" w:lineRule="auto" w:before="0" w:after="0"/>
            </w:pPr>
            <w:r/>
            <w:r>
              <w:rPr>
                <w:rFonts w:ascii="Figtree" w:hAnsi="Figtree"/>
                <w:b w:val="0"/>
                <w:i w:val="0"/>
                <w:sz w:val="20"/>
              </w:rPr>
              <w:t>Phase 5 gate sign-off</w:t>
            </w:r>
          </w:p>
        </w:tc>
        <w:tc>
          <w:tcPr>
            <w:tcW w:type="dxa" w:w="3249"/>
            <w:vAlign w:val="center"/>
          </w:tcPr>
          <w:p>
            <w:pPr>
              <w:spacing w:line="276" w:lineRule="auto" w:before="0" w:after="0"/>
            </w:pPr>
            <w:r/>
            <w:r>
              <w:rPr>
                <w:rFonts w:ascii="Figtree" w:hAnsi="Figtree"/>
                <w:b w:val="0"/>
                <w:i w:val="0"/>
                <w:sz w:val="20"/>
              </w:rPr>
              <w:t>EUR [CLIENT-SPECIFIC: ~10% of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Annual in advance</w:t>
            </w:r>
          </w:p>
        </w:tc>
        <w:tc>
          <w:tcPr>
            <w:tcW w:type="dxa" w:w="3249"/>
            <w:vAlign w:val="center"/>
          </w:tcPr>
          <w:p>
            <w:pPr>
              <w:spacing w:line="276" w:lineRule="auto" w:before="0" w:after="0"/>
            </w:pPr>
            <w:r/>
            <w:r>
              <w:rPr>
                <w:rFonts w:ascii="Figtree" w:hAnsi="Figtree"/>
                <w:b w:val="0"/>
                <w:i w:val="0"/>
                <w:sz w:val="20"/>
              </w:rPr>
              <w:t>EUR [CLIENT-SPECIFIC] per year</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Annual in advance</w:t>
            </w:r>
          </w:p>
        </w:tc>
        <w:tc>
          <w:tcPr>
            <w:tcW w:type="dxa" w:w="3249"/>
            <w:vAlign w:val="center"/>
          </w:tcPr>
          <w:p>
            <w:pPr>
              <w:spacing w:line="276" w:lineRule="auto" w:before="0" w:after="0"/>
            </w:pPr>
            <w:r/>
            <w:r>
              <w:rPr>
                <w:rFonts w:ascii="Figtree" w:hAnsi="Figtree"/>
                <w:b w:val="0"/>
                <w:i w:val="0"/>
                <w:sz w:val="20"/>
              </w:rPr>
              <w:t>EUR [CLIENT-SPECIFIC] per year</w:t>
            </w:r>
          </w:p>
        </w:tc>
      </w:tr>
    </w:tbl>
    <w:p>
      <w:pPr>
        <w:spacing w:before="0" w:after="0" w:line="120" w:lineRule="exact"/>
      </w:pPr>
    </w:p>
    <w:p>
      <w:pPr>
        <w:pStyle w:val="H3"/>
        <w:numPr>
          <w:ilvl w:val="2"/>
          <w:numId w:val="1"/>
        </w:numPr>
      </w:pPr>
      <w:r>
        <w:t>8.3 Duration</w:t>
      </w:r>
    </w:p>
    <w:p>
      <w:r>
        <w:rPr>
          <w:rFonts w:ascii="Figtree" w:hAnsi="Figtree"/>
          <w:b w:val="0"/>
          <w:i w:val="0"/>
          <w:sz w:val="22"/>
        </w:rPr>
        <w:t>Initial term: 3 years from license activation (recommended; shorter terms available with adjusted pricing).</w:t>
      </w:r>
    </w:p>
    <w:p>
      <w:r>
        <w:rPr>
          <w:rFonts w:ascii="Figtree" w:hAnsi="Figtree"/>
          <w:b w:val="0"/>
          <w:i w:val="0"/>
          <w:sz w:val="22"/>
        </w:rPr>
        <w:t>License activation: Triggered by Phase 5 production go-live or agreed long-stop date, whichever is earlier.</w:t>
      </w:r>
    </w:p>
    <w:p>
      <w:r>
        <w:rPr>
          <w:rFonts w:ascii="Figtree" w:hAnsi="Figtree"/>
          <w:b w:val="0"/>
          <w:i w:val="0"/>
          <w:sz w:val="22"/>
        </w:rPr>
        <w:t>Implementation timeline: 32 weeks from kickoff. Long-stop date for Phase 5 completion: 40 weeks from kickoff (subject to agreed change control for scope changes).</w:t>
      </w:r>
    </w:p>
    <w:p>
      <w:pPr>
        <w:pStyle w:val="H3"/>
        <w:numPr>
          <w:ilvl w:val="2"/>
          <w:numId w:val="1"/>
        </w:numPr>
      </w:pPr>
      <w:r>
        <w:t>8.4 Renewal</w:t>
      </w:r>
    </w:p>
    <w:p>
      <w:r>
        <w:rPr>
          <w:rFonts w:ascii="Figtree" w:hAnsi="Figtree"/>
          <w:b w:val="0"/>
          <w:i w:val="0"/>
          <w:sz w:val="22"/>
        </w:rPr>
        <w:t>License renewals: 90 days notice before expiry. Renewal pricing at [CLIENT-SPECIFIC: indicatively at most CPI-indexed current rate]. Multi-year renewal commitments carry preferential pricing.</w:t>
      </w:r>
    </w:p>
    <w:p>
      <w:r>
        <w:rPr>
          <w:rFonts w:ascii="Figtree" w:hAnsi="Figtree"/>
          <w:b w:val="0"/>
          <w:i w:val="0"/>
          <w:sz w:val="22"/>
        </w:rPr>
        <w:t>Early renewal: Available from 6 months before expiry with [CLIENT-SPECIFIC] incentive.</w:t>
      </w:r>
    </w:p>
    <w:p>
      <w:pPr>
        <w:pStyle w:val="H3"/>
        <w:numPr>
          <w:ilvl w:val="2"/>
          <w:numId w:val="1"/>
        </w:numPr>
      </w:pPr>
      <w:r>
        <w:t>8.5 Termination</w:t>
      </w:r>
    </w:p>
    <w:p>
      <w:r>
        <w:rPr>
          <w:rFonts w:ascii="Figtree" w:hAnsi="Figtree"/>
          <w:b w:val="0"/>
          <w:i w:val="0"/>
          <w:sz w:val="22"/>
        </w:rPr>
        <w:t>For cause: Either party may terminate for material breach unremedied within 30 days of written notice.</w:t>
      </w:r>
    </w:p>
    <w:p>
      <w:r>
        <w:rPr>
          <w:rFonts w:ascii="Figtree" w:hAnsi="Figtree"/>
          <w:b w:val="0"/>
          <w:i w:val="0"/>
          <w:sz w:val="22"/>
        </w:rPr>
        <w:t>For convenience: Bank may terminate with 90 days notice after the initial 12 months of the license term, subject to [CLIENT-SPECIFIC: fair wind-down provisions].</w:t>
      </w:r>
    </w:p>
    <w:p>
      <w:r>
        <w:rPr>
          <w:rFonts w:ascii="Figtree" w:hAnsi="Figtree"/>
          <w:b w:val="0"/>
          <w:i w:val="0"/>
          <w:sz w:val="22"/>
        </w:rPr>
        <w:t>Upon termination: SettleMint provides 90 days of transition assistance. Bank receives full data export, configuration documentation, and audit log export. Blockchain state on the Bank's private Besu network remains accessible to the Bank independently of SettleMint.</w:t>
      </w:r>
    </w:p>
    <w:p>
      <w:pPr>
        <w:pStyle w:val="H3"/>
        <w:numPr>
          <w:ilvl w:val="2"/>
          <w:numId w:val="1"/>
        </w:numPr>
      </w:pPr>
      <w:r>
        <w:t>8.6 Intellectual Property</w:t>
      </w:r>
    </w:p>
    <w:p>
      <w:r>
        <w:rPr>
          <w:rFonts w:ascii="Figtree" w:hAnsi="Figtree"/>
          <w:b w:val="0"/>
          <w:i w:val="0"/>
          <w:sz w:val="22"/>
        </w:rPr>
        <w:t>DALP platform IP: Owned by SettleMint. The Bank receives a license to use the platform, not ownership of platform code.</w:t>
      </w:r>
    </w:p>
    <w:p>
      <w:r>
        <w:rPr>
          <w:rFonts w:ascii="Figtree" w:hAnsi="Figtree"/>
          <w:b w:val="0"/>
          <w:i w:val="0"/>
          <w:sz w:val="22"/>
        </w:rPr>
        <w:t>Client data: All data generated by the Bank's operations on DALP is owned by the Bank. This includes wCBDC transaction records, participant identity records, audit logs, and compliance evidence.</w:t>
      </w:r>
    </w:p>
    <w:p>
      <w:r>
        <w:rPr>
          <w:rFonts w:ascii="Figtree" w:hAnsi="Figtree"/>
          <w:b w:val="0"/>
          <w:i w:val="0"/>
          <w:sz w:val="22"/>
        </w:rPr>
        <w:t>Client configurations: Smart contract configurations, compliance module configurations, and operational procedures developed during implementation are owned by the Bank or jointly by agreement.</w:t>
      </w:r>
    </w:p>
    <w:p>
      <w:r>
        <w:rPr>
          <w:rFonts w:ascii="Figtree" w:hAnsi="Figtree"/>
          <w:b w:val="0"/>
          <w:i w:val="0"/>
          <w:sz w:val="22"/>
        </w:rPr>
        <w:t>Integration adapters: Integration code developed specifically for Bank systems (e.g., RTGS adapter) is owned by the Bank upon delivery and payment.</w:t>
      </w:r>
    </w:p>
    <w:p>
      <w:pPr>
        <w:pStyle w:val="H3"/>
        <w:numPr>
          <w:ilvl w:val="2"/>
          <w:numId w:val="1"/>
        </w:numPr>
      </w:pPr>
      <w:r>
        <w:t>8.7 Liability</w:t>
      </w:r>
    </w:p>
    <w:p>
      <w:r>
        <w:rPr>
          <w:rFonts w:ascii="Figtree" w:hAnsi="Figtree"/>
          <w:b w:val="0"/>
          <w:i w:val="0"/>
          <w:sz w:val="22"/>
        </w:rPr>
        <w:t>Liability cap: SettleMint's aggregate liability under the agreements is capped at [CLIENT-SPECIFIC: typically 12 months of total fees paid in the preceding 12 months].</w:t>
      </w:r>
    </w:p>
    <w:p>
      <w:r>
        <w:rPr>
          <w:rFonts w:ascii="Figtree" w:hAnsi="Figtree"/>
          <w:b w:val="0"/>
          <w:i w:val="0"/>
          <w:sz w:val="22"/>
        </w:rPr>
        <w:t>Excluded from cap: Fraud, wilful misconduct, death/personal injury, IP indemnification obligations.</w:t>
      </w:r>
    </w:p>
    <w:p>
      <w:r>
        <w:rPr>
          <w:rFonts w:ascii="Figtree" w:hAnsi="Figtree"/>
          <w:b w:val="0"/>
          <w:i w:val="0"/>
          <w:sz w:val="22"/>
        </w:rPr>
        <w:t>SettleMint carries professional indemnity insurance and cyber risk insurance at limits appropriate for engagements of this nature. Evidence available during due diligence.</w:t>
      </w:r>
    </w:p>
    <w:p>
      <w:pPr>
        <w:pStyle w:val="H3"/>
        <w:numPr>
          <w:ilvl w:val="2"/>
          <w:numId w:val="1"/>
        </w:numPr>
      </w:pPr>
      <w:r>
        <w:t>8.8 Confidentiality</w:t>
      </w:r>
    </w:p>
    <w:p>
      <w:r>
        <w:rPr>
          <w:rFonts w:ascii="Figtree" w:hAnsi="Figtree"/>
          <w:b w:val="0"/>
          <w:i w:val="0"/>
          <w:sz w:val="22"/>
        </w:rPr>
        <w:t>Mutual confidentiality obligations apply for the term of the agreements plus 5 years post-termination. Standard carve-outs for publicly available information, independent development, and regulatory disclosure obligations.</w:t>
      </w:r>
    </w:p>
    <w:p>
      <w:pPr>
        <w:pStyle w:val="H3"/>
        <w:numPr>
          <w:ilvl w:val="2"/>
          <w:numId w:val="1"/>
        </w:numPr>
      </w:pPr>
      <w:r>
        <w:t>8.9 Escrow</w:t>
      </w:r>
    </w:p>
    <w:p>
      <w:r>
        <w:rPr>
          <w:rFonts w:ascii="Figtree" w:hAnsi="Figtree"/>
          <w:b w:val="0"/>
          <w:i w:val="0"/>
          <w:sz w:val="22"/>
        </w:rPr>
        <w:t>Source code escrow is available through a qualified third-party escrow agent. Trigger events (access conditions) are subject to commercial negotiation but typically include SettleMint insolvency, cessation of DALP development, or material support failure persisting beyond defined cure periods.</w:t>
      </w:r>
    </w:p>
    <w:p>
      <w:r>
        <w:rPr>
          <w:rFonts w:ascii="Figtree" w:hAnsi="Figtree"/>
          <w:b w:val="0"/>
          <w:i w:val="0"/>
          <w:sz w:val="22"/>
        </w:rPr>
        <w:t>The Bank's Besu network and all on-chain state remain accessible to the Bank independently of the escrow arrangement, providing a baseline continuity guarantee that does not depend on escrow trigger invocation.</w:t>
      </w:r>
    </w:p>
    <w:p>
      <w:r>
        <w:br w:type="page"/>
      </w:r>
    </w:p>
    <w:p>
      <w:pPr>
        <w:pStyle w:val="H2"/>
        <w:numPr>
          <w:ilvl w:val="1"/>
          <w:numId w:val="1"/>
        </w:numPr>
      </w:pPr>
      <w:r>
        <w:t>9. Reference Clients</w:t>
      </w:r>
    </w:p>
    <w:p>
      <w:pPr>
        <w:pStyle w:val="H3"/>
        <w:numPr>
          <w:ilvl w:val="2"/>
          <w:numId w:val="1"/>
        </w:numPr>
      </w:pPr>
      <w:r>
        <w:t>9.1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8"/>
        <w:gridCol w:w="715"/>
        <w:gridCol w:w="1651"/>
        <w:gridCol w:w="1894"/>
        <w:gridCol w:w="374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 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Outcome / Relevance</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Dirham CBDC infrastructure</w:t>
            </w:r>
          </w:p>
        </w:tc>
        <w:tc>
          <w:tcPr>
            <w:tcW w:type="dxa" w:w="1949"/>
            <w:vAlign w:val="center"/>
          </w:tcPr>
          <w:p>
            <w:pPr>
              <w:spacing w:line="276" w:lineRule="auto" w:before="0" w:after="0"/>
            </w:pPr>
            <w:r/>
            <w:r>
              <w:rPr>
                <w:rFonts w:ascii="Figtree" w:hAnsi="Figtree"/>
                <w:b w:val="0"/>
                <w:i w:val="0"/>
                <w:sz w:val="20"/>
              </w:rPr>
              <w:t>National scale, central bank governance</w:t>
            </w:r>
          </w:p>
        </w:tc>
        <w:tc>
          <w:tcPr>
            <w:tcW w:type="dxa" w:w="1949"/>
            <w:vAlign w:val="center"/>
          </w:tcPr>
          <w:p>
            <w:pPr>
              <w:spacing w:line="276" w:lineRule="auto" w:before="0" w:after="0"/>
            </w:pPr>
            <w:r/>
            <w:r>
              <w:rPr>
                <w:rFonts w:ascii="Figtree" w:hAnsi="Figtree"/>
                <w:b w:val="0"/>
                <w:i w:val="0"/>
                <w:sz w:val="20"/>
              </w:rPr>
              <w:t>Direct CBDC governance model; BoE governance requirements directly comparable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International CSD scale</w:t>
            </w:r>
          </w:p>
        </w:tc>
        <w:tc>
          <w:tcPr>
            <w:tcW w:type="dxa" w:w="1949"/>
            <w:vAlign w:val="center"/>
          </w:tcPr>
          <w:p>
            <w:pPr>
              <w:spacing w:line="276" w:lineRule="auto" w:before="0" w:after="0"/>
            </w:pPr>
            <w:r/>
            <w:r>
              <w:rPr>
                <w:rFonts w:ascii="Figtree" w:hAnsi="Figtree"/>
                <w:b w:val="0"/>
                <w:i w:val="0"/>
                <w:sz w:val="20"/>
              </w:rPr>
              <w:t>FMI integration, post-trade architecture, CSDR/DORA compliance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Production, multi-asset</w:t>
            </w:r>
          </w:p>
        </w:tc>
        <w:tc>
          <w:tcPr>
            <w:tcW w:type="dxa" w:w="1949"/>
            <w:vAlign w:val="center"/>
          </w:tcPr>
          <w:p>
            <w:pPr>
              <w:spacing w:line="276" w:lineRule="auto" w:before="0" w:after="0"/>
            </w:pPr>
            <w:r/>
            <w:r>
              <w:rPr>
                <w:rFonts w:ascii="Figtree" w:hAnsi="Figtree"/>
                <w:b w:val="0"/>
                <w:i w:val="0"/>
                <w:sz w:val="20"/>
              </w:rPr>
              <w:t>Production bond lifecycle under MAS; 7+ years continuous</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Digital asset core infrastructure</w:t>
            </w:r>
          </w:p>
        </w:tc>
        <w:tc>
          <w:tcPr>
            <w:tcW w:type="dxa" w:w="1949"/>
            <w:vAlign w:val="center"/>
          </w:tcPr>
          <w:p>
            <w:pPr>
              <w:spacing w:line="276" w:lineRule="auto" w:before="0" w:after="0"/>
            </w:pPr>
            <w:r/>
            <w:r>
              <w:rPr>
                <w:rFonts w:ascii="Figtree" w:hAnsi="Figtree"/>
                <w:b w:val="0"/>
                <w:i w:val="0"/>
                <w:sz w:val="20"/>
              </w:rPr>
              <w:t>National banking scale</w:t>
            </w:r>
          </w:p>
        </w:tc>
        <w:tc>
          <w:tcPr>
            <w:tcW w:type="dxa" w:w="1949"/>
            <w:vAlign w:val="center"/>
          </w:tcPr>
          <w:p>
            <w:pPr>
              <w:spacing w:line="276" w:lineRule="auto" w:before="0" w:after="0"/>
            </w:pPr>
            <w:r/>
            <w:r>
              <w:rPr>
                <w:rFonts w:ascii="Figtree" w:hAnsi="Figtree"/>
                <w:b w:val="0"/>
                <w:i w:val="0"/>
                <w:sz w:val="20"/>
              </w:rPr>
              <w:t>Sovereign-scale deployment, central bank oversight</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Wholesale banking scale</w:t>
            </w:r>
          </w:p>
        </w:tc>
        <w:tc>
          <w:tcPr>
            <w:tcW w:type="dxa" w:w="1949"/>
            <w:vAlign w:val="center"/>
          </w:tcPr>
          <w:p>
            <w:pPr>
              <w:spacing w:line="276" w:lineRule="auto" w:before="0" w:after="0"/>
            </w:pPr>
            <w:r/>
            <w:r>
              <w:rPr>
                <w:rFonts w:ascii="Figtree" w:hAnsi="Figtree"/>
                <w:b w:val="0"/>
                <w:i w:val="0"/>
                <w:sz w:val="20"/>
              </w:rPr>
              <w:t>Wholesale institutional bond platform</w:t>
            </w:r>
          </w:p>
        </w:tc>
      </w:tr>
      <w:tr>
        <w:trPr>
          <w:trHeight w:val="425" w:hRule="atLeast"/>
        </w:trPr>
        <w:tc>
          <w:tcPr>
            <w:tcW w:type="dxa" w:w="1949"/>
            <w:vAlign w:val="center"/>
          </w:tcPr>
          <w:p>
            <w:pPr>
              <w:spacing w:line="276" w:lineRule="auto" w:before="0" w:after="0"/>
            </w:pPr>
            <w:r/>
            <w:r>
              <w:rPr>
                <w:rFonts w:ascii="Figtree" w:hAnsi="Figtree"/>
                <w:b w:val="0"/>
                <w:i w:val="0"/>
                <w:sz w:val="20"/>
              </w:rPr>
              <w:t>Standard Bank</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Tokenized securities</w:t>
            </w:r>
          </w:p>
        </w:tc>
        <w:tc>
          <w:tcPr>
            <w:tcW w:type="dxa" w:w="1949"/>
            <w:vAlign w:val="center"/>
          </w:tcPr>
          <w:p>
            <w:pPr>
              <w:spacing w:line="276" w:lineRule="auto" w:before="0" w:after="0"/>
            </w:pPr>
            <w:r/>
            <w:r>
              <w:rPr>
                <w:rFonts w:ascii="Figtree" w:hAnsi="Figtree"/>
                <w:b w:val="0"/>
                <w:i w:val="0"/>
                <w:sz w:val="20"/>
              </w:rPr>
              <w:t>Multi-product</w:t>
            </w:r>
          </w:p>
        </w:tc>
        <w:tc>
          <w:tcPr>
            <w:tcW w:type="dxa" w:w="1949"/>
            <w:vAlign w:val="center"/>
          </w:tcPr>
          <w:p>
            <w:pPr>
              <w:spacing w:line="276" w:lineRule="auto" w:before="0" w:after="0"/>
            </w:pPr>
            <w:r/>
            <w:r>
              <w:rPr>
                <w:rFonts w:ascii="Figtree" w:hAnsi="Figtree"/>
                <w:b w:val="0"/>
                <w:i w:val="0"/>
                <w:sz w:val="20"/>
              </w:rPr>
              <w:t>Multi-asset regulated securities platform</w:t>
            </w:r>
          </w:p>
        </w:tc>
      </w:tr>
      <w:tr>
        <w:trPr>
          <w:trHeight w:val="425" w:hRule="atLeast"/>
        </w:trPr>
        <w:tc>
          <w:tcPr>
            <w:tcW w:type="dxa" w:w="1949"/>
            <w:vAlign w:val="center"/>
          </w:tcPr>
          <w:p>
            <w:pPr>
              <w:spacing w:line="276" w:lineRule="auto" w:before="0" w:after="0"/>
            </w:pPr>
            <w:r/>
            <w:r>
              <w:rPr>
                <w:rFonts w:ascii="Figtree" w:hAnsi="Figtree"/>
                <w:b w:val="0"/>
                <w:i w:val="0"/>
                <w:sz w:val="20"/>
              </w:rPr>
              <w:t>Deutsche 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Digital bonds issuance</w:t>
            </w:r>
          </w:p>
        </w:tc>
        <w:tc>
          <w:tcPr>
            <w:tcW w:type="dxa" w:w="1949"/>
            <w:vAlign w:val="center"/>
          </w:tcPr>
          <w:p>
            <w:pPr>
              <w:spacing w:line="276" w:lineRule="auto" w:before="0" w:after="0"/>
            </w:pPr>
            <w:r/>
            <w:r>
              <w:rPr>
                <w:rFonts w:ascii="Figtree" w:hAnsi="Figtree"/>
                <w:b w:val="0"/>
                <w:i w:val="0"/>
                <w:sz w:val="20"/>
              </w:rPr>
              <w:t>Tier-1 bank scale</w:t>
            </w:r>
          </w:p>
        </w:tc>
        <w:tc>
          <w:tcPr>
            <w:tcW w:type="dxa" w:w="1949"/>
            <w:vAlign w:val="center"/>
          </w:tcPr>
          <w:p>
            <w:pPr>
              <w:spacing w:line="276" w:lineRule="auto" w:before="0" w:after="0"/>
            </w:pPr>
            <w:r/>
            <w:r>
              <w:rPr>
                <w:rFonts w:ascii="Figtree" w:hAnsi="Figtree"/>
                <w:b w:val="0"/>
                <w:i w:val="0"/>
                <w:sz w:val="20"/>
              </w:rPr>
              <w:t>EU regulatory framework, MiCA/MiFID II alignment</w:t>
            </w:r>
          </w:p>
        </w:tc>
      </w:tr>
      <w:tr>
        <w:trPr>
          <w:trHeight w:val="425" w:hRule="atLeast"/>
        </w:trPr>
        <w:tc>
          <w:tcPr>
            <w:tcW w:type="dxa" w:w="1949"/>
            <w:vAlign w:val="center"/>
          </w:tcPr>
          <w:p>
            <w:pPr>
              <w:spacing w:line="276" w:lineRule="auto" w:before="0" w:after="0"/>
            </w:pPr>
            <w:r/>
            <w:r>
              <w:rPr>
                <w:rFonts w:ascii="Figtree" w:hAnsi="Figtree"/>
                <w:b w:val="0"/>
                <w:i w:val="0"/>
                <w:sz w:val="20"/>
              </w:rPr>
              <w:t>BNP Paribas</w:t>
            </w:r>
          </w:p>
        </w:tc>
        <w:tc>
          <w:tcPr>
            <w:tcW w:type="dxa" w:w="1949"/>
            <w:vAlign w:val="center"/>
          </w:tcPr>
          <w:p>
            <w:pPr>
              <w:spacing w:line="276" w:lineRule="auto" w:before="0" w:after="0"/>
            </w:pPr>
            <w:r/>
            <w:r>
              <w:rPr>
                <w:rFonts w:ascii="Figtree" w:hAnsi="Figtree"/>
                <w:b w:val="0"/>
                <w:i w:val="0"/>
                <w:sz w:val="20"/>
              </w:rPr>
              <w:t>France</w:t>
            </w:r>
          </w:p>
        </w:tc>
        <w:tc>
          <w:tcPr>
            <w:tcW w:type="dxa" w:w="1949"/>
            <w:vAlign w:val="center"/>
          </w:tcPr>
          <w:p>
            <w:pPr>
              <w:spacing w:line="276" w:lineRule="auto" w:before="0" w:after="0"/>
            </w:pPr>
            <w:r/>
            <w:r>
              <w:rPr>
                <w:rFonts w:ascii="Figtree" w:hAnsi="Figtree"/>
                <w:b w:val="0"/>
                <w:i w:val="0"/>
                <w:sz w:val="20"/>
              </w:rPr>
              <w:t>Tokenized funds</w:t>
            </w:r>
          </w:p>
        </w:tc>
        <w:tc>
          <w:tcPr>
            <w:tcW w:type="dxa" w:w="1949"/>
            <w:vAlign w:val="center"/>
          </w:tcPr>
          <w:p>
            <w:pPr>
              <w:spacing w:line="276" w:lineRule="auto" w:before="0" w:after="0"/>
            </w:pPr>
            <w:r/>
            <w:r>
              <w:rPr>
                <w:rFonts w:ascii="Figtree" w:hAnsi="Figtree"/>
                <w:b w:val="0"/>
                <w:i w:val="0"/>
                <w:sz w:val="20"/>
              </w:rPr>
              <w:t>Large-scale fund distribution</w:t>
            </w:r>
          </w:p>
        </w:tc>
        <w:tc>
          <w:tcPr>
            <w:tcW w:type="dxa" w:w="1949"/>
            <w:vAlign w:val="center"/>
          </w:tcPr>
          <w:p>
            <w:pPr>
              <w:spacing w:line="276" w:lineRule="auto" w:before="0" w:after="0"/>
            </w:pPr>
            <w:r/>
            <w:r>
              <w:rPr>
                <w:rFonts w:ascii="Figtree" w:hAnsi="Figtree"/>
                <w:b w:val="0"/>
                <w:i w:val="0"/>
                <w:sz w:val="20"/>
              </w:rPr>
              <w:t>Multi-jurisdiction fund tokenization</w:t>
            </w:r>
          </w:p>
        </w:tc>
      </w:tr>
    </w:tbl>
    <w:p>
      <w:pPr>
        <w:spacing w:before="0" w:after="0" w:line="120" w:lineRule="exact"/>
      </w:pPr>
    </w:p>
    <w:p>
      <w:pPr>
        <w:pStyle w:val="H3"/>
        <w:numPr>
          <w:ilvl w:val="2"/>
          <w:numId w:val="1"/>
        </w:numPr>
      </w:pPr>
      <w:r>
        <w:t>9.2 Case Studies</w:t>
      </w:r>
    </w:p>
    <w:p>
      <w:r>
        <w:rPr>
          <w:rFonts w:ascii="Figtree" w:hAnsi="Figtree"/>
          <w:b/>
          <w:i w:val="0"/>
          <w:sz w:val="22"/>
        </w:rPr>
        <w:t>Central Bank of UAE — Digital Dirham:</w:t>
      </w:r>
    </w:p>
    <w:p>
      <w:r>
        <w:rPr>
          <w:rFonts w:ascii="Figtree" w:hAnsi="Figtree"/>
          <w:b w:val="0"/>
          <w:i w:val="0"/>
          <w:sz w:val="22"/>
        </w:rPr>
        <w:t>The Central Bank of UAE required infrastructure that preserved central bank policy authority while enabling governed digital currency operations. DALP was deployed on a permissioned network within CBUAE infrastructure. The GOVERNANCE_ROLE was assigned to CBUAE wallet addresses, ensuring that no configuration change could occur without central bank authorization. The programme demonstrated the exact governance authority model the Bank of England requires: central bank retains policy authority; platform provides governed, auditable execution.</w:t>
      </w:r>
    </w:p>
    <w:p>
      <w:r>
        <w:rPr>
          <w:rFonts w:ascii="Figtree" w:hAnsi="Figtree"/>
          <w:b/>
          <w:i w:val="0"/>
          <w:sz w:val="22"/>
        </w:rPr>
        <w:t>Clearstream — Tokenized Collateral:</w:t>
      </w:r>
    </w:p>
    <w:p>
      <w:r>
        <w:rPr>
          <w:rFonts w:ascii="Figtree" w:hAnsi="Figtree"/>
          <w:b w:val="0"/>
          <w:i w:val="0"/>
          <w:sz w:val="22"/>
        </w:rPr>
        <w:t>Clearstream required a platform that could integrate with existing custody infrastructure, valuation services, and settlement systems while providing on-chain compliance enforcement and full CSDR/DORA-aligned auditability. DALP's XvP addon provided atomic settlement coordination. The integration architecture demonstrated DALP's capability to operate within existing FMI control estates without wholesale replacement. This directly parallels the Bank's requirement for integration with RTGS and supervisory reporting systems.</w:t>
      </w:r>
    </w:p>
    <w:p>
      <w:r>
        <w:rPr>
          <w:rFonts w:ascii="Figtree" w:hAnsi="Figtree"/>
          <w:b/>
          <w:i w:val="0"/>
          <w:sz w:val="22"/>
        </w:rPr>
        <w:t>National Bank of Egypt:</w:t>
      </w:r>
    </w:p>
    <w:p>
      <w:r>
        <w:rPr>
          <w:rFonts w:ascii="Figtree" w:hAnsi="Figtree"/>
          <w:b w:val="0"/>
          <w:i w:val="0"/>
          <w:sz w:val="22"/>
        </w:rPr>
        <w:t>National-scale deployment with multi-product support, central bank oversight requirements, and evidence retention for supervisory access. The programme demonstrated operational resilience at sovereign scale and the ability to satisfy central bank audit and governance requirements. Relevant to the Bank's need for a platform that survives institutional oversight scrutiny.</w:t>
      </w:r>
    </w:p>
    <w:p>
      <w:r>
        <w:br w:type="page"/>
      </w:r>
    </w:p>
    <w:p>
      <w:pPr>
        <w:pStyle w:val="H2"/>
        <w:numPr>
          <w:ilvl w:val="1"/>
          <w:numId w:val="1"/>
        </w:numPr>
      </w:pPr>
      <w:r>
        <w:t>10. Next Steps</w:t>
      </w:r>
    </w:p>
    <w:p>
      <w:r>
        <w:rPr>
          <w:rFonts w:ascii="Figtree" w:hAnsi="Figtree"/>
          <w:b w:val="0"/>
          <w:i w:val="0"/>
          <w:sz w:val="22"/>
        </w:rPr>
        <w:t>SettleMint recommends the following path from this commercial proposal to contract execution: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1"/>
        <w:gridCol w:w="2963"/>
        <w:gridCol w:w="2723"/>
        <w:gridCol w:w="1561"/>
        <w:gridCol w:w="70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Output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Indicative Timing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Commercial and technical Q&amp;A</w:t>
            </w:r>
          </w:p>
        </w:tc>
        <w:tc>
          <w:tcPr>
            <w:tcW w:type="dxa" w:w="1949"/>
            <w:vAlign w:val="center"/>
          </w:tcPr>
          <w:p>
            <w:pPr>
              <w:spacing w:line="276" w:lineRule="auto" w:before="0" w:after="0"/>
            </w:pPr>
            <w:r/>
            <w:r>
              <w:rPr>
                <w:rFonts w:ascii="Figtree" w:hAnsi="Figtree"/>
                <w:b w:val="0"/>
                <w:i w:val="0"/>
                <w:sz w:val="20"/>
              </w:rPr>
              <w:t>Address clarification questions from Bank evaluation team</w:t>
            </w:r>
          </w:p>
        </w:tc>
        <w:tc>
          <w:tcPr>
            <w:tcW w:type="dxa" w:w="1949"/>
            <w:vAlign w:val="center"/>
          </w:tcPr>
          <w:p>
            <w:pPr>
              <w:spacing w:line="276" w:lineRule="auto" w:before="0" w:after="0"/>
            </w:pPr>
            <w:r/>
            <w:r>
              <w:rPr>
                <w:rFonts w:ascii="Figtree" w:hAnsi="Figtree"/>
                <w:b w:val="0"/>
                <w:i w:val="0"/>
                <w:sz w:val="20"/>
              </w:rPr>
              <w:t>Written responses to all questions</w:t>
            </w:r>
          </w:p>
        </w:tc>
        <w:tc>
          <w:tcPr>
            <w:tcW w:type="dxa" w:w="1949"/>
            <w:vAlign w:val="center"/>
          </w:tcPr>
          <w:p>
            <w:pPr>
              <w:spacing w:line="276" w:lineRule="auto" w:before="0" w:after="0"/>
            </w:pPr>
            <w:r/>
            <w:r>
              <w:rPr>
                <w:rFonts w:ascii="Figtree" w:hAnsi="Figtree"/>
                <w:b w:val="0"/>
                <w:i w:val="0"/>
                <w:sz w:val="20"/>
              </w:rPr>
              <w:t>Within 2 weeks of proposal submission</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Scoping workshop (1-2 days)</w:t>
            </w:r>
          </w:p>
        </w:tc>
        <w:tc>
          <w:tcPr>
            <w:tcW w:type="dxa" w:w="1949"/>
            <w:vAlign w:val="center"/>
          </w:tcPr>
          <w:p>
            <w:pPr>
              <w:spacing w:line="276" w:lineRule="auto" w:before="0" w:after="0"/>
            </w:pPr>
            <w:r/>
            <w:r>
              <w:rPr>
                <w:rFonts w:ascii="Figtree" w:hAnsi="Figtree"/>
                <w:b w:val="0"/>
                <w:i w:val="0"/>
                <w:sz w:val="20"/>
              </w:rPr>
              <w:t>Validate deployment scope, integration requirements, governance model</w:t>
            </w:r>
          </w:p>
        </w:tc>
        <w:tc>
          <w:tcPr>
            <w:tcW w:type="dxa" w:w="1949"/>
            <w:vAlign w:val="center"/>
          </w:tcPr>
          <w:p>
            <w:pPr>
              <w:spacing w:line="276" w:lineRule="auto" w:before="0" w:after="0"/>
            </w:pPr>
            <w:r/>
            <w:r>
              <w:rPr>
                <w:rFonts w:ascii="Figtree" w:hAnsi="Figtree"/>
                <w:b w:val="0"/>
                <w:i w:val="0"/>
                <w:sz w:val="20"/>
              </w:rPr>
              <w:t>Refined scope basis for firm pricing</w:t>
            </w:r>
          </w:p>
        </w:tc>
        <w:tc>
          <w:tcPr>
            <w:tcW w:type="dxa" w:w="1949"/>
            <w:vAlign w:val="center"/>
          </w:tcPr>
          <w:p>
            <w:pPr>
              <w:spacing w:line="276" w:lineRule="auto" w:before="0" w:after="0"/>
            </w:pPr>
            <w:r/>
            <w:r>
              <w:rPr>
                <w:rFonts w:ascii="Figtree" w:hAnsi="Figtree"/>
                <w:b w:val="0"/>
                <w:i w:val="0"/>
                <w:sz w:val="20"/>
              </w:rPr>
              <w:t>Week 3-4 post-proposal</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Due diligence session</w:t>
            </w:r>
          </w:p>
        </w:tc>
        <w:tc>
          <w:tcPr>
            <w:tcW w:type="dxa" w:w="1949"/>
            <w:vAlign w:val="center"/>
          </w:tcPr>
          <w:p>
            <w:pPr>
              <w:spacing w:line="276" w:lineRule="auto" w:before="0" w:after="0"/>
            </w:pPr>
            <w:r/>
            <w:r>
              <w:rPr>
                <w:rFonts w:ascii="Figtree" w:hAnsi="Figtree"/>
                <w:b w:val="0"/>
                <w:i w:val="0"/>
                <w:sz w:val="20"/>
              </w:rPr>
              <w:t>Security review, reference calls, certification review</w:t>
            </w:r>
          </w:p>
        </w:tc>
        <w:tc>
          <w:tcPr>
            <w:tcW w:type="dxa" w:w="1949"/>
            <w:vAlign w:val="center"/>
          </w:tcPr>
          <w:p>
            <w:pPr>
              <w:spacing w:line="276" w:lineRule="auto" w:before="0" w:after="0"/>
            </w:pPr>
            <w:r/>
            <w:r>
              <w:rPr>
                <w:rFonts w:ascii="Figtree" w:hAnsi="Figtree"/>
                <w:b w:val="0"/>
                <w:i w:val="0"/>
                <w:sz w:val="20"/>
              </w:rPr>
              <w:t>SettleMint due diligence package</w:t>
            </w:r>
          </w:p>
        </w:tc>
        <w:tc>
          <w:tcPr>
            <w:tcW w:type="dxa" w:w="1949"/>
            <w:vAlign w:val="center"/>
          </w:tcPr>
          <w:p>
            <w:pPr>
              <w:spacing w:line="276" w:lineRule="auto" w:before="0" w:after="0"/>
            </w:pPr>
            <w:r/>
            <w:r>
              <w:rPr>
                <w:rFonts w:ascii="Figtree" w:hAnsi="Figtree"/>
                <w:b w:val="0"/>
                <w:i w:val="0"/>
                <w:sz w:val="20"/>
              </w:rPr>
              <w:t>Week 4-6 post-proposal</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Firm commercial proposal</w:t>
            </w:r>
          </w:p>
        </w:tc>
        <w:tc>
          <w:tcPr>
            <w:tcW w:type="dxa" w:w="1949"/>
            <w:vAlign w:val="center"/>
          </w:tcPr>
          <w:p>
            <w:pPr>
              <w:spacing w:line="276" w:lineRule="auto" w:before="0" w:after="0"/>
            </w:pPr>
            <w:r/>
            <w:r>
              <w:rPr>
                <w:rFonts w:ascii="Figtree" w:hAnsi="Figtree"/>
                <w:b w:val="0"/>
                <w:i w:val="0"/>
                <w:sz w:val="20"/>
              </w:rPr>
              <w:t>Client-specific pricing based on validated scope</w:t>
            </w:r>
          </w:p>
        </w:tc>
        <w:tc>
          <w:tcPr>
            <w:tcW w:type="dxa" w:w="1949"/>
            <w:vAlign w:val="center"/>
          </w:tcPr>
          <w:p>
            <w:pPr>
              <w:spacing w:line="276" w:lineRule="auto" w:before="0" w:after="0"/>
            </w:pPr>
            <w:r/>
            <w:r>
              <w:rPr>
                <w:rFonts w:ascii="Figtree" w:hAnsi="Figtree"/>
                <w:b w:val="0"/>
                <w:i w:val="0"/>
                <w:sz w:val="20"/>
              </w:rPr>
              <w:t>Fixed-price implementation quote, confirmed license and support fees</w:t>
            </w:r>
          </w:p>
        </w:tc>
        <w:tc>
          <w:tcPr>
            <w:tcW w:type="dxa" w:w="1949"/>
            <w:vAlign w:val="center"/>
          </w:tcPr>
          <w:p>
            <w:pPr>
              <w:spacing w:line="276" w:lineRule="auto" w:before="0" w:after="0"/>
            </w:pPr>
            <w:r/>
            <w:r>
              <w:rPr>
                <w:rFonts w:ascii="Figtree" w:hAnsi="Figtree"/>
                <w:b w:val="0"/>
                <w:i w:val="0"/>
                <w:sz w:val="20"/>
              </w:rPr>
              <w:t>Week 5-7 post-proposal</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Proof of Concept (optional)</w:t>
            </w:r>
          </w:p>
        </w:tc>
        <w:tc>
          <w:tcPr>
            <w:tcW w:type="dxa" w:w="1949"/>
            <w:vAlign w:val="center"/>
          </w:tcPr>
          <w:p>
            <w:pPr>
              <w:spacing w:line="276" w:lineRule="auto" w:before="0" w:after="0"/>
            </w:pPr>
            <w:r/>
            <w:r>
              <w:rPr>
                <w:rFonts w:ascii="Figtree" w:hAnsi="Figtree"/>
                <w:b w:val="0"/>
                <w:i w:val="0"/>
                <w:sz w:val="20"/>
              </w:rPr>
              <w:t>Sandbox demonstration of wCBDC governance model and compliance enforcement</w:t>
            </w:r>
          </w:p>
        </w:tc>
        <w:tc>
          <w:tcPr>
            <w:tcW w:type="dxa" w:w="1949"/>
            <w:vAlign w:val="center"/>
          </w:tcPr>
          <w:p>
            <w:pPr>
              <w:spacing w:line="276" w:lineRule="auto" w:before="0" w:after="0"/>
            </w:pPr>
            <w:r/>
            <w:r>
              <w:rPr>
                <w:rFonts w:ascii="Figtree" w:hAnsi="Figtree"/>
                <w:b w:val="0"/>
                <w:i w:val="0"/>
                <w:sz w:val="20"/>
              </w:rPr>
              <w:t>Technical confidence for Bank architecture review</w:t>
            </w:r>
          </w:p>
        </w:tc>
        <w:tc>
          <w:tcPr>
            <w:tcW w:type="dxa" w:w="1949"/>
            <w:vAlign w:val="center"/>
          </w:tcPr>
          <w:p>
            <w:pPr>
              <w:spacing w:line="276" w:lineRule="auto" w:before="0" w:after="0"/>
            </w:pPr>
            <w:r/>
            <w:r>
              <w:rPr>
                <w:rFonts w:ascii="Figtree" w:hAnsi="Figtree"/>
                <w:b w:val="0"/>
                <w:i w:val="0"/>
                <w:sz w:val="20"/>
              </w:rPr>
              <w:t>3-4 weeks concurrent with firm proposal</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Contract negotiation</w:t>
            </w:r>
          </w:p>
        </w:tc>
        <w:tc>
          <w:tcPr>
            <w:tcW w:type="dxa" w:w="1949"/>
            <w:vAlign w:val="center"/>
          </w:tcPr>
          <w:p>
            <w:pPr>
              <w:spacing w:line="276" w:lineRule="auto" w:before="0" w:after="0"/>
            </w:pPr>
            <w:r/>
            <w:r>
              <w:rPr>
                <w:rFonts w:ascii="Figtree" w:hAnsi="Figtree"/>
                <w:b w:val="0"/>
                <w:i w:val="0"/>
                <w:sz w:val="20"/>
              </w:rPr>
              <w:t>Legal review of License, Implementation, and Support agreements</w:t>
            </w:r>
          </w:p>
        </w:tc>
        <w:tc>
          <w:tcPr>
            <w:tcW w:type="dxa" w:w="1949"/>
            <w:vAlign w:val="center"/>
          </w:tcPr>
          <w:p>
            <w:pPr>
              <w:spacing w:line="276" w:lineRule="auto" w:before="0" w:after="0"/>
            </w:pPr>
            <w:r/>
            <w:r>
              <w:rPr>
                <w:rFonts w:ascii="Figtree" w:hAnsi="Figtree"/>
                <w:b w:val="0"/>
                <w:i w:val="0"/>
                <w:sz w:val="20"/>
              </w:rPr>
              <w:t>Executed agreements</w:t>
            </w:r>
          </w:p>
        </w:tc>
        <w:tc>
          <w:tcPr>
            <w:tcW w:type="dxa" w:w="1949"/>
            <w:vAlign w:val="center"/>
          </w:tcPr>
          <w:p>
            <w:pPr>
              <w:spacing w:line="276" w:lineRule="auto" w:before="0" w:after="0"/>
            </w:pPr>
            <w:r/>
            <w:r>
              <w:rPr>
                <w:rFonts w:ascii="Figtree" w:hAnsi="Figtree"/>
                <w:b w:val="0"/>
                <w:i w:val="0"/>
                <w:sz w:val="20"/>
              </w:rPr>
              <w:t>Week 8-12 post-proposal</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Programme kickoff</w:t>
            </w:r>
          </w:p>
        </w:tc>
        <w:tc>
          <w:tcPr>
            <w:tcW w:type="dxa" w:w="1949"/>
            <w:vAlign w:val="center"/>
          </w:tcPr>
          <w:p>
            <w:pPr>
              <w:spacing w:line="276" w:lineRule="auto" w:before="0" w:after="0"/>
            </w:pPr>
            <w:r/>
            <w:r>
              <w:rPr>
                <w:rFonts w:ascii="Figtree" w:hAnsi="Figtree"/>
                <w:b w:val="0"/>
                <w:i w:val="0"/>
                <w:sz w:val="20"/>
              </w:rPr>
              <w:t>Phase 1 initiation</w:t>
            </w:r>
          </w:p>
        </w:tc>
        <w:tc>
          <w:tcPr>
            <w:tcW w:type="dxa" w:w="1949"/>
            <w:vAlign w:val="center"/>
          </w:tcPr>
          <w:p>
            <w:pPr>
              <w:spacing w:line="276" w:lineRule="auto" w:before="0" w:after="0"/>
            </w:pPr>
            <w:r/>
            <w:r>
              <w:rPr>
                <w:rFonts w:ascii="Figtree" w:hAnsi="Figtree"/>
                <w:b w:val="0"/>
                <w:i w:val="0"/>
                <w:sz w:val="20"/>
              </w:rPr>
              <w:t>Delivery plan confirmed</w:t>
            </w:r>
          </w:p>
        </w:tc>
        <w:tc>
          <w:tcPr>
            <w:tcW w:type="dxa" w:w="1949"/>
            <w:vAlign w:val="center"/>
          </w:tcPr>
          <w:p>
            <w:pPr>
              <w:spacing w:line="276" w:lineRule="auto" w:before="0" w:after="0"/>
            </w:pPr>
            <w:r/>
            <w:r>
              <w:rPr>
                <w:rFonts w:ascii="Figtree" w:hAnsi="Figtree"/>
                <w:b w:val="0"/>
                <w:i w:val="0"/>
                <w:sz w:val="20"/>
              </w:rPr>
              <w:t>Week 1 post-contract</w:t>
            </w:r>
          </w:p>
        </w:tc>
        <w:tc>
          <w:tcPr>
            <w:tcW w:type="dxa" w:w="1949"/>
            <w:vAlign w:val="center"/>
          </w:tcPr>
          <w:p>
            <w:pPr>
              <w:spacing w:line="276" w:lineRule="auto" w:before="0" w:after="0"/>
            </w:pPr>
            <w:r/>
            <w:r>
              <w:rPr>
                <w:rFonts w:ascii="Figtree" w:hAnsi="Figtree"/>
                <w:b w:val="0"/>
                <w:i w:val="0"/>
                <w:sz w:val="20"/>
              </w:rPr>
              <w:t>Joint</w:t>
            </w:r>
          </w:p>
        </w:tc>
      </w:tr>
    </w:tbl>
    <w:p>
      <w:pPr>
        <w:spacing w:before="0" w:after="0" w:line="120" w:lineRule="exact"/>
      </w:pPr>
    </w:p>
    <w:p>
      <w:r>
        <w:rPr>
          <w:rFonts w:ascii="Figtree" w:hAnsi="Figtree"/>
          <w:b/>
          <w:i w:val="0"/>
          <w:sz w:val="22"/>
        </w:rPr>
        <w:t>Contact:</w:t>
      </w:r>
      <w:r>
        <w:rPr>
          <w:rFonts w:ascii="Figtree" w:hAnsi="Figtree"/>
          <w:b w:val="0"/>
          <w:i w:val="0"/>
          <w:sz w:val="22"/>
        </w:rPr>
        <w:t xml:space="preserve"> To proceed to the next step or to submit clarification questions, contact the SettleMint Digital Assets Programme team at the details provided in the accompanying cover communication.</w:t>
      </w: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Bank of England evaluation purposes only</w:t>
      </w:r>
    </w:p>
    <w:p>
      <w:r>
        <w:rPr>
          <w:rFonts w:ascii="Figtree" w:hAnsi="Figtree"/>
          <w:b w:val="0"/>
          <w:i/>
          <w:sz w:val="22"/>
        </w:rPr>
        <w:t>All pricing figures marked [CLIENT-SPECIFIC] are indicative planning ranges and subject to commercial discussion and scope validation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