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Investment Rationale</w:t>
          </w:r>
          <w:r>
            <w:tab/>
          </w:r>
          <w:r>
            <w:t xml:space="preserve">5</w:t>
          </w:r>
        </w:p>
        <w:p>
          <w:pPr>
            <w:pStyle w:val="TOC3"/>
            <w:tabs>
              <w:tab w:val="right" w:leader="dot" w:pos="9072"/>
            </w:tabs>
          </w:pPr>
          <w:r>
            <w:t xml:space="preserve">2.1 Cost of Current Approach</w:t>
          </w:r>
          <w:r>
            <w:tab/>
          </w:r>
          <w:r>
            <w:t xml:space="preserve">6</w:t>
          </w:r>
        </w:p>
        <w:p>
          <w:pPr>
            <w:pStyle w:val="TOC3"/>
            <w:tabs>
              <w:tab w:val="right" w:leader="dot" w:pos="9072"/>
            </w:tabs>
          </w:pPr>
          <w:r>
            <w:t xml:space="preserve">2.2 Why DALP Changes Economics</w:t>
          </w:r>
          <w:r>
            <w:tab/>
          </w:r>
          <w:r>
            <w:t xml:space="preserve">7</w:t>
          </w:r>
        </w:p>
        <w:p>
          <w:pPr>
            <w:pStyle w:val="TOC3"/>
            <w:tabs>
              <w:tab w:val="right" w:leader="dot" w:pos="9072"/>
            </w:tabs>
          </w:pPr>
          <w:r>
            <w:t xml:space="preserve">2.3 ROI Framework</w:t>
          </w:r>
          <w:r>
            <w:tab/>
          </w:r>
          <w:r>
            <w:t xml:space="preserve">8</w:t>
          </w:r>
        </w:p>
        <w:p>
          <w:pPr>
            <w:pStyle w:val="TOC2"/>
            <w:tabs>
              <w:tab w:val="right" w:leader="dot" w:pos="9072"/>
            </w:tabs>
          </w:pPr>
          <w:r>
            <w:t xml:space="preserve">3. Licensing Model</w:t>
          </w:r>
          <w:r>
            <w:tab/>
          </w:r>
          <w:r>
            <w:t xml:space="preserve">9</w:t>
          </w:r>
        </w:p>
        <w:p>
          <w:pPr>
            <w:pStyle w:val="TOC3"/>
            <w:tabs>
              <w:tab w:val="right" w:leader="dot" w:pos="9072"/>
            </w:tabs>
          </w:pPr>
          <w:r>
            <w:t xml:space="preserve">3.1 Philosophy</w:t>
          </w:r>
          <w:r>
            <w:tab/>
          </w:r>
          <w:r>
            <w:t xml:space="preserve">10</w:t>
          </w:r>
        </w:p>
        <w:p>
          <w:pPr>
            <w:pStyle w:val="TOC3"/>
            <w:tabs>
              <w:tab w:val="right" w:leader="dot" w:pos="9072"/>
            </w:tabs>
          </w:pPr>
          <w:r>
            <w:t xml:space="preserve">3.2 What's Included</w:t>
          </w:r>
          <w:r>
            <w:tab/>
          </w:r>
          <w:r>
            <w:t xml:space="preserve">11</w:t>
          </w:r>
        </w:p>
        <w:p>
          <w:pPr>
            <w:pStyle w:val="TOC3"/>
            <w:tabs>
              <w:tab w:val="right" w:leader="dot" w:pos="9072"/>
            </w:tabs>
          </w:pPr>
          <w:r>
            <w:t xml:space="preserve">3.3 Platform Tiers</w:t>
          </w:r>
          <w:r>
            <w:tab/>
          </w:r>
          <w:r>
            <w:t xml:space="preserve">12</w:t>
          </w:r>
        </w:p>
        <w:p>
          <w:pPr>
            <w:pStyle w:val="TOC2"/>
            <w:tabs>
              <w:tab w:val="right" w:leader="dot" w:pos="9072"/>
            </w:tabs>
          </w:pPr>
          <w:r>
            <w:t xml:space="preserve">4. Deployment Options and Pricing</w:t>
          </w:r>
          <w:r>
            <w:tab/>
          </w:r>
          <w:r>
            <w:t xml:space="preserve">13</w:t>
          </w:r>
        </w:p>
        <w:p>
          <w:pPr>
            <w:pStyle w:val="TOC3"/>
            <w:tabs>
              <w:tab w:val="right" w:leader="dot" w:pos="9072"/>
            </w:tabs>
          </w:pPr>
          <w:r>
            <w:t xml:space="preserve">4.1 Recommended: Private Cloud (Luxembourg/EU Region)</w:t>
          </w:r>
          <w:r>
            <w:tab/>
          </w:r>
          <w:r>
            <w:t xml:space="preserve">14</w:t>
          </w:r>
        </w:p>
        <w:p>
          <w:pPr>
            <w:pStyle w:val="TOC3"/>
            <w:tabs>
              <w:tab w:val="right" w:leader="dot" w:pos="9072"/>
            </w:tabs>
          </w:pPr>
          <w:r>
            <w:t xml:space="preserve">4.2 Cost Drivers</w:t>
          </w:r>
          <w:r>
            <w:tab/>
          </w:r>
          <w:r>
            <w:t xml:space="preserve">15</w:t>
          </w:r>
        </w:p>
        <w:p>
          <w:pPr>
            <w:pStyle w:val="TOC2"/>
            <w:tabs>
              <w:tab w:val="right" w:leader="dot" w:pos="9072"/>
            </w:tabs>
          </w:pPr>
          <w:r>
            <w:t xml:space="preserve">5. Support and SLA Framework</w:t>
          </w:r>
          <w:r>
            <w:tab/>
          </w:r>
          <w:r>
            <w:t xml:space="preserve">16</w:t>
          </w:r>
        </w:p>
        <w:p>
          <w:pPr>
            <w:pStyle w:val="TOC3"/>
            <w:tabs>
              <w:tab w:val="right" w:leader="dot" w:pos="9072"/>
            </w:tabs>
          </w:pPr>
          <w:r>
            <w:t xml:space="preserve">5.1 Recommended: Enterprise Support</w:t>
          </w:r>
          <w:r>
            <w:tab/>
          </w:r>
          <w:r>
            <w:t xml:space="preserve">17</w:t>
          </w:r>
        </w:p>
        <w:p>
          <w:pPr>
            <w:pStyle w:val="TOC3"/>
            <w:tabs>
              <w:tab w:val="right" w:leader="dot" w:pos="9072"/>
            </w:tabs>
          </w:pPr>
          <w:r>
            <w:t xml:space="preserve">5.2 Severity Levels</w:t>
          </w:r>
          <w:r>
            <w:tab/>
          </w:r>
          <w:r>
            <w:t xml:space="preserve">18</w:t>
          </w:r>
        </w:p>
        <w:p>
          <w:pPr>
            <w:pStyle w:val="TOC3"/>
            <w:tabs>
              <w:tab w:val="right" w:leader="dot" w:pos="9072"/>
            </w:tabs>
          </w:pPr>
          <w:r>
            <w:t xml:space="preserve">5.3 Uptime SLA</w:t>
          </w:r>
          <w:r>
            <w:tab/>
          </w:r>
          <w:r>
            <w:t xml:space="preserve">19</w:t>
          </w:r>
        </w:p>
        <w:p>
          <w:pPr>
            <w:pStyle w:val="TOC3"/>
            <w:tabs>
              <w:tab w:val="right" w:leader="dot" w:pos="9072"/>
            </w:tabs>
          </w:pPr>
          <w:r>
            <w:t xml:space="preserve">5.4 DORA ICT Incident Management</w:t>
          </w:r>
          <w:r>
            <w:tab/>
          </w:r>
          <w:r>
            <w:t xml:space="preserve">20</w:t>
          </w:r>
        </w:p>
        <w:p>
          <w:pPr>
            <w:pStyle w:val="TOC2"/>
            <w:tabs>
              <w:tab w:val="right" w:leader="dot" w:pos="9072"/>
            </w:tabs>
          </w:pPr>
          <w:r>
            <w:t xml:space="preserve">6. Implementation Investment</w:t>
          </w:r>
          <w:r>
            <w:tab/>
          </w:r>
          <w:r>
            <w:t xml:space="preserve">21</w:t>
          </w:r>
        </w:p>
        <w:p>
          <w:pPr>
            <w:pStyle w:val="TOC3"/>
            <w:tabs>
              <w:tab w:val="right" w:leader="dot" w:pos="9072"/>
            </w:tabs>
          </w:pPr>
          <w:r>
            <w:t xml:space="preserve">6.1 Phase Summary</w:t>
          </w:r>
          <w:r>
            <w:tab/>
          </w:r>
          <w:r>
            <w:t xml:space="preserve">22</w:t>
          </w:r>
        </w:p>
        <w:p>
          <w:pPr>
            <w:pStyle w:val="TOC3"/>
            <w:tabs>
              <w:tab w:val="right" w:leader="dot" w:pos="9072"/>
            </w:tabs>
          </w:pPr>
          <w:r>
            <w:t xml:space="preserve">6.2 Accelerators</w:t>
          </w:r>
          <w:r>
            <w:tab/>
          </w:r>
          <w:r>
            <w:t xml:space="preserve">23</w:t>
          </w:r>
        </w:p>
        <w:p>
          <w:pPr>
            <w:pStyle w:val="TOC3"/>
            <w:tabs>
              <w:tab w:val="right" w:leader="dot" w:pos="9072"/>
            </w:tabs>
          </w:pPr>
          <w:r>
            <w:t xml:space="preserve">6.3 Training</w:t>
          </w:r>
          <w:r>
            <w:tab/>
          </w:r>
          <w:r>
            <w:t xml:space="preserve">24</w:t>
          </w:r>
        </w:p>
        <w:p>
          <w:pPr>
            <w:pStyle w:val="TOC2"/>
            <w:tabs>
              <w:tab w:val="right" w:leader="dot" w:pos="9072"/>
            </w:tabs>
          </w:pPr>
          <w:r>
            <w:t xml:space="preserve">7. Total Cost of Ownership</w:t>
          </w:r>
          <w:r>
            <w:tab/>
          </w:r>
          <w:r>
            <w:t xml:space="preserve">25</w:t>
          </w:r>
        </w:p>
        <w:p>
          <w:pPr>
            <w:pStyle w:val="TOC3"/>
            <w:tabs>
              <w:tab w:val="right" w:leader="dot" w:pos="9072"/>
            </w:tabs>
          </w:pPr>
          <w:r>
            <w:t xml:space="preserve">7.1 Three-Year TCO</w:t>
          </w:r>
          <w:r>
            <w:tab/>
          </w:r>
          <w:r>
            <w:t xml:space="preserve">26</w:t>
          </w:r>
        </w:p>
        <w:p>
          <w:pPr>
            <w:pStyle w:val="TOC3"/>
            <w:tabs>
              <w:tab w:val="right" w:leader="dot" w:pos="9072"/>
            </w:tabs>
          </w:pPr>
          <w:r>
            <w:t xml:space="preserve">7.2 Five-Year TCO</w:t>
          </w:r>
          <w:r>
            <w:tab/>
          </w:r>
          <w:r>
            <w:t xml:space="preserve">27</w:t>
          </w:r>
        </w:p>
        <w:p>
          <w:pPr>
            <w:pStyle w:val="TOC3"/>
            <w:tabs>
              <w:tab w:val="right" w:leader="dot" w:pos="9072"/>
            </w:tabs>
          </w:pPr>
          <w:r>
            <w:t xml:space="preserve">7.3 DALP vs. Build vs. Multi-Vendor</w:t>
          </w:r>
          <w:r>
            <w:tab/>
          </w:r>
          <w:r>
            <w:t xml:space="preserve">28</w:t>
          </w:r>
        </w:p>
        <w:p>
          <w:pPr>
            <w:pStyle w:val="TOC2"/>
            <w:tabs>
              <w:tab w:val="right" w:leader="dot" w:pos="9072"/>
            </w:tabs>
          </w:pPr>
          <w:r>
            <w:t xml:space="preserve">8. Commercial Terms</w:t>
          </w:r>
          <w:r>
            <w:tab/>
          </w:r>
          <w:r>
            <w:t xml:space="preserve">29</w:t>
          </w:r>
        </w:p>
        <w:p>
          <w:pPr>
            <w:pStyle w:val="TOC3"/>
            <w:tabs>
              <w:tab w:val="right" w:leader="dot" w:pos="9072"/>
            </w:tabs>
          </w:pPr>
          <w:r>
            <w:t xml:space="preserve">8.1 Contract Structure</w:t>
          </w:r>
          <w:r>
            <w:tab/>
          </w:r>
          <w:r>
            <w:t xml:space="preserve">30</w:t>
          </w:r>
        </w:p>
        <w:p>
          <w:pPr>
            <w:pStyle w:val="TOC3"/>
            <w:tabs>
              <w:tab w:val="right" w:leader="dot" w:pos="9072"/>
            </w:tabs>
          </w:pPr>
          <w:r>
            <w:t xml:space="preserve">8.2 Payment Schedule</w:t>
          </w:r>
          <w:r>
            <w:tab/>
          </w:r>
          <w:r>
            <w:t xml:space="preserve">31</w:t>
          </w:r>
        </w:p>
        <w:p>
          <w:pPr>
            <w:pStyle w:val="TOC3"/>
            <w:tabs>
              <w:tab w:val="right" w:leader="dot" w:pos="9072"/>
            </w:tabs>
          </w:pPr>
          <w:r>
            <w:t xml:space="preserve">8.3 Duration and Renewal</w:t>
          </w:r>
          <w:r>
            <w:tab/>
          </w:r>
          <w:r>
            <w:t xml:space="preserve">32</w:t>
          </w:r>
        </w:p>
        <w:p>
          <w:pPr>
            <w:pStyle w:val="TOC3"/>
            <w:tabs>
              <w:tab w:val="right" w:leader="dot" w:pos="9072"/>
            </w:tabs>
          </w:pPr>
          <w:r>
            <w:t xml:space="preserve">8.4 IP and Data</w:t>
          </w:r>
          <w:r>
            <w:tab/>
          </w:r>
          <w:r>
            <w:t xml:space="preserve">33</w:t>
          </w:r>
        </w:p>
        <w:p>
          <w:pPr>
            <w:pStyle w:val="TOC3"/>
            <w:tabs>
              <w:tab w:val="right" w:leader="dot" w:pos="9072"/>
            </w:tabs>
          </w:pPr>
          <w:r>
            <w:t xml:space="preserve">8.5 Exit</w:t>
          </w:r>
          <w:r>
            <w:tab/>
          </w:r>
          <w:r>
            <w:t xml:space="preserve">34</w:t>
          </w:r>
        </w:p>
        <w:p>
          <w:pPr>
            <w:pStyle w:val="TOC2"/>
            <w:tabs>
              <w:tab w:val="right" w:leader="dot" w:pos="9072"/>
            </w:tabs>
          </w:pPr>
          <w:r>
            <w:t xml:space="preserve">9. Reference Clients</w:t>
          </w:r>
          <w:r>
            <w:tab/>
          </w:r>
          <w:r>
            <w:t xml:space="preserve">35</w:t>
          </w:r>
        </w:p>
        <w:p>
          <w:pPr>
            <w:pStyle w:val="TOC2"/>
            <w:tabs>
              <w:tab w:val="right" w:leader="dot" w:pos="9072"/>
            </w:tabs>
          </w:pPr>
          <w:r>
            <w:t xml:space="preserve">10. Next Steps</w:t>
          </w:r>
          <w:r>
            <w:tab/>
          </w:r>
          <w:r>
            <w:t xml:space="preserve">36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Clearstream Banking S.A.</w:t>
      </w:r>
    </w:p>
    <w:p>
      <w:r>
        <w:rPr>
          <w:rFonts w:ascii="Figtree" w:hAnsi="Figtree"/>
          <w:b/>
          <w:i w:val="0"/>
          <w:sz w:val="22"/>
        </w:rPr>
        <w:t>Document Title:</w:t>
      </w:r>
      <w:r>
        <w:rPr>
          <w:rFonts w:ascii="Figtree" w:hAnsi="Figtree"/>
          <w:b w:val="0"/>
          <w:i w:val="0"/>
          <w:sz w:val="22"/>
        </w:rPr>
        <w:t xml:space="preserve"> Commercial Proposal — Tokenized Collateral Management Platform</w:t>
      </w:r>
    </w:p>
    <w:p>
      <w:r>
        <w:rPr>
          <w:rFonts w:ascii="Figtree" w:hAnsi="Figtree"/>
          <w:b/>
          <w:i w:val="0"/>
          <w:sz w:val="22"/>
        </w:rPr>
        <w:t>RFP Reference:</w:t>
      </w:r>
      <w:r>
        <w:rPr>
          <w:rFonts w:ascii="Figtree" w:hAnsi="Figtree"/>
          <w:b w:val="0"/>
          <w:i w:val="0"/>
          <w:sz w:val="22"/>
        </w:rPr>
        <w:t xml:space="preserve"> CLEARSTREAM-RFP-202603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Clearstream's tokenized collateral management programme requires a platform that enforces ICSD-grade eligibility discipline, supports tri-party workflow atomicity, and integrates with existing custody and reporting infrastructure without creating a parallel control silo. The commercial decision is whether to build the compliance engine and settlement orchestration layer internally, assemble it from multiple specialist vendors, or adopt a proven platform that already provides these capabilities in production.</w:t>
      </w:r>
    </w:p>
    <w:p>
      <w:r>
        <w:rPr>
          <w:rFonts w:ascii="Figtree" w:hAnsi="Figtree"/>
          <w:b w:val="0"/>
          <w:i w:val="0"/>
          <w:sz w:val="22"/>
        </w:rPr>
        <w:t>The build path carries the highest risk for Clearstream specifically: the eligibility enforcement logic that DALP provides as configurable on-chain modules would take 18-24 months to build and would not benefit from the production-hardening achieved through deployments at comparable post-trade infrastructure operators. The multi-vendor path creates the reconciliation and audit trail fragmentation that Clearstream's DORA obligations and internal risk standards are specifically designed to prevent.</w:t>
      </w:r>
    </w:p>
    <w:p>
      <w:r>
        <w:rPr>
          <w:rFonts w:ascii="Figtree" w:hAnsi="Figtree"/>
          <w:b w:val="0"/>
          <w:i w:val="0"/>
          <w:sz w:val="22"/>
        </w:rPr>
        <w:t>DALP provides the governed collateral execution layer with on-chain eligibility enforcement, atomic XvP settlement, and real-time position management — already operating in production at market infrastructure operators managing comparable operational complexity.</w:t>
      </w:r>
    </w:p>
    <w:p>
      <w:r>
        <w:rPr>
          <w:rFonts w:ascii="Figtree" w:hAnsi="Figtree"/>
          <w:b/>
          <w:i w:val="0"/>
          <w:sz w:val="22"/>
        </w:rPr>
        <w:t>Recommended commercial profile:</w:t>
      </w:r>
    </w:p>
    <w:p>
      <w:pPr>
        <w:pStyle w:val="ListParagraph"/>
        <w:numPr>
          <w:ilvl w:val="0"/>
          <w:numId w:val="4"/>
        </w:numPr>
      </w:pPr>
      <w:r>
        <w:rPr>
          <w:rFonts w:ascii="Figtree" w:hAnsi="Figtree"/>
          <w:b w:val="0"/>
          <w:i w:val="0"/>
          <w:sz w:val="22"/>
        </w:rPr>
        <w:t>License tier: Enterprise (multiple environments, multi-network, DORA-grade operational model)</w:t>
      </w:r>
    </w:p>
    <w:p>
      <w:pPr>
        <w:pStyle w:val="ListParagraph"/>
        <w:numPr>
          <w:ilvl w:val="0"/>
          <w:numId w:val="4"/>
        </w:numPr>
      </w:pPr>
      <w:r>
        <w:rPr>
          <w:rFonts w:ascii="Figtree" w:hAnsi="Figtree"/>
          <w:b w:val="0"/>
          <w:i w:val="0"/>
          <w:sz w:val="22"/>
        </w:rPr>
        <w:t>Deployment model: Private Cloud (Luxembourg EU region)</w:t>
      </w:r>
    </w:p>
    <w:p>
      <w:pPr>
        <w:pStyle w:val="ListParagraph"/>
        <w:numPr>
          <w:ilvl w:val="0"/>
          <w:numId w:val="4"/>
        </w:numPr>
      </w:pPr>
      <w:r>
        <w:rPr>
          <w:rFonts w:ascii="Figtree" w:hAnsi="Figtree"/>
          <w:b w:val="0"/>
          <w:i w:val="0"/>
          <w:sz w:val="22"/>
        </w:rPr>
        <w:t>Implementation: Fixed-price, 32-week phased delivery</w:t>
      </w:r>
    </w:p>
    <w:p>
      <w:pPr>
        <w:pStyle w:val="ListParagraph"/>
        <w:numPr>
          <w:ilvl w:val="0"/>
          <w:numId w:val="4"/>
        </w:numPr>
      </w:pPr>
      <w:r>
        <w:rPr>
          <w:rFonts w:ascii="Figtree" w:hAnsi="Figtree"/>
          <w:b w:val="0"/>
          <w:i w:val="0"/>
          <w:sz w:val="22"/>
        </w:rPr>
        <w:t>Support tier: Enterprise (24/7, DORA ICT incident classification, dedicated SRE)</w:t>
      </w:r>
    </w:p>
    <w:p>
      <w:r>
        <w:rPr>
          <w:rFonts w:ascii="Figtree" w:hAnsi="Figtree"/>
          <w:b/>
          <w:i w:val="0"/>
          <w:sz w:val="22"/>
        </w:rPr>
        <w:t>Indicative 3-year investment range:</w:t>
      </w:r>
      <w:r>
        <w:rPr>
          <w:rFonts w:ascii="Figtree" w:hAnsi="Figtree"/>
          <w:b w:val="0"/>
          <w:i w:val="0"/>
          <w:sz w:val="22"/>
        </w:rPr>
        <w:t xml:space="preserve"> EUR [CLIENT-SPECIFIC: ~5.5M-9M] total including implementation, annual license, and support. This compares to an estimated build cost of EUR 8-15M+ for equivalent eligibility enforcement and settlement orchestration capability.</w:t>
      </w:r>
    </w:p>
    <w:p>
      <w:r>
        <w:br w:type="page"/>
      </w:r>
    </w:p>
    <w:p>
      <w:pPr>
        <w:pStyle w:val="H2"/>
        <w:numPr>
          <w:ilvl w:val="1"/>
          <w:numId w:val="1"/>
        </w:numPr>
      </w:pPr>
      <w:r>
        <w:t>2. Investment Rationale</w:t>
      </w:r>
    </w:p>
    <w:p>
      <w:pPr>
        <w:pStyle w:val="H3"/>
        <w:numPr>
          <w:ilvl w:val="2"/>
          <w:numId w:val="1"/>
        </w:numPr>
      </w:pPr>
      <w:r>
        <w:t>2.1 Cost of Current Approach</w:t>
      </w:r>
    </w:p>
    <w:p>
      <w:r>
        <w:rPr>
          <w:rFonts w:ascii="Figtree" w:hAnsi="Figtree"/>
          <w:b/>
          <w:i w:val="0"/>
          <w:sz w:val="22"/>
        </w:rPr>
        <w:t>Build path:</w:t>
      </w:r>
      <w:r>
        <w:rPr>
          <w:rFonts w:ascii="Figtree" w:hAnsi="Figtree"/>
          <w:b w:val="0"/>
          <w:i w:val="0"/>
          <w:sz w:val="22"/>
        </w:rPr>
        <w:t xml:space="preserve"> Creating an eligibility engine and settlement orchestration layer from scratch would require: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20"/>
        <w:gridCol w:w="2218"/>
        <w:gridCol w:w="12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Engineering Effort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3249"/>
            <w:vAlign w:val="center"/>
          </w:tcPr>
          <w:p>
            <w:pPr>
              <w:spacing w:line="276" w:lineRule="auto" w:before="0" w:after="0"/>
            </w:pPr>
            <w:r/>
            <w:r>
              <w:rPr>
                <w:rFonts w:ascii="Figtree" w:hAnsi="Figtree"/>
                <w:b w:val="0"/>
                <w:i w:val="0"/>
                <w:sz w:val="20"/>
              </w:rPr>
              <w:t>On-chain eligibility compliance engine</w:t>
            </w:r>
          </w:p>
        </w:tc>
        <w:tc>
          <w:tcPr>
            <w:tcW w:type="dxa" w:w="3249"/>
            <w:vAlign w:val="center"/>
          </w:tcPr>
          <w:p>
            <w:pPr>
              <w:spacing w:line="276" w:lineRule="auto" w:before="0" w:after="0"/>
            </w:pPr>
            <w:r/>
            <w:r>
              <w:rPr>
                <w:rFonts w:ascii="Figtree" w:hAnsi="Figtree"/>
                <w:b w:val="0"/>
                <w:i w:val="0"/>
                <w:sz w:val="20"/>
              </w:rPr>
              <w:t>6-8 FTE, 18 months</w:t>
            </w:r>
          </w:p>
        </w:tc>
        <w:tc>
          <w:tcPr>
            <w:tcW w:type="dxa" w:w="3249"/>
            <w:vAlign w:val="center"/>
          </w:tcPr>
          <w:p>
            <w:pPr>
              <w:spacing w:line="276" w:lineRule="auto" w:before="0" w:after="0"/>
            </w:pPr>
            <w:r/>
            <w:r>
              <w:rPr>
                <w:rFonts w:ascii="Figtree" w:hAnsi="Figtree"/>
                <w:b w:val="0"/>
                <w:i w:val="0"/>
                <w:sz w:val="20"/>
              </w:rPr>
              <w:t>18+ months</w:t>
            </w:r>
          </w:p>
        </w:tc>
      </w:tr>
      <w:tr>
        <w:trPr>
          <w:trHeight w:val="425" w:hRule="atLeast"/>
        </w:trPr>
        <w:tc>
          <w:tcPr>
            <w:tcW w:type="dxa" w:w="3249"/>
            <w:vAlign w:val="center"/>
          </w:tcPr>
          <w:p>
            <w:pPr>
              <w:spacing w:line="276" w:lineRule="auto" w:before="0" w:after="0"/>
            </w:pPr>
            <w:r/>
            <w:r>
              <w:rPr>
                <w:rFonts w:ascii="Figtree" w:hAnsi="Figtree"/>
                <w:b w:val="0"/>
                <w:i w:val="0"/>
                <w:sz w:val="20"/>
              </w:rPr>
              <w:t>Atomic settlement orchestration (XvP equivalent)</w:t>
            </w:r>
          </w:p>
        </w:tc>
        <w:tc>
          <w:tcPr>
            <w:tcW w:type="dxa" w:w="3249"/>
            <w:vAlign w:val="center"/>
          </w:tcPr>
          <w:p>
            <w:pPr>
              <w:spacing w:line="276" w:lineRule="auto" w:before="0" w:after="0"/>
            </w:pPr>
            <w:r/>
            <w:r>
              <w:rPr>
                <w:rFonts w:ascii="Figtree" w:hAnsi="Figtree"/>
                <w:b w:val="0"/>
                <w:i w:val="0"/>
                <w:sz w:val="20"/>
              </w:rPr>
              <w:t>4-5 FTE, 12 months</w:t>
            </w:r>
          </w:p>
        </w:tc>
        <w:tc>
          <w:tcPr>
            <w:tcW w:type="dxa" w:w="3249"/>
            <w:vAlign w:val="center"/>
          </w:tcPr>
          <w:p>
            <w:pPr>
              <w:spacing w:line="276" w:lineRule="auto" w:before="0" w:after="0"/>
            </w:pPr>
            <w:r/>
            <w:r>
              <w:rPr>
                <w:rFonts w:ascii="Figtree" w:hAnsi="Figtree"/>
                <w:b w:val="0"/>
                <w:i w:val="0"/>
                <w:sz w:val="20"/>
              </w:rPr>
              <w:t>12 months</w:t>
            </w:r>
          </w:p>
        </w:tc>
      </w:tr>
      <w:tr>
        <w:trPr>
          <w:trHeight w:val="425" w:hRule="atLeast"/>
        </w:trPr>
        <w:tc>
          <w:tcPr>
            <w:tcW w:type="dxa" w:w="3249"/>
            <w:vAlign w:val="center"/>
          </w:tcPr>
          <w:p>
            <w:pPr>
              <w:spacing w:line="276" w:lineRule="auto" w:before="0" w:after="0"/>
            </w:pPr>
            <w:r/>
            <w:r>
              <w:rPr>
                <w:rFonts w:ascii="Figtree" w:hAnsi="Figtree"/>
                <w:b w:val="0"/>
                <w:i w:val="0"/>
                <w:sz w:val="20"/>
              </w:rPr>
              <w:t>Intraday position management</w:t>
            </w:r>
          </w:p>
        </w:tc>
        <w:tc>
          <w:tcPr>
            <w:tcW w:type="dxa" w:w="3249"/>
            <w:vAlign w:val="center"/>
          </w:tcPr>
          <w:p>
            <w:pPr>
              <w:spacing w:line="276" w:lineRule="auto" w:before="0" w:after="0"/>
            </w:pPr>
            <w:r/>
            <w:r>
              <w:rPr>
                <w:rFonts w:ascii="Figtree" w:hAnsi="Figtree"/>
                <w:b w:val="0"/>
                <w:i w:val="0"/>
                <w:sz w:val="20"/>
              </w:rPr>
              <w:t>3 FTE, 9 months</w:t>
            </w:r>
          </w:p>
        </w:tc>
        <w:tc>
          <w:tcPr>
            <w:tcW w:type="dxa" w:w="3249"/>
            <w:vAlign w:val="center"/>
          </w:tcPr>
          <w:p>
            <w:pPr>
              <w:spacing w:line="276" w:lineRule="auto" w:before="0" w:after="0"/>
            </w:pPr>
            <w:r/>
            <w:r>
              <w:rPr>
                <w:rFonts w:ascii="Figtree" w:hAnsi="Figtree"/>
                <w:b w:val="0"/>
                <w:i w:val="0"/>
                <w:sz w:val="20"/>
              </w:rPr>
              <w:t>9 months</w:t>
            </w:r>
          </w:p>
        </w:tc>
      </w:tr>
      <w:tr>
        <w:trPr>
          <w:trHeight w:val="425" w:hRule="atLeast"/>
        </w:trPr>
        <w:tc>
          <w:tcPr>
            <w:tcW w:type="dxa" w:w="3249"/>
            <w:vAlign w:val="center"/>
          </w:tcPr>
          <w:p>
            <w:pPr>
              <w:spacing w:line="276" w:lineRule="auto" w:before="0" w:after="0"/>
            </w:pPr>
            <w:r/>
            <w:r>
              <w:rPr>
                <w:rFonts w:ascii="Figtree" w:hAnsi="Figtree"/>
                <w:b w:val="0"/>
                <w:i w:val="0"/>
                <w:sz w:val="20"/>
              </w:rPr>
              <w:t>Integration framework (custody, valuation, SFTR)</w:t>
            </w:r>
          </w:p>
        </w:tc>
        <w:tc>
          <w:tcPr>
            <w:tcW w:type="dxa" w:w="3249"/>
            <w:vAlign w:val="center"/>
          </w:tcPr>
          <w:p>
            <w:pPr>
              <w:spacing w:line="276" w:lineRule="auto" w:before="0" w:after="0"/>
            </w:pPr>
            <w:r/>
            <w:r>
              <w:rPr>
                <w:rFonts w:ascii="Figtree" w:hAnsi="Figtree"/>
                <w:b w:val="0"/>
                <w:i w:val="0"/>
                <w:sz w:val="20"/>
              </w:rPr>
              <w:t>4 FTE, 12 months</w:t>
            </w:r>
          </w:p>
        </w:tc>
        <w:tc>
          <w:tcPr>
            <w:tcW w:type="dxa" w:w="3249"/>
            <w:vAlign w:val="center"/>
          </w:tcPr>
          <w:p>
            <w:pPr>
              <w:spacing w:line="276" w:lineRule="auto" w:before="0" w:after="0"/>
            </w:pPr>
            <w:r/>
            <w:r>
              <w:rPr>
                <w:rFonts w:ascii="Figtree" w:hAnsi="Figtree"/>
                <w:b w:val="0"/>
                <w:i w:val="0"/>
                <w:sz w:val="20"/>
              </w:rPr>
              <w:t>12 months</w:t>
            </w:r>
          </w:p>
        </w:tc>
      </w:tr>
      <w:tr>
        <w:trPr>
          <w:trHeight w:val="425" w:hRule="atLeast"/>
        </w:trPr>
        <w:tc>
          <w:tcPr>
            <w:tcW w:type="dxa" w:w="3249"/>
            <w:vAlign w:val="center"/>
          </w:tcPr>
          <w:p>
            <w:pPr>
              <w:spacing w:line="276" w:lineRule="auto" w:before="0" w:after="0"/>
            </w:pPr>
            <w:r/>
            <w:r>
              <w:rPr>
                <w:rFonts w:ascii="Figtree" w:hAnsi="Figtree"/>
                <w:b w:val="0"/>
                <w:i w:val="0"/>
                <w:sz w:val="20"/>
              </w:rPr>
              <w:t>Security hardening, audit, DORA compliance</w:t>
            </w:r>
          </w:p>
        </w:tc>
        <w:tc>
          <w:tcPr>
            <w:tcW w:type="dxa" w:w="3249"/>
            <w:vAlign w:val="center"/>
          </w:tcPr>
          <w:p>
            <w:pPr>
              <w:spacing w:line="276" w:lineRule="auto" w:before="0" w:after="0"/>
            </w:pPr>
            <w:r/>
            <w:r>
              <w:rPr>
                <w:rFonts w:ascii="Figtree" w:hAnsi="Figtree"/>
                <w:b w:val="0"/>
                <w:i w:val="0"/>
                <w:sz w:val="20"/>
              </w:rPr>
              <w:t>2-3 FTE, 9 months</w:t>
            </w:r>
          </w:p>
        </w:tc>
        <w:tc>
          <w:tcPr>
            <w:tcW w:type="dxa" w:w="3249"/>
            <w:vAlign w:val="center"/>
          </w:tcPr>
          <w:p>
            <w:pPr>
              <w:spacing w:line="276" w:lineRule="auto" w:before="0" w:after="0"/>
            </w:pPr>
            <w:r/>
            <w:r>
              <w:rPr>
                <w:rFonts w:ascii="Figtree" w:hAnsi="Figtree"/>
                <w:b w:val="0"/>
                <w:i w:val="0"/>
                <w:sz w:val="20"/>
              </w:rPr>
              <w:t>9 months</w:t>
            </w:r>
          </w:p>
        </w:tc>
      </w:tr>
    </w:tbl>
    <w:p>
      <w:pPr>
        <w:spacing w:before="0" w:after="0" w:line="120" w:lineRule="exact"/>
      </w:pPr>
    </w:p>
    <w:p>
      <w:r>
        <w:rPr>
          <w:rFonts w:ascii="Figtree" w:hAnsi="Figtree"/>
          <w:b w:val="0"/>
          <w:i w:val="0"/>
          <w:sz w:val="22"/>
        </w:rPr>
        <w:t>Estimated build cost: EUR 8-15M+ over 24-36 months. No production validation. Full Clearstream engineering obligation for ongoing maintenance.</w:t>
      </w:r>
    </w:p>
    <w:p>
      <w:r>
        <w:rPr>
          <w:rFonts w:ascii="Figtree" w:hAnsi="Figtree"/>
          <w:b/>
          <w:i w:val="0"/>
          <w:sz w:val="22"/>
        </w:rPr>
        <w:t>Multi-vendor assembly:</w:t>
      </w:r>
      <w:r>
        <w:rPr>
          <w:rFonts w:ascii="Figtree" w:hAnsi="Figtree"/>
          <w:b w:val="0"/>
          <w:i w:val="0"/>
          <w:sz w:val="22"/>
        </w:rPr>
        <w:t xml:space="preserve"> Separating token issuance, compliance enforcement, and settlement coordination across vendors creates:</w:t>
      </w:r>
    </w:p>
    <w:p>
      <w:pPr>
        <w:pStyle w:val="ListParagraph"/>
        <w:numPr>
          <w:ilvl w:val="0"/>
          <w:numId w:val="4"/>
        </w:numPr>
      </w:pPr>
      <w:r>
        <w:rPr>
          <w:rFonts w:ascii="Figtree" w:hAnsi="Figtree"/>
          <w:b w:val="0"/>
          <w:i w:val="0"/>
          <w:sz w:val="22"/>
        </w:rPr>
        <w:t>Inconsistent audit trails (SFTR reconciliation complexity)</w:t>
      </w:r>
    </w:p>
    <w:p>
      <w:pPr>
        <w:pStyle w:val="ListParagraph"/>
        <w:numPr>
          <w:ilvl w:val="0"/>
          <w:numId w:val="4"/>
        </w:numPr>
      </w:pPr>
      <w:r>
        <w:rPr>
          <w:rFonts w:ascii="Figtree" w:hAnsi="Figtree"/>
          <w:b w:val="0"/>
          <w:i w:val="0"/>
          <w:sz w:val="22"/>
        </w:rPr>
        <w:t>Multiple incident owners (DORA incident management fragmentation)</w:t>
      </w:r>
    </w:p>
    <w:p>
      <w:pPr>
        <w:pStyle w:val="ListParagraph"/>
        <w:numPr>
          <w:ilvl w:val="0"/>
          <w:numId w:val="4"/>
        </w:numPr>
      </w:pPr>
      <w:r>
        <w:rPr>
          <w:rFonts w:ascii="Figtree" w:hAnsi="Figtree"/>
          <w:b w:val="0"/>
          <w:i w:val="0"/>
          <w:sz w:val="22"/>
        </w:rPr>
        <w:t>Cross-vendor eligibility rule synchronization risk</w:t>
      </w:r>
    </w:p>
    <w:p>
      <w:pPr>
        <w:pStyle w:val="ListParagraph"/>
        <w:numPr>
          <w:ilvl w:val="0"/>
          <w:numId w:val="4"/>
        </w:numPr>
      </w:pPr>
      <w:r>
        <w:rPr>
          <w:rFonts w:ascii="Figtree" w:hAnsi="Figtree"/>
          <w:b w:val="0"/>
          <w:i w:val="0"/>
          <w:sz w:val="22"/>
        </w:rPr>
        <w:t>Contractual complexity for CSSF supervisory access across vendors</w:t>
      </w:r>
    </w:p>
    <w:p>
      <w:pPr>
        <w:pStyle w:val="H3"/>
        <w:numPr>
          <w:ilvl w:val="2"/>
          <w:numId w:val="1"/>
        </w:numPr>
      </w:pPr>
      <w:r>
        <w:t>2.2 Why DALP Changes Economics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69"/>
        <w:gridCol w:w="2268"/>
        <w:gridCol w:w="46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Without 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With DALP</w:t>
            </w:r>
          </w:p>
        </w:tc>
      </w:tr>
      <w:tr>
        <w:trPr>
          <w:trHeight w:val="425" w:hRule="atLeast"/>
        </w:trPr>
        <w:tc>
          <w:tcPr>
            <w:tcW w:type="dxa" w:w="3249"/>
            <w:vAlign w:val="center"/>
          </w:tcPr>
          <w:p>
            <w:pPr>
              <w:spacing w:line="276" w:lineRule="auto" w:before="0" w:after="0"/>
            </w:pPr>
            <w:r/>
            <w:r>
              <w:rPr>
                <w:rFonts w:ascii="Figtree" w:hAnsi="Figtree"/>
                <w:b w:val="0"/>
                <w:i w:val="0"/>
                <w:sz w:val="20"/>
              </w:rPr>
              <w:t>Eligibility engine</w:t>
            </w:r>
          </w:p>
        </w:tc>
        <w:tc>
          <w:tcPr>
            <w:tcW w:type="dxa" w:w="3249"/>
            <w:vAlign w:val="center"/>
          </w:tcPr>
          <w:p>
            <w:pPr>
              <w:spacing w:line="276" w:lineRule="auto" w:before="0" w:after="0"/>
            </w:pPr>
            <w:r/>
            <w:r>
              <w:rPr>
                <w:rFonts w:ascii="Figtree" w:hAnsi="Figtree"/>
                <w:b w:val="0"/>
                <w:i w:val="0"/>
                <w:sz w:val="20"/>
              </w:rPr>
              <w:t>Custom build, 18 months</w:t>
            </w:r>
          </w:p>
        </w:tc>
        <w:tc>
          <w:tcPr>
            <w:tcW w:type="dxa" w:w="3249"/>
            <w:vAlign w:val="center"/>
          </w:tcPr>
          <w:p>
            <w:pPr>
              <w:spacing w:line="276" w:lineRule="auto" w:before="0" w:after="0"/>
            </w:pPr>
            <w:r/>
            <w:r>
              <w:rPr>
                <w:rFonts w:ascii="Figtree" w:hAnsi="Figtree"/>
                <w:b w:val="0"/>
                <w:i w:val="0"/>
                <w:sz w:val="20"/>
              </w:rPr>
              <w:t>Included: 18 module types, runtime-configurable</w:t>
            </w:r>
          </w:p>
        </w:tc>
      </w:tr>
      <w:tr>
        <w:trPr>
          <w:trHeight w:val="425" w:hRule="atLeast"/>
        </w:trPr>
        <w:tc>
          <w:tcPr>
            <w:tcW w:type="dxa" w:w="3249"/>
            <w:vAlign w:val="center"/>
          </w:tcPr>
          <w:p>
            <w:pPr>
              <w:spacing w:line="276" w:lineRule="auto" w:before="0" w:after="0"/>
            </w:pPr>
            <w:r/>
            <w:r>
              <w:rPr>
                <w:rFonts w:ascii="Figtree" w:hAnsi="Figtree"/>
                <w:b w:val="0"/>
                <w:i w:val="0"/>
                <w:sz w:val="20"/>
              </w:rPr>
              <w:t>Atomic settlement</w:t>
            </w:r>
          </w:p>
        </w:tc>
        <w:tc>
          <w:tcPr>
            <w:tcW w:type="dxa" w:w="3249"/>
            <w:vAlign w:val="center"/>
          </w:tcPr>
          <w:p>
            <w:pPr>
              <w:spacing w:line="276" w:lineRule="auto" w:before="0" w:after="0"/>
            </w:pPr>
            <w:r/>
            <w:r>
              <w:rPr>
                <w:rFonts w:ascii="Figtree" w:hAnsi="Figtree"/>
                <w:b w:val="0"/>
                <w:i w:val="0"/>
                <w:sz w:val="20"/>
              </w:rPr>
              <w:t>Custom XvP build</w:t>
            </w:r>
          </w:p>
        </w:tc>
        <w:tc>
          <w:tcPr>
            <w:tcW w:type="dxa" w:w="3249"/>
            <w:vAlign w:val="center"/>
          </w:tcPr>
          <w:p>
            <w:pPr>
              <w:spacing w:line="276" w:lineRule="auto" w:before="0" w:after="0"/>
            </w:pPr>
            <w:r/>
            <w:r>
              <w:rPr>
                <w:rFonts w:ascii="Figtree" w:hAnsi="Figtree"/>
                <w:b w:val="0"/>
                <w:i w:val="0"/>
                <w:sz w:val="20"/>
              </w:rPr>
              <w:t>Included: XvP addon, production-proven</w:t>
            </w:r>
          </w:p>
        </w:tc>
      </w:tr>
      <w:tr>
        <w:trPr>
          <w:trHeight w:val="425" w:hRule="atLeast"/>
        </w:trPr>
        <w:tc>
          <w:tcPr>
            <w:tcW w:type="dxa" w:w="3249"/>
            <w:vAlign w:val="center"/>
          </w:tcPr>
          <w:p>
            <w:pPr>
              <w:spacing w:line="276" w:lineRule="auto" w:before="0" w:after="0"/>
            </w:pPr>
            <w:r/>
            <w:r>
              <w:rPr>
                <w:rFonts w:ascii="Figtree" w:hAnsi="Figtree"/>
                <w:b w:val="0"/>
                <w:i w:val="0"/>
                <w:sz w:val="20"/>
              </w:rPr>
              <w:t>Intraday positions</w:t>
            </w:r>
          </w:p>
        </w:tc>
        <w:tc>
          <w:tcPr>
            <w:tcW w:type="dxa" w:w="3249"/>
            <w:vAlign w:val="center"/>
          </w:tcPr>
          <w:p>
            <w:pPr>
              <w:spacing w:line="276" w:lineRule="auto" w:before="0" w:after="0"/>
            </w:pPr>
            <w:r/>
            <w:r>
              <w:rPr>
                <w:rFonts w:ascii="Figtree" w:hAnsi="Figtree"/>
                <w:b w:val="0"/>
                <w:i w:val="0"/>
                <w:sz w:val="20"/>
              </w:rPr>
              <w:t>Custom indexing</w:t>
            </w:r>
          </w:p>
        </w:tc>
        <w:tc>
          <w:tcPr>
            <w:tcW w:type="dxa" w:w="3249"/>
            <w:vAlign w:val="center"/>
          </w:tcPr>
          <w:p>
            <w:pPr>
              <w:spacing w:line="276" w:lineRule="auto" w:before="0" w:after="0"/>
            </w:pPr>
            <w:r/>
            <w:r>
              <w:rPr>
                <w:rFonts w:ascii="Figtree" w:hAnsi="Figtree"/>
                <w:b w:val="0"/>
                <w:i w:val="0"/>
                <w:sz w:val="20"/>
              </w:rPr>
              <w:t>Included: Chain Indexer, real-time</w:t>
            </w:r>
          </w:p>
        </w:tc>
      </w:tr>
      <w:tr>
        <w:trPr>
          <w:trHeight w:val="425" w:hRule="atLeast"/>
        </w:trPr>
        <w:tc>
          <w:tcPr>
            <w:tcW w:type="dxa" w:w="3249"/>
            <w:vAlign w:val="center"/>
          </w:tcPr>
          <w:p>
            <w:pPr>
              <w:spacing w:line="276" w:lineRule="auto" w:before="0" w:after="0"/>
            </w:pPr>
            <w:r/>
            <w:r>
              <w:rPr>
                <w:rFonts w:ascii="Figtree" w:hAnsi="Figtree"/>
                <w:b w:val="0"/>
                <w:i w:val="0"/>
                <w:sz w:val="20"/>
              </w:rPr>
              <w:t>SFTR event feed</w:t>
            </w:r>
          </w:p>
        </w:tc>
        <w:tc>
          <w:tcPr>
            <w:tcW w:type="dxa" w:w="3249"/>
            <w:vAlign w:val="center"/>
          </w:tcPr>
          <w:p>
            <w:pPr>
              <w:spacing w:line="276" w:lineRule="auto" w:before="0" w:after="0"/>
            </w:pPr>
            <w:r/>
            <w:r>
              <w:rPr>
                <w:rFonts w:ascii="Figtree" w:hAnsi="Figtree"/>
                <w:b w:val="0"/>
                <w:i w:val="0"/>
                <w:sz w:val="20"/>
              </w:rPr>
              <w:t>Custom event pipeline</w:t>
            </w:r>
          </w:p>
        </w:tc>
        <w:tc>
          <w:tcPr>
            <w:tcW w:type="dxa" w:w="3249"/>
            <w:vAlign w:val="center"/>
          </w:tcPr>
          <w:p>
            <w:pPr>
              <w:spacing w:line="276" w:lineRule="auto" w:before="0" w:after="0"/>
            </w:pPr>
            <w:r/>
            <w:r>
              <w:rPr>
                <w:rFonts w:ascii="Figtree" w:hAnsi="Figtree"/>
                <w:b w:val="0"/>
                <w:i w:val="0"/>
                <w:sz w:val="20"/>
              </w:rPr>
              <w:t>Included: webhook taxonomy</w:t>
            </w:r>
          </w:p>
        </w:tc>
      </w:tr>
      <w:tr>
        <w:trPr>
          <w:trHeight w:val="425" w:hRule="atLeast"/>
        </w:trPr>
        <w:tc>
          <w:tcPr>
            <w:tcW w:type="dxa" w:w="3249"/>
            <w:vAlign w:val="center"/>
          </w:tcPr>
          <w:p>
            <w:pPr>
              <w:spacing w:line="276" w:lineRule="auto" w:before="0" w:after="0"/>
            </w:pPr>
            <w:r/>
            <w:r>
              <w:rPr>
                <w:rFonts w:ascii="Figtree" w:hAnsi="Figtree"/>
                <w:b w:val="0"/>
                <w:i w:val="0"/>
                <w:sz w:val="20"/>
              </w:rPr>
              <w:t>DORA ICT documentation</w:t>
            </w:r>
          </w:p>
        </w:tc>
        <w:tc>
          <w:tcPr>
            <w:tcW w:type="dxa" w:w="3249"/>
            <w:vAlign w:val="center"/>
          </w:tcPr>
          <w:p>
            <w:pPr>
              <w:spacing w:line="276" w:lineRule="auto" w:before="0" w:after="0"/>
            </w:pPr>
            <w:r/>
            <w:r>
              <w:rPr>
                <w:rFonts w:ascii="Figtree" w:hAnsi="Figtree"/>
                <w:b w:val="0"/>
                <w:i w:val="0"/>
                <w:sz w:val="20"/>
              </w:rPr>
              <w:t>Varies</w:t>
            </w:r>
          </w:p>
        </w:tc>
        <w:tc>
          <w:tcPr>
            <w:tcW w:type="dxa" w:w="3249"/>
            <w:vAlign w:val="center"/>
          </w:tcPr>
          <w:p>
            <w:pPr>
              <w:spacing w:line="276" w:lineRule="auto" w:before="0" w:after="0"/>
            </w:pPr>
            <w:r/>
            <w:r>
              <w:rPr>
                <w:rFonts w:ascii="Figtree" w:hAnsi="Figtree"/>
                <w:b w:val="0"/>
                <w:i w:val="0"/>
                <w:sz w:val="20"/>
              </w:rPr>
              <w:t>Included: documented architecture, SBOM</w:t>
            </w:r>
          </w:p>
        </w:tc>
      </w:tr>
    </w:tbl>
    <w:p>
      <w:pPr>
        <w:spacing w:before="0" w:after="0" w:line="120" w:lineRule="exact"/>
      </w:pPr>
    </w:p>
    <w:p>
      <w:pPr>
        <w:pStyle w:val="H3"/>
        <w:numPr>
          <w:ilvl w:val="2"/>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76"/>
        <w:gridCol w:w="589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Quantification Basis</w:t>
            </w:r>
          </w:p>
        </w:tc>
      </w:tr>
      <w:tr>
        <w:trPr>
          <w:trHeight w:val="425" w:hRule="atLeast"/>
        </w:trPr>
        <w:tc>
          <w:tcPr>
            <w:tcW w:type="dxa" w:w="4873"/>
            <w:vAlign w:val="center"/>
          </w:tcPr>
          <w:p>
            <w:pPr>
              <w:spacing w:line="276" w:lineRule="auto" w:before="0" w:after="0"/>
            </w:pPr>
            <w:r/>
            <w:r>
              <w:rPr>
                <w:rFonts w:ascii="Figtree" w:hAnsi="Figtree"/>
                <w:b w:val="0"/>
                <w:i w:val="0"/>
                <w:sz w:val="20"/>
              </w:rPr>
              <w:t>Eligibility engine build avoided</w:t>
            </w:r>
          </w:p>
        </w:tc>
        <w:tc>
          <w:tcPr>
            <w:tcW w:type="dxa" w:w="4873"/>
            <w:vAlign w:val="center"/>
          </w:tcPr>
          <w:p>
            <w:pPr>
              <w:spacing w:line="276" w:lineRule="auto" w:before="0" w:after="0"/>
            </w:pPr>
            <w:r/>
            <w:r>
              <w:rPr>
                <w:rFonts w:ascii="Figtree" w:hAnsi="Figtree"/>
                <w:b w:val="0"/>
                <w:i w:val="0"/>
                <w:sz w:val="20"/>
              </w:rPr>
              <w:t>EUR 4-8M one-time engineering cost</w:t>
            </w:r>
          </w:p>
        </w:tc>
      </w:tr>
      <w:tr>
        <w:trPr>
          <w:trHeight w:val="425" w:hRule="atLeast"/>
        </w:trPr>
        <w:tc>
          <w:tcPr>
            <w:tcW w:type="dxa" w:w="4873"/>
            <w:vAlign w:val="center"/>
          </w:tcPr>
          <w:p>
            <w:pPr>
              <w:spacing w:line="276" w:lineRule="auto" w:before="0" w:after="0"/>
            </w:pPr>
            <w:r/>
            <w:r>
              <w:rPr>
                <w:rFonts w:ascii="Figtree" w:hAnsi="Figtree"/>
                <w:b w:val="0"/>
                <w:i w:val="0"/>
                <w:sz w:val="20"/>
              </w:rPr>
              <w:t>Settlement exception reduction</w:t>
            </w:r>
          </w:p>
        </w:tc>
        <w:tc>
          <w:tcPr>
            <w:tcW w:type="dxa" w:w="4873"/>
            <w:vAlign w:val="center"/>
          </w:tcPr>
          <w:p>
            <w:pPr>
              <w:spacing w:line="276" w:lineRule="auto" w:before="0" w:after="0"/>
            </w:pPr>
            <w:r/>
            <w:r>
              <w:rPr>
                <w:rFonts w:ascii="Figtree" w:hAnsi="Figtree"/>
                <w:b w:val="0"/>
                <w:i w:val="0"/>
                <w:sz w:val="20"/>
              </w:rPr>
              <w:t>Estimated 40-60% reduction in manual exception handling</w:t>
            </w:r>
          </w:p>
        </w:tc>
      </w:tr>
      <w:tr>
        <w:trPr>
          <w:trHeight w:val="425" w:hRule="atLeast"/>
        </w:trPr>
        <w:tc>
          <w:tcPr>
            <w:tcW w:type="dxa" w:w="4873"/>
            <w:vAlign w:val="center"/>
          </w:tcPr>
          <w:p>
            <w:pPr>
              <w:spacing w:line="276" w:lineRule="auto" w:before="0" w:after="0"/>
            </w:pPr>
            <w:r/>
            <w:r>
              <w:rPr>
                <w:rFonts w:ascii="Figtree" w:hAnsi="Figtree"/>
                <w:b w:val="0"/>
                <w:i w:val="0"/>
                <w:sz w:val="20"/>
              </w:rPr>
              <w:t>SFTR reporting automation</w:t>
            </w:r>
          </w:p>
        </w:tc>
        <w:tc>
          <w:tcPr>
            <w:tcW w:type="dxa" w:w="4873"/>
            <w:vAlign w:val="center"/>
          </w:tcPr>
          <w:p>
            <w:pPr>
              <w:spacing w:line="276" w:lineRule="auto" w:before="0" w:after="0"/>
            </w:pPr>
            <w:r/>
            <w:r>
              <w:rPr>
                <w:rFonts w:ascii="Figtree" w:hAnsi="Figtree"/>
                <w:b w:val="0"/>
                <w:i w:val="0"/>
                <w:sz w:val="20"/>
              </w:rPr>
              <w:t>Webhook-based transaction events reduce manual SFTR preparation</w:t>
            </w:r>
          </w:p>
        </w:tc>
      </w:tr>
      <w:tr>
        <w:trPr>
          <w:trHeight w:val="425" w:hRule="atLeast"/>
        </w:trPr>
        <w:tc>
          <w:tcPr>
            <w:tcW w:type="dxa" w:w="4873"/>
            <w:vAlign w:val="center"/>
          </w:tcPr>
          <w:p>
            <w:pPr>
              <w:spacing w:line="276" w:lineRule="auto" w:before="0" w:after="0"/>
            </w:pPr>
            <w:r/>
            <w:r>
              <w:rPr>
                <w:rFonts w:ascii="Figtree" w:hAnsi="Figtree"/>
                <w:b w:val="0"/>
                <w:i w:val="0"/>
                <w:sz w:val="20"/>
              </w:rPr>
              <w:t>DORA compliance overhead</w:t>
            </w:r>
          </w:p>
        </w:tc>
        <w:tc>
          <w:tcPr>
            <w:tcW w:type="dxa" w:w="4873"/>
            <w:vAlign w:val="center"/>
          </w:tcPr>
          <w:p>
            <w:pPr>
              <w:spacing w:line="276" w:lineRule="auto" w:before="0" w:after="0"/>
            </w:pPr>
            <w:r/>
            <w:r>
              <w:rPr>
                <w:rFonts w:ascii="Figtree" w:hAnsi="Figtree"/>
                <w:b w:val="0"/>
                <w:i w:val="0"/>
                <w:sz w:val="20"/>
              </w:rPr>
              <w:t>Pre-documented ICT architecture reduces first-year DORA preparation</w:t>
            </w:r>
          </w:p>
        </w:tc>
      </w:tr>
      <w:tr>
        <w:trPr>
          <w:trHeight w:val="425" w:hRule="atLeast"/>
        </w:trPr>
        <w:tc>
          <w:tcPr>
            <w:tcW w:type="dxa" w:w="4873"/>
            <w:vAlign w:val="center"/>
          </w:tcPr>
          <w:p>
            <w:pPr>
              <w:spacing w:line="276" w:lineRule="auto" w:before="0" w:after="0"/>
            </w:pPr>
            <w:r/>
            <w:r>
              <w:rPr>
                <w:rFonts w:ascii="Figtree" w:hAnsi="Figtree"/>
                <w:b w:val="0"/>
                <w:i w:val="0"/>
                <w:sz w:val="20"/>
              </w:rPr>
              <w:t>Reuse across asset classes</w:t>
            </w:r>
          </w:p>
        </w:tc>
        <w:tc>
          <w:tcPr>
            <w:tcW w:type="dxa" w:w="4873"/>
            <w:vAlign w:val="center"/>
          </w:tcPr>
          <w:p>
            <w:pPr>
              <w:spacing w:line="276" w:lineRule="auto" w:before="0" w:after="0"/>
            </w:pPr>
            <w:r/>
            <w:r>
              <w:rPr>
                <w:rFonts w:ascii="Figtree" w:hAnsi="Figtree"/>
                <w:b w:val="0"/>
                <w:i w:val="0"/>
                <w:sz w:val="20"/>
              </w:rPr>
              <w:t>Same platform supports bonds, equities, fund shares as collateral</w:t>
            </w:r>
          </w:p>
        </w:tc>
      </w:tr>
    </w:tbl>
    <w:p>
      <w:pPr>
        <w:spacing w:before="0" w:after="0" w:line="120" w:lineRule="exact"/>
      </w:pPr>
    </w:p>
    <w:p>
      <w:r>
        <w:br w:type="page"/>
      </w:r>
    </w:p>
    <w:p>
      <w:pPr>
        <w:pStyle w:val="H2"/>
        <w:numPr>
          <w:ilvl w:val="1"/>
          <w:numId w:val="1"/>
        </w:numPr>
      </w:pPr>
      <w:r>
        <w:t>3. Licensing Model</w:t>
      </w:r>
    </w:p>
    <w:p>
      <w:pPr>
        <w:pStyle w:val="H3"/>
        <w:numPr>
          <w:ilvl w:val="2"/>
          <w:numId w:val="1"/>
        </w:numPr>
      </w:pPr>
      <w:r>
        <w:t>3.1 Philosophy</w:t>
      </w:r>
    </w:p>
    <w:p>
      <w:r>
        <w:rPr>
          <w:rFonts w:ascii="Figtree" w:hAnsi="Figtree"/>
          <w:b w:val="0"/>
          <w:i w:val="0"/>
          <w:sz w:val="22"/>
        </w:rPr>
        <w:t>DALP uses a platform license model. Clearstream's eligibility engine evaluates every collateral movement — millions of checks per day across a full ICSD collateral pool. A per-check pricing model would penalize Clearstream for using the platform correctly. The annual subscription covers all eligibility checks, settlement instructions, position updates, and audit events without per-operation charges.</w:t>
      </w:r>
    </w:p>
    <w:p>
      <w:pPr>
        <w:pStyle w:val="H3"/>
        <w:numPr>
          <w:ilvl w:val="2"/>
          <w:numId w:val="1"/>
        </w:numPr>
      </w:pPr>
      <w:r>
        <w:t>3.2 What's Included</w:t>
      </w:r>
    </w:p>
    <w:p>
      <w:r>
        <w:rPr>
          <w:rFonts w:ascii="Figtree" w:hAnsi="Figtree"/>
          <w:b w:val="0"/>
          <w:i w:val="0"/>
          <w:sz w:val="22"/>
        </w:rPr>
        <w:t>Enterprise tier includes: all 5 lifecycle pillars, all 18 compliance module types, XvP addon for atomic settlement, full API surface, Feeds Service for valuation integration, complete observability stack, all platform updates and security patches.</w:t>
      </w:r>
    </w:p>
    <w:p>
      <w:pPr>
        <w:pStyle w:val="H3"/>
        <w:numPr>
          <w:ilvl w:val="2"/>
          <w:numId w:val="1"/>
        </w:numPr>
      </w:pPr>
      <w:r>
        <w:t>3.3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5"/>
        <w:gridCol w:w="2414"/>
        <w:gridCol w:w="2414"/>
        <w:gridCol w:w="2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modules</w:t>
            </w:r>
          </w:p>
        </w:tc>
        <w:tc>
          <w:tcPr>
            <w:tcW w:type="dxa" w:w="2436"/>
            <w:vAlign w:val="center"/>
          </w:tcPr>
          <w:p>
            <w:pPr>
              <w:spacing w:line="276" w:lineRule="auto" w:before="0" w:after="0"/>
            </w:pPr>
            <w:r/>
            <w:r>
              <w:rPr>
                <w:rFonts w:ascii="Figtree" w:hAnsi="Figtree"/>
                <w:b w:val="0"/>
                <w:i w:val="0"/>
                <w:sz w:val="20"/>
              </w:rPr>
              <w:t>All 18</w:t>
            </w:r>
          </w:p>
        </w:tc>
        <w:tc>
          <w:tcPr>
            <w:tcW w:type="dxa" w:w="2436"/>
            <w:vAlign w:val="center"/>
          </w:tcPr>
          <w:p>
            <w:pPr>
              <w:spacing w:line="276" w:lineRule="auto" w:before="0" w:after="0"/>
            </w:pPr>
            <w:r/>
            <w:r>
              <w:rPr>
                <w:rFonts w:ascii="Figtree" w:hAnsi="Figtree"/>
                <w:b w:val="0"/>
                <w:i w:val="0"/>
                <w:sz w:val="20"/>
              </w:rPr>
              <w:t>All 18</w:t>
            </w:r>
          </w:p>
        </w:tc>
        <w:tc>
          <w:tcPr>
            <w:tcW w:type="dxa" w:w="2436"/>
            <w:vAlign w:val="center"/>
          </w:tcPr>
          <w:p>
            <w:pPr>
              <w:spacing w:line="276" w:lineRule="auto" w:before="0" w:after="0"/>
            </w:pPr>
            <w:r/>
            <w:r>
              <w:rPr>
                <w:rFonts w:ascii="Figtree" w:hAnsi="Figtree"/>
                <w:b w:val="0"/>
                <w:i w:val="0"/>
                <w:sz w:val="20"/>
              </w:rPr>
              <w:t>All 18 + custom</w:t>
            </w:r>
          </w:p>
        </w:tc>
      </w:tr>
      <w:tr>
        <w:trPr>
          <w:trHeight w:val="425" w:hRule="atLeast"/>
        </w:trPr>
        <w:tc>
          <w:tcPr>
            <w:tcW w:type="dxa" w:w="2436"/>
            <w:vAlign w:val="center"/>
          </w:tcPr>
          <w:p>
            <w:pPr>
              <w:spacing w:line="276" w:lineRule="auto" w:before="0" w:after="0"/>
            </w:pPr>
            <w:r/>
            <w:r>
              <w:rPr>
                <w:rFonts w:ascii="Figtree" w:hAnsi="Figtree"/>
                <w:b w:val="0"/>
                <w:i w:val="0"/>
                <w:sz w:val="20"/>
              </w:rPr>
              <w:t>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XvP settlement addon</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Feeds service</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Custom</w:t>
            </w:r>
          </w:p>
        </w:tc>
      </w:tr>
      <w:tr>
        <w:trPr>
          <w:trHeight w:val="425" w:hRule="atLeast"/>
        </w:trPr>
        <w:tc>
          <w:tcPr>
            <w:tcW w:type="dxa" w:w="2436"/>
            <w:vAlign w:val="center"/>
          </w:tcPr>
          <w:p>
            <w:pPr>
              <w:spacing w:line="276" w:lineRule="auto" w:before="0" w:after="0"/>
            </w:pPr>
            <w:r/>
            <w:r>
              <w:rPr>
                <w:rFonts w:ascii="Figtree" w:hAnsi="Figtree"/>
                <w:b w:val="0"/>
                <w:i w:val="0"/>
                <w:sz w:val="20"/>
              </w:rPr>
              <w:t>DORA-grade operational docs</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 custom</w:t>
            </w:r>
          </w:p>
        </w:tc>
      </w:tr>
      <w:tr>
        <w:trPr>
          <w:trHeight w:val="425" w:hRule="atLeast"/>
        </w:trPr>
        <w:tc>
          <w:tcPr>
            <w:tcW w:type="dxa" w:w="2436"/>
            <w:vAlign w:val="center"/>
          </w:tcPr>
          <w:p>
            <w:pPr>
              <w:spacing w:line="276" w:lineRule="auto" w:before="0" w:after="0"/>
            </w:pPr>
            <w:r/>
            <w:r>
              <w:rPr>
                <w:rFonts w:ascii="Figtree" w:hAnsi="Figtree"/>
                <w:b w:val="0"/>
                <w:i w:val="0"/>
                <w:sz w:val="20"/>
              </w:rPr>
              <w:t>Support tier</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Premium/Enterprise</w:t>
            </w:r>
          </w:p>
        </w:tc>
        <w:tc>
          <w:tcPr>
            <w:tcW w:type="dxa" w:w="2436"/>
            <w:vAlign w:val="center"/>
          </w:tcPr>
          <w:p>
            <w:pPr>
              <w:spacing w:line="276" w:lineRule="auto" w:before="0" w:after="0"/>
            </w:pPr>
            <w:r/>
            <w:r>
              <w:rPr>
                <w:rFonts w:ascii="Figtree" w:hAnsi="Figtree"/>
                <w:b w:val="0"/>
                <w:i w:val="0"/>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 (indicative)</w:t>
            </w:r>
          </w:p>
        </w:tc>
        <w:tc>
          <w:tcPr>
            <w:tcW w:type="dxa" w:w="2436"/>
            <w:vAlign w:val="center"/>
          </w:tcPr>
          <w:p>
            <w:pPr>
              <w:spacing w:line="276" w:lineRule="auto" w:before="0" w:after="0"/>
            </w:pPr>
            <w:r/>
            <w:r>
              <w:rPr>
                <w:rFonts w:ascii="Figtree" w:hAnsi="Figtree"/>
                <w:b w:val="0"/>
                <w:i w:val="0"/>
                <w:sz w:val="20"/>
              </w:rPr>
              <w:t>EUR [CLIENT-SPECIFIC: ~400K-600K]</w:t>
            </w:r>
          </w:p>
        </w:tc>
        <w:tc>
          <w:tcPr>
            <w:tcW w:type="dxa" w:w="2436"/>
            <w:vAlign w:val="center"/>
          </w:tcPr>
          <w:p>
            <w:pPr>
              <w:spacing w:line="276" w:lineRule="auto" w:before="0" w:after="0"/>
            </w:pPr>
            <w:r/>
            <w:r>
              <w:rPr>
                <w:rFonts w:ascii="Figtree" w:hAnsi="Figtree"/>
                <w:b w:val="0"/>
                <w:i w:val="0"/>
                <w:sz w:val="20"/>
              </w:rPr>
              <w:t>EUR [CLIENT-SPECIFIC: ~700K-1.1M]</w:t>
            </w:r>
          </w:p>
        </w:tc>
        <w:tc>
          <w:tcPr>
            <w:tcW w:type="dxa" w:w="2436"/>
            <w:vAlign w:val="center"/>
          </w:tcPr>
          <w:p>
            <w:pPr>
              <w:spacing w:line="276" w:lineRule="auto" w:before="0" w:after="0"/>
            </w:pPr>
            <w:r/>
            <w:r>
              <w:rPr>
                <w:rFonts w:ascii="Figtree" w:hAnsi="Figtree"/>
                <w:b w:val="0"/>
                <w:i w:val="0"/>
                <w:sz w:val="20"/>
              </w:rPr>
              <w:t>EUR [CLIENT-SPECIFIC: ~1.3M-2M]</w:t>
            </w:r>
          </w:p>
        </w:tc>
      </w:tr>
    </w:tbl>
    <w:p>
      <w:pPr>
        <w:spacing w:before="0" w:after="0" w:line="120" w:lineRule="exact"/>
      </w:pPr>
    </w:p>
    <w:p>
      <w:r>
        <w:rPr>
          <w:rFonts w:ascii="Figtree" w:hAnsi="Figtree"/>
          <w:b/>
          <w:i w:val="0"/>
          <w:sz w:val="22"/>
        </w:rPr>
        <w:t>Recommended: Enterprise.</w:t>
      </w:r>
      <w:r>
        <w:rPr>
          <w:rFonts w:ascii="Figtree" w:hAnsi="Figtree"/>
          <w:b w:val="0"/>
          <w:i w:val="0"/>
          <w:sz w:val="22"/>
        </w:rPr>
        <w:t xml:space="preserve"> Clearstream's operational scale, DORA obligations, and multiple environment requirements align with the Enterprise tier. The Sovereign tier adds custom module development and dedicated strategic engagement, which may be relevant if Clearstream's eligibility schedule complexity exceeds the 18 standard module types.</w:t>
      </w:r>
    </w:p>
    <w:p>
      <w:r>
        <w:br w:type="page"/>
      </w:r>
    </w:p>
    <w:p>
      <w:pPr>
        <w:pStyle w:val="H2"/>
        <w:numPr>
          <w:ilvl w:val="1"/>
          <w:numId w:val="1"/>
        </w:numPr>
      </w:pPr>
      <w:r>
        <w:t>4. Deployment Options and Pricing</w:t>
      </w:r>
    </w:p>
    <w:p>
      <w:pPr>
        <w:pStyle w:val="H3"/>
        <w:numPr>
          <w:ilvl w:val="2"/>
          <w:numId w:val="1"/>
        </w:numPr>
      </w:pPr>
      <w:r>
        <w:t>4.1 Recommended: Private Cloud (Luxembourg/EU Region)</w:t>
      </w:r>
    </w:p>
    <w:p>
      <w:r>
        <w:rPr>
          <w:rFonts w:ascii="Figtree" w:hAnsi="Figtree"/>
          <w:b w:val="0"/>
          <w:i w:val="0"/>
          <w:sz w:val="22"/>
        </w:rPr>
        <w:t>Clearstream manages DALP on its own cloud subscription within EU data residency (AWS eu-west-3 or Azure West Europe). SettleMint provides Helm-based deployment support.</w:t>
      </w:r>
    </w:p>
    <w:p>
      <w:r>
        <w:rPr>
          <w:rFonts w:ascii="Figtree" w:hAnsi="Figtree"/>
          <w:b/>
          <w:i w:val="0"/>
          <w:sz w:val="22"/>
        </w:rPr>
        <w:t>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49"/>
        <w:gridCol w:w="4536"/>
        <w:gridCol w:w="218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 (Enterprise)</w:t>
            </w:r>
          </w:p>
        </w:tc>
        <w:tc>
          <w:tcPr>
            <w:tcW w:type="dxa" w:w="3249"/>
            <w:vAlign w:val="center"/>
          </w:tcPr>
          <w:p>
            <w:pPr>
              <w:spacing w:line="276" w:lineRule="auto" w:before="0" w:after="0"/>
            </w:pPr>
            <w:r/>
            <w:r>
              <w:rPr>
                <w:rFonts w:ascii="Figtree" w:hAnsi="Figtree"/>
                <w:b w:val="0"/>
                <w:i w:val="0"/>
                <w:sz w:val="20"/>
              </w:rPr>
              <w:t>Full capabilities</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Cloud infrastructure</w:t>
            </w:r>
          </w:p>
        </w:tc>
        <w:tc>
          <w:tcPr>
            <w:tcW w:type="dxa" w:w="3249"/>
            <w:vAlign w:val="center"/>
          </w:tcPr>
          <w:p>
            <w:pPr>
              <w:spacing w:line="276" w:lineRule="auto" w:before="0" w:after="0"/>
            </w:pPr>
            <w:r/>
            <w:r>
              <w:rPr>
                <w:rFonts w:ascii="Figtree" w:hAnsi="Figtree"/>
                <w:b w:val="0"/>
                <w:i w:val="0"/>
                <w:sz w:val="20"/>
              </w:rPr>
              <w:t>Kubernetes, PostgreSQL, Redis, Besu nodes, observability</w:t>
            </w:r>
          </w:p>
        </w:tc>
        <w:tc>
          <w:tcPr>
            <w:tcW w:type="dxa" w:w="3249"/>
            <w:vAlign w:val="center"/>
          </w:tcPr>
          <w:p>
            <w:pPr>
              <w:spacing w:line="276" w:lineRule="auto" w:before="0" w:after="0"/>
            </w:pPr>
            <w:r/>
            <w:r>
              <w:rPr>
                <w:rFonts w:ascii="Figtree" w:hAnsi="Figtree"/>
                <w:b w:val="0"/>
                <w:i w:val="0"/>
                <w:sz w:val="20"/>
              </w:rPr>
              <w:t>Monthly (Clearstream-borne)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32-week fixed-price</w:t>
            </w:r>
          </w:p>
        </w:tc>
        <w:tc>
          <w:tcPr>
            <w:tcW w:type="dxa" w:w="3249"/>
            <w:vAlign w:val="center"/>
          </w:tcPr>
          <w:p>
            <w:pPr>
              <w:spacing w:line="276" w:lineRule="auto" w:before="0" w:after="0"/>
            </w:pPr>
            <w:r/>
            <w:r>
              <w:rPr>
                <w:rFonts w:ascii="Figtree" w:hAnsi="Figtree"/>
                <w:b w:val="0"/>
                <w:i w:val="0"/>
                <w:sz w:val="20"/>
              </w:rPr>
              <w:t>One-time</w:t>
            </w:r>
          </w:p>
        </w:tc>
      </w:tr>
      <w:tr>
        <w:trPr>
          <w:trHeight w:val="425" w:hRule="atLeast"/>
        </w:trPr>
        <w:tc>
          <w:tcPr>
            <w:tcW w:type="dxa" w:w="3249"/>
            <w:vAlign w:val="center"/>
          </w:tcPr>
          <w:p>
            <w:pPr>
              <w:spacing w:line="276" w:lineRule="auto" w:before="0" w:after="0"/>
            </w:pPr>
            <w:r/>
            <w:r>
              <w:rPr>
                <w:rFonts w:ascii="Figtree" w:hAnsi="Figtree"/>
                <w:b w:val="0"/>
                <w:i w:val="0"/>
                <w:sz w:val="20"/>
              </w:rPr>
              <w:t>Enterprise support</w:t>
            </w:r>
          </w:p>
        </w:tc>
        <w:tc>
          <w:tcPr>
            <w:tcW w:type="dxa" w:w="3249"/>
            <w:vAlign w:val="center"/>
          </w:tcPr>
          <w:p>
            <w:pPr>
              <w:spacing w:line="276" w:lineRule="auto" w:before="0" w:after="0"/>
            </w:pPr>
            <w:r/>
            <w:r>
              <w:rPr>
                <w:rFonts w:ascii="Figtree" w:hAnsi="Figtree"/>
                <w:b w:val="0"/>
                <w:i w:val="0"/>
                <w:sz w:val="20"/>
              </w:rPr>
              <w:t>24/7 dedicated SRE</w:t>
            </w:r>
          </w:p>
        </w:tc>
        <w:tc>
          <w:tcPr>
            <w:tcW w:type="dxa" w:w="3249"/>
            <w:vAlign w:val="center"/>
          </w:tcPr>
          <w:p>
            <w:pPr>
              <w:spacing w:line="276" w:lineRule="auto" w:before="0" w:after="0"/>
            </w:pPr>
            <w:r/>
            <w:r>
              <w:rPr>
                <w:rFonts w:ascii="Figtree" w:hAnsi="Figtree"/>
                <w:b w:val="0"/>
                <w:i w:val="0"/>
                <w:sz w:val="20"/>
              </w:rPr>
              <w:t>Annual</w:t>
            </w:r>
          </w:p>
        </w:tc>
      </w:tr>
    </w:tbl>
    <w:p>
      <w:pPr>
        <w:spacing w:before="0" w:after="0" w:line="120" w:lineRule="exact"/>
      </w:pPr>
    </w:p>
    <w:p>
      <w:r>
        <w:rPr>
          <w:rFonts w:ascii="Figtree" w:hAnsi="Figtree"/>
          <w:b/>
          <w:i w:val="0"/>
          <w:sz w:val="22"/>
        </w:rPr>
        <w:t>Indicative infrastructure cost (Clearstream-borne):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21"/>
        <w:gridCol w:w="395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 Estimate</w:t>
            </w:r>
          </w:p>
        </w:tc>
      </w:tr>
      <w:tr>
        <w:trPr>
          <w:trHeight w:val="425" w:hRule="atLeast"/>
        </w:trPr>
        <w:tc>
          <w:tcPr>
            <w:tcW w:type="dxa" w:w="4873"/>
            <w:vAlign w:val="center"/>
          </w:tcPr>
          <w:p>
            <w:pPr>
              <w:spacing w:line="276" w:lineRule="auto" w:before="0" w:after="0"/>
            </w:pPr>
            <w:r/>
            <w:r>
              <w:rPr>
                <w:rFonts w:ascii="Figtree" w:hAnsi="Figtree"/>
                <w:b w:val="0"/>
                <w:i w:val="0"/>
                <w:sz w:val="20"/>
              </w:rPr>
              <w:t>Kubernetes cluster (3-AZ EU region)</w:t>
            </w:r>
          </w:p>
        </w:tc>
        <w:tc>
          <w:tcPr>
            <w:tcW w:type="dxa" w:w="4873"/>
            <w:vAlign w:val="center"/>
          </w:tcPr>
          <w:p>
            <w:pPr>
              <w:spacing w:line="276" w:lineRule="auto" w:before="0" w:after="0"/>
            </w:pPr>
            <w:r/>
            <w:r>
              <w:rPr>
                <w:rFonts w:ascii="Figtree" w:hAnsi="Figtree"/>
                <w:b w:val="0"/>
                <w:i w:val="0"/>
                <w:sz w:val="20"/>
              </w:rPr>
              <w:t>EUR 4,000-8,000</w:t>
            </w:r>
          </w:p>
        </w:tc>
      </w:tr>
      <w:tr>
        <w:trPr>
          <w:trHeight w:val="425" w:hRule="atLeast"/>
        </w:trPr>
        <w:tc>
          <w:tcPr>
            <w:tcW w:type="dxa" w:w="4873"/>
            <w:vAlign w:val="center"/>
          </w:tcPr>
          <w:p>
            <w:pPr>
              <w:spacing w:line="276" w:lineRule="auto" w:before="0" w:after="0"/>
            </w:pPr>
            <w:r/>
            <w:r>
              <w:rPr>
                <w:rFonts w:ascii="Figtree" w:hAnsi="Figtree"/>
                <w:b w:val="0"/>
                <w:i w:val="0"/>
                <w:sz w:val="20"/>
              </w:rPr>
              <w:t>PostgreSQL RDS Multi-AZ</w:t>
            </w:r>
          </w:p>
        </w:tc>
        <w:tc>
          <w:tcPr>
            <w:tcW w:type="dxa" w:w="4873"/>
            <w:vAlign w:val="center"/>
          </w:tcPr>
          <w:p>
            <w:pPr>
              <w:spacing w:line="276" w:lineRule="auto" w:before="0" w:after="0"/>
            </w:pPr>
            <w:r/>
            <w:r>
              <w:rPr>
                <w:rFonts w:ascii="Figtree" w:hAnsi="Figtree"/>
                <w:b w:val="0"/>
                <w:i w:val="0"/>
                <w:sz w:val="20"/>
              </w:rPr>
              <w:t>EUR 2,000-4,000</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 nodes (4)</w:t>
            </w:r>
          </w:p>
        </w:tc>
        <w:tc>
          <w:tcPr>
            <w:tcW w:type="dxa" w:w="4873"/>
            <w:vAlign w:val="center"/>
          </w:tcPr>
          <w:p>
            <w:pPr>
              <w:spacing w:line="276" w:lineRule="auto" w:before="0" w:after="0"/>
            </w:pPr>
            <w:r/>
            <w:r>
              <w:rPr>
                <w:rFonts w:ascii="Figtree" w:hAnsi="Figtree"/>
                <w:b w:val="0"/>
                <w:i w:val="0"/>
                <w:sz w:val="20"/>
              </w:rPr>
              <w:t>EUR 2,500-5,000</w:t>
            </w:r>
          </w:p>
        </w:tc>
      </w:tr>
      <w:tr>
        <w:trPr>
          <w:trHeight w:val="425" w:hRule="atLeast"/>
        </w:trPr>
        <w:tc>
          <w:tcPr>
            <w:tcW w:type="dxa" w:w="4873"/>
            <w:vAlign w:val="center"/>
          </w:tcPr>
          <w:p>
            <w:pPr>
              <w:spacing w:line="276" w:lineRule="auto" w:before="0" w:after="0"/>
            </w:pPr>
            <w:r/>
            <w:r>
              <w:rPr>
                <w:rFonts w:ascii="Figtree" w:hAnsi="Figtree"/>
                <w:b w:val="0"/>
                <w:i w:val="0"/>
                <w:sz w:val="20"/>
              </w:rPr>
              <w:t>Redis, object storage, networking</w:t>
            </w:r>
          </w:p>
        </w:tc>
        <w:tc>
          <w:tcPr>
            <w:tcW w:type="dxa" w:w="4873"/>
            <w:vAlign w:val="center"/>
          </w:tcPr>
          <w:p>
            <w:pPr>
              <w:spacing w:line="276" w:lineRule="auto" w:before="0" w:after="0"/>
            </w:pPr>
            <w:r/>
            <w:r>
              <w:rPr>
                <w:rFonts w:ascii="Figtree" w:hAnsi="Figtree"/>
                <w:b w:val="0"/>
                <w:i w:val="0"/>
                <w:sz w:val="20"/>
              </w:rPr>
              <w:t>EUR 1,500-3,000</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w:t>
            </w:r>
          </w:p>
        </w:tc>
        <w:tc>
          <w:tcPr>
            <w:tcW w:type="dxa" w:w="4873"/>
            <w:vAlign w:val="center"/>
          </w:tcPr>
          <w:p>
            <w:pPr>
              <w:spacing w:line="276" w:lineRule="auto" w:before="0" w:after="0"/>
            </w:pPr>
            <w:r/>
            <w:r>
              <w:rPr>
                <w:rFonts w:ascii="Figtree" w:hAnsi="Figtree"/>
                <w:b/>
                <w:i w:val="0"/>
                <w:sz w:val="20"/>
              </w:rPr>
              <w:t>EUR 10,000-20,000/month</w:t>
            </w:r>
          </w:p>
        </w:tc>
      </w:tr>
    </w:tbl>
    <w:p>
      <w:pPr>
        <w:spacing w:before="0" w:after="0" w:line="120" w:lineRule="exact"/>
      </w:pPr>
    </w:p>
    <w:p>
      <w:pPr>
        <w:pStyle w:val="H3"/>
        <w:numPr>
          <w:ilvl w:val="2"/>
          <w:numId w:val="1"/>
        </w:numPr>
      </w:pPr>
      <w:r>
        <w:t>4.2 Cost Drivers</w:t>
      </w:r>
    </w:p>
    <w:p>
      <w:r>
        <w:rPr>
          <w:rFonts w:ascii="Figtree" w:hAnsi="Figtree"/>
          <w:b w:val="0"/>
          <w:i w:val="0"/>
          <w:sz w:val="22"/>
        </w:rPr>
        <w:t>Factors increasing cost: On-premises deployment; HSM on-premises; additional environments for testing; multi-region active-active DR; custom eligibility module development.</w:t>
      </w:r>
    </w:p>
    <w:p>
      <w:r>
        <w:rPr>
          <w:rFonts w:ascii="Figtree" w:hAnsi="Figtree"/>
          <w:b w:val="0"/>
          <w:i w:val="0"/>
          <w:sz w:val="22"/>
        </w:rPr>
        <w:t>Factors reducing cost: Multi-year commitment; Clearstream-managed cloud infrastructure; standard eligibility modules sufficient (no custom development).</w:t>
      </w:r>
    </w:p>
    <w:p>
      <w:r>
        <w:br w:type="page"/>
      </w:r>
    </w:p>
    <w:p>
      <w:pPr>
        <w:pStyle w:val="H2"/>
        <w:numPr>
          <w:ilvl w:val="1"/>
          <w:numId w:val="1"/>
        </w:numPr>
      </w:pPr>
      <w:r>
        <w:t>5. Support and SLA Framework</w:t>
      </w:r>
    </w:p>
    <w:p>
      <w:pPr>
        <w:pStyle w:val="H3"/>
        <w:numPr>
          <w:ilvl w:val="2"/>
          <w:numId w:val="1"/>
        </w:numPr>
      </w:pPr>
      <w:r>
        <w:t>5.1 Recommended: Enterprise Support</w:t>
      </w:r>
    </w:p>
    <w:p>
      <w:r>
        <w:rPr>
          <w:rFonts w:ascii="Figtree" w:hAnsi="Figtree"/>
          <w:b w:val="0"/>
          <w:i w:val="0"/>
          <w:sz w:val="22"/>
        </w:rPr>
        <w:t>Clearstream's DORA obligations and the criticality of intraday collateral management require 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9"/>
        <w:gridCol w:w="1767"/>
        <w:gridCol w:w="1767"/>
        <w:gridCol w:w="282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09:00-18:00 CET</w:t>
            </w:r>
          </w:p>
        </w:tc>
        <w:tc>
          <w:tcPr>
            <w:tcW w:type="dxa" w:w="2436"/>
            <w:vAlign w:val="center"/>
          </w:tcPr>
          <w:p>
            <w:pPr>
              <w:spacing w:line="276" w:lineRule="auto" w:before="0" w:after="0"/>
            </w:pPr>
            <w:r/>
            <w:r>
              <w:rPr>
                <w:rFonts w:ascii="Figtree" w:hAnsi="Figtree"/>
                <w:b w:val="0"/>
                <w:i w:val="0"/>
                <w:sz w:val="20"/>
              </w:rPr>
              <w:t>07:00-22:00 CET</w:t>
            </w:r>
          </w:p>
        </w:tc>
        <w:tc>
          <w:tcPr>
            <w:tcW w:type="dxa" w:w="2436"/>
            <w:vAlign w:val="center"/>
          </w:tcPr>
          <w:p>
            <w:pPr>
              <w:spacing w:line="276" w:lineRule="auto" w:before="0" w:after="0"/>
            </w:pPr>
            <w:r/>
            <w:r>
              <w:rPr>
                <w:rFonts w:ascii="Figtree" w:hAnsi="Figtree"/>
                <w:b w:val="0"/>
                <w:i w:val="0"/>
                <w:sz w:val="20"/>
              </w:rPr>
              <w:t>24/7</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Dedicated SRE</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Designated</w:t>
            </w:r>
          </w:p>
        </w:tc>
        <w:tc>
          <w:tcPr>
            <w:tcW w:type="dxa" w:w="2436"/>
            <w:vAlign w:val="center"/>
          </w:tcPr>
          <w:p>
            <w:pPr>
              <w:spacing w:line="276" w:lineRule="auto" w:before="0" w:after="0"/>
            </w:pPr>
            <w:r/>
            <w:r>
              <w:rPr>
                <w:rFonts w:ascii="Figtree" w:hAnsi="Figtree"/>
                <w:b w:val="0"/>
                <w:i w:val="0"/>
                <w:sz w:val="20"/>
              </w:rPr>
              <w:t>Named</w:t>
            </w:r>
          </w:p>
        </w:tc>
      </w:tr>
      <w:tr>
        <w:trPr>
          <w:trHeight w:val="425" w:hRule="atLeast"/>
        </w:trPr>
        <w:tc>
          <w:tcPr>
            <w:tcW w:type="dxa" w:w="2436"/>
            <w:vAlign w:val="center"/>
          </w:tcPr>
          <w:p>
            <w:pPr>
              <w:spacing w:line="276" w:lineRule="auto" w:before="0" w:after="0"/>
            </w:pPr>
            <w:r/>
            <w:r>
              <w:rPr>
                <w:rFonts w:ascii="Figtree" w:hAnsi="Figtree"/>
                <w:b w:val="0"/>
                <w:i w:val="0"/>
                <w:sz w:val="20"/>
              </w:rPr>
              <w:t>DORA ICT classification</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 DORA-aligned</w:t>
            </w:r>
          </w:p>
        </w:tc>
      </w:tr>
    </w:tbl>
    <w:p>
      <w:pPr>
        <w:spacing w:before="0" w:after="0" w:line="120" w:lineRule="exact"/>
      </w:pPr>
    </w:p>
    <w:p>
      <w:pPr>
        <w:pStyle w:val="H3"/>
        <w:numPr>
          <w:ilvl w:val="2"/>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7"/>
        <w:gridCol w:w="5753"/>
        <w:gridCol w:w="1231"/>
        <w:gridCol w:w="131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Platform down; collateral movements blocked; eligibility engine unavailable</w:t>
            </w:r>
          </w:p>
        </w:tc>
        <w:tc>
          <w:tcPr>
            <w:tcW w:type="dxa" w:w="2436"/>
            <w:vAlign w:val="center"/>
          </w:tcPr>
          <w:p>
            <w:pPr>
              <w:spacing w:line="276" w:lineRule="auto" w:before="0" w:after="0"/>
            </w:pPr>
            <w:r/>
            <w:r>
              <w:rPr>
                <w:rFonts w:ascii="Figtree" w:hAnsi="Figtree"/>
                <w:b w:val="0"/>
                <w:i w:val="0"/>
                <w:sz w:val="20"/>
              </w:rPr>
              <w:t>15 min</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Major function impaired; workaround available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 function impaired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General inquiry</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cycle</w:t>
            </w:r>
          </w:p>
        </w:tc>
      </w:tr>
    </w:tbl>
    <w:p>
      <w:pPr>
        <w:spacing w:before="0" w:after="0" w:line="120" w:lineRule="exact"/>
      </w:pPr>
    </w:p>
    <w:p>
      <w:pPr>
        <w:pStyle w:val="H3"/>
        <w:numPr>
          <w:ilvl w:val="2"/>
          <w:numId w:val="1"/>
        </w:numPr>
      </w:pPr>
      <w:r>
        <w:t>5.3 Uptime SLA</w:t>
      </w:r>
    </w:p>
    <w:p>
      <w:r>
        <w:rPr>
          <w:rFonts w:ascii="Figtree" w:hAnsi="Figtree"/>
          <w:b w:val="0"/>
          <w:i w:val="0"/>
          <w:sz w:val="22"/>
        </w:rPr>
        <w:t>Enterprise: 99.99% monthly uptime. Maximum 4.38 minutes downtime per month. Measurement from ingress endpoint, excluding planned maintenance with 2-week advance notice.</w:t>
      </w:r>
    </w:p>
    <w:p>
      <w:pPr>
        <w:pStyle w:val="H3"/>
        <w:numPr>
          <w:ilvl w:val="2"/>
          <w:numId w:val="1"/>
        </w:numPr>
      </w:pPr>
      <w:r>
        <w:t>5.4 DORA ICT Incident Management</w:t>
      </w:r>
    </w:p>
    <w:p>
      <w:r>
        <w:rPr>
          <w:rFonts w:ascii="Figtree" w:hAnsi="Figtree"/>
          <w:b w:val="0"/>
          <w:i w:val="0"/>
          <w:sz w:val="22"/>
        </w:rPr>
        <w:t>P1 incidents notified to Clearstream within 4 hours. DORA ICT incident register maintained. Root cause analysis within 5 business days for P1 incidents. Annual TLPT-compatible penetration testing evidence available.</w:t>
      </w:r>
    </w:p>
    <w:p>
      <w:r>
        <w:br w:type="page"/>
      </w:r>
    </w:p>
    <w:p>
      <w:pPr>
        <w:pStyle w:val="H2"/>
        <w:numPr>
          <w:ilvl w:val="1"/>
          <w:numId w:val="1"/>
        </w:numPr>
      </w:pPr>
      <w:r>
        <w:t>6. Implementation Investment</w:t>
      </w:r>
    </w:p>
    <w:p>
      <w:pPr>
        <w:pStyle w:val="H3"/>
        <w:numPr>
          <w:ilvl w:val="2"/>
          <w:numId w:val="1"/>
        </w:numPr>
      </w:pPr>
      <w:r>
        <w:t>6.1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3"/>
        <w:gridCol w:w="761"/>
        <w:gridCol w:w="3679"/>
        <w:gridCol w:w="234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Eligibility module design, integration spec, architecture</w:t>
            </w:r>
          </w:p>
        </w:tc>
        <w:tc>
          <w:tcPr>
            <w:tcW w:type="dxa" w:w="2436"/>
            <w:vAlign w:val="center"/>
          </w:tcPr>
          <w:p>
            <w:pPr>
              <w:spacing w:line="276" w:lineRule="auto" w:before="0" w:after="0"/>
            </w:pPr>
            <w:r/>
            <w:r>
              <w:rPr>
                <w:rFonts w:ascii="Figtree" w:hAnsi="Figtree"/>
                <w:b w:val="0"/>
                <w:i w:val="0"/>
                <w:sz w:val="20"/>
              </w:rPr>
              <w:t>EUR [CLIENT-SPECIFIC: ~150K-250K]</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Environments, Besu network, HSM, observability</w:t>
            </w:r>
          </w:p>
        </w:tc>
        <w:tc>
          <w:tcPr>
            <w:tcW w:type="dxa" w:w="2436"/>
            <w:vAlign w:val="center"/>
          </w:tcPr>
          <w:p>
            <w:pPr>
              <w:spacing w:line="276" w:lineRule="auto" w:before="0" w:after="0"/>
            </w:pPr>
            <w:r/>
            <w:r>
              <w:rPr>
                <w:rFonts w:ascii="Figtree" w:hAnsi="Figtree"/>
                <w:b w:val="0"/>
                <w:i w:val="0"/>
                <w:sz w:val="20"/>
              </w:rPr>
              <w:t>EUR [CLIENT-SPECIFIC: ~200K-350K]</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Asset config, eligibility modules, XvP, feeds, SFTR design</w:t>
            </w:r>
          </w:p>
        </w:tc>
        <w:tc>
          <w:tcPr>
            <w:tcW w:type="dxa" w:w="2436"/>
            <w:vAlign w:val="center"/>
          </w:tcPr>
          <w:p>
            <w:pPr>
              <w:spacing w:line="276" w:lineRule="auto" w:before="0" w:after="0"/>
            </w:pPr>
            <w:r/>
            <w:r>
              <w:rPr>
                <w:rFonts w:ascii="Figtree" w:hAnsi="Figtree"/>
                <w:b w:val="0"/>
                <w:i w:val="0"/>
                <w:sz w:val="20"/>
              </w:rPr>
              <w:t>EUR [CLIENT-SPECIFIC: ~300K-450K]</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and Testing</w:t>
            </w:r>
          </w:p>
        </w:tc>
        <w:tc>
          <w:tcPr>
            <w:tcW w:type="dxa" w:w="2436"/>
            <w:vAlign w:val="center"/>
          </w:tcPr>
          <w:p>
            <w:pPr>
              <w:spacing w:line="276" w:lineRule="auto" w:before="0" w:after="0"/>
            </w:pPr>
            <w:r/>
            <w:r>
              <w:rPr>
                <w:rFonts w:ascii="Figtree" w:hAnsi="Figtree"/>
                <w:b w:val="0"/>
                <w:i w:val="0"/>
                <w:sz w:val="20"/>
              </w:rPr>
              <w:t>11 weeks</w:t>
            </w:r>
          </w:p>
        </w:tc>
        <w:tc>
          <w:tcPr>
            <w:tcW w:type="dxa" w:w="2436"/>
            <w:vAlign w:val="center"/>
          </w:tcPr>
          <w:p>
            <w:pPr>
              <w:spacing w:line="276" w:lineRule="auto" w:before="0" w:after="0"/>
            </w:pPr>
            <w:r/>
            <w:r>
              <w:rPr>
                <w:rFonts w:ascii="Figtree" w:hAnsi="Figtree"/>
                <w:b w:val="0"/>
                <w:i w:val="0"/>
                <w:sz w:val="20"/>
              </w:rPr>
              <w:t>Custody/valuation/SFTR integration; all testing</w:t>
            </w:r>
          </w:p>
        </w:tc>
        <w:tc>
          <w:tcPr>
            <w:tcW w:type="dxa" w:w="2436"/>
            <w:vAlign w:val="center"/>
          </w:tcPr>
          <w:p>
            <w:pPr>
              <w:spacing w:line="276" w:lineRule="auto" w:before="0" w:after="0"/>
            </w:pPr>
            <w:r/>
            <w:r>
              <w:rPr>
                <w:rFonts w:ascii="Figtree" w:hAnsi="Figtree"/>
                <w:b w:val="0"/>
                <w:i w:val="0"/>
                <w:sz w:val="20"/>
              </w:rPr>
              <w:t>EUR [CLIENT-SPECIFIC: ~400K-600K]</w:t>
            </w:r>
          </w:p>
        </w:tc>
      </w:tr>
      <w:tr>
        <w:trPr>
          <w:trHeight w:val="425" w:hRule="atLeast"/>
        </w:trPr>
        <w:tc>
          <w:tcPr>
            <w:tcW w:type="dxa" w:w="2436"/>
            <w:vAlign w:val="center"/>
          </w:tcPr>
          <w:p>
            <w:pPr>
              <w:spacing w:line="276" w:lineRule="auto" w:before="0" w:after="0"/>
            </w:pPr>
            <w:r/>
            <w:r>
              <w:rPr>
                <w:rFonts w:ascii="Figtree" w:hAnsi="Figtree"/>
                <w:b w:val="0"/>
                <w:i w:val="0"/>
                <w:sz w:val="20"/>
              </w:rPr>
              <w:t>Phase 5: Production and Parallel Run</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Production deployment, parallel run reconciliation</w:t>
            </w:r>
          </w:p>
        </w:tc>
        <w:tc>
          <w:tcPr>
            <w:tcW w:type="dxa" w:w="2436"/>
            <w:vAlign w:val="center"/>
          </w:tcPr>
          <w:p>
            <w:pPr>
              <w:spacing w:line="276" w:lineRule="auto" w:before="0" w:after="0"/>
            </w:pPr>
            <w:r/>
            <w:r>
              <w:rPr>
                <w:rFonts w:ascii="Figtree" w:hAnsi="Figtree"/>
                <w:b w:val="0"/>
                <w:i w:val="0"/>
                <w:sz w:val="20"/>
              </w:rPr>
              <w:t>EUR [CLIENT-SPECIFIC: ~150K-250K]</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Hypercare, documentation, training, transition</w:t>
            </w:r>
          </w:p>
        </w:tc>
        <w:tc>
          <w:tcPr>
            <w:tcW w:type="dxa" w:w="2436"/>
            <w:vAlign w:val="center"/>
          </w:tcPr>
          <w:p>
            <w:pPr>
              <w:spacing w:line="276" w:lineRule="auto" w:before="0" w:after="0"/>
            </w:pPr>
            <w:r/>
            <w:r>
              <w:rPr>
                <w:rFonts w:ascii="Figtree" w:hAnsi="Figtree"/>
                <w:b w:val="0"/>
                <w:i w:val="0"/>
                <w:sz w:val="20"/>
              </w:rPr>
              <w:t>EUR [CLIENT-SPECIFIC: ~100K-200K]</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32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EUR [CLIENT-SPECIFIC: ~1.3M-2.1M]</w:t>
            </w:r>
          </w:p>
        </w:tc>
      </w:tr>
    </w:tbl>
    <w:p>
      <w:pPr>
        <w:spacing w:before="0" w:after="0" w:line="120" w:lineRule="exact"/>
      </w:pPr>
    </w:p>
    <w:p>
      <w:pPr>
        <w:pStyle w:val="H3"/>
        <w:numPr>
          <w:ilvl w:val="2"/>
          <w:numId w:val="1"/>
        </w:numPr>
      </w:pPr>
      <w:r>
        <w:t>6.2 Accelerators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56"/>
        <w:gridCol w:w="571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Accelerator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18 pre-built eligibility module types</w:t>
            </w:r>
          </w:p>
        </w:tc>
        <w:tc>
          <w:tcPr>
            <w:tcW w:type="dxa" w:w="4873"/>
            <w:vAlign w:val="center"/>
          </w:tcPr>
          <w:p>
            <w:pPr>
              <w:spacing w:line="276" w:lineRule="auto" w:before="0" w:after="0"/>
            </w:pPr>
            <w:r/>
            <w:r>
              <w:rPr>
                <w:rFonts w:ascii="Figtree" w:hAnsi="Figtree"/>
                <w:b w:val="0"/>
                <w:i w:val="0"/>
                <w:sz w:val="20"/>
              </w:rPr>
              <w:t>No custom compliance code for standard Clearstream eligibility rules</w:t>
            </w:r>
          </w:p>
        </w:tc>
      </w:tr>
      <w:tr>
        <w:trPr>
          <w:trHeight w:val="425" w:hRule="atLeast"/>
        </w:trPr>
        <w:tc>
          <w:tcPr>
            <w:tcW w:type="dxa" w:w="4873"/>
            <w:vAlign w:val="center"/>
          </w:tcPr>
          <w:p>
            <w:pPr>
              <w:spacing w:line="276" w:lineRule="auto" w:before="0" w:after="0"/>
            </w:pPr>
            <w:r/>
            <w:r>
              <w:rPr>
                <w:rFonts w:ascii="Figtree" w:hAnsi="Figtree"/>
                <w:b w:val="0"/>
                <w:i w:val="0"/>
                <w:sz w:val="20"/>
              </w:rPr>
              <w:t>XvP addon included</w:t>
            </w:r>
          </w:p>
        </w:tc>
        <w:tc>
          <w:tcPr>
            <w:tcW w:type="dxa" w:w="4873"/>
            <w:vAlign w:val="center"/>
          </w:tcPr>
          <w:p>
            <w:pPr>
              <w:spacing w:line="276" w:lineRule="auto" w:before="0" w:after="0"/>
            </w:pPr>
            <w:r/>
            <w:r>
              <w:rPr>
                <w:rFonts w:ascii="Figtree" w:hAnsi="Figtree"/>
                <w:b w:val="0"/>
                <w:i w:val="0"/>
                <w:sz w:val="20"/>
              </w:rPr>
              <w:t>No settlement orchestration custom build</w:t>
            </w:r>
          </w:p>
        </w:tc>
      </w:tr>
      <w:tr>
        <w:trPr>
          <w:trHeight w:val="425" w:hRule="atLeast"/>
        </w:trPr>
        <w:tc>
          <w:tcPr>
            <w:tcW w:type="dxa" w:w="4873"/>
            <w:vAlign w:val="center"/>
          </w:tcPr>
          <w:p>
            <w:pPr>
              <w:spacing w:line="276" w:lineRule="auto" w:before="0" w:after="0"/>
            </w:pPr>
            <w:r/>
            <w:r>
              <w:rPr>
                <w:rFonts w:ascii="Figtree" w:hAnsi="Figtree"/>
                <w:b w:val="0"/>
                <w:i w:val="0"/>
                <w:sz w:val="20"/>
              </w:rPr>
              <w:t>Besu deployment patterns</w:t>
            </w:r>
          </w:p>
        </w:tc>
        <w:tc>
          <w:tcPr>
            <w:tcW w:type="dxa" w:w="4873"/>
            <w:vAlign w:val="center"/>
          </w:tcPr>
          <w:p>
            <w:pPr>
              <w:spacing w:line="276" w:lineRule="auto" w:before="0" w:after="0"/>
            </w:pPr>
            <w:r/>
            <w:r>
              <w:rPr>
                <w:rFonts w:ascii="Figtree" w:hAnsi="Figtree"/>
                <w:b w:val="0"/>
                <w:i w:val="0"/>
                <w:sz w:val="20"/>
              </w:rPr>
              <w:t>Permissioned network setup accelerated</w:t>
            </w:r>
          </w:p>
        </w:tc>
      </w:tr>
      <w:tr>
        <w:trPr>
          <w:trHeight w:val="425" w:hRule="atLeast"/>
        </w:trPr>
        <w:tc>
          <w:tcPr>
            <w:tcW w:type="dxa" w:w="4873"/>
            <w:vAlign w:val="center"/>
          </w:tcPr>
          <w:p>
            <w:pPr>
              <w:spacing w:line="276" w:lineRule="auto" w:before="0" w:after="0"/>
            </w:pPr>
            <w:r/>
            <w:r>
              <w:rPr>
                <w:rFonts w:ascii="Figtree" w:hAnsi="Figtree"/>
                <w:b w:val="0"/>
                <w:i w:val="0"/>
                <w:sz w:val="20"/>
              </w:rPr>
              <w:t>SFTR event taxonomy documented</w:t>
            </w:r>
          </w:p>
        </w:tc>
        <w:tc>
          <w:tcPr>
            <w:tcW w:type="dxa" w:w="4873"/>
            <w:vAlign w:val="center"/>
          </w:tcPr>
          <w:p>
            <w:pPr>
              <w:spacing w:line="276" w:lineRule="auto" w:before="0" w:after="0"/>
            </w:pPr>
            <w:r/>
            <w:r>
              <w:rPr>
                <w:rFonts w:ascii="Figtree" w:hAnsi="Figtree"/>
                <w:b w:val="0"/>
                <w:i w:val="0"/>
                <w:sz w:val="20"/>
              </w:rPr>
              <w:t>Reduces SFTR interface design cycle</w:t>
            </w:r>
          </w:p>
        </w:tc>
      </w:tr>
    </w:tbl>
    <w:p>
      <w:pPr>
        <w:spacing w:before="0" w:after="0" w:line="120" w:lineRule="exact"/>
      </w:pPr>
    </w:p>
    <w:p>
      <w:pPr>
        <w:pStyle w:val="H3"/>
        <w:numPr>
          <w:ilvl w:val="2"/>
          <w:numId w:val="1"/>
        </w:numPr>
      </w:pPr>
      <w:r>
        <w:t>6.3 Training</w:t>
      </w:r>
    </w:p>
    <w:p>
      <w:r>
        <w:rPr>
          <w:rFonts w:ascii="Figtree" w:hAnsi="Figtree"/>
          <w:b w:val="0"/>
          <w:i w:val="0"/>
          <w:sz w:val="22"/>
        </w:rPr>
        <w:t>Three tracks included in Phase 6: Administrator (3-4 days), Developer/Integration (4-5 days), Operations (2 days covering collateral workflow operations, position monitoring, dispute resolution).</w:t>
      </w:r>
    </w:p>
    <w:p>
      <w:r>
        <w:br w:type="page"/>
      </w:r>
    </w:p>
    <w:p>
      <w:pPr>
        <w:pStyle w:val="H2"/>
        <w:numPr>
          <w:ilvl w:val="1"/>
          <w:numId w:val="1"/>
        </w:numPr>
      </w:pPr>
      <w:r>
        <w:t>7. Total Cost of Ownership</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07"/>
        <w:gridCol w:w="1587"/>
        <w:gridCol w:w="1587"/>
        <w:gridCol w:w="1587"/>
        <w:gridCol w:w="1587"/>
        <w:gridCol w:w="1814"/>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EUR [CLIENT-SPECIFIC: ~900K]</w:t>
            </w:r>
          </w:p>
        </w:tc>
        <w:tc>
          <w:tcPr>
            <w:tcW w:type="dxa" w:w="1624"/>
            <w:vAlign w:val="center"/>
          </w:tcPr>
          <w:p>
            <w:pPr>
              <w:spacing w:line="276" w:lineRule="auto" w:before="0" w:after="0"/>
            </w:pPr>
            <w:r/>
            <w:r>
              <w:rPr>
                <w:rFonts w:ascii="Figtree" w:hAnsi="Figtree"/>
                <w:b w:val="0"/>
                <w:i w:val="0"/>
                <w:sz w:val="20"/>
              </w:rPr>
              <w:t>EUR [CLIENT-SPECIFIC: ~1.7M]</w:t>
            </w:r>
          </w:p>
        </w:tc>
        <w:tc>
          <w:tcPr>
            <w:tcW w:type="dxa" w:w="1624"/>
            <w:vAlign w:val="center"/>
          </w:tcPr>
          <w:p>
            <w:pPr>
              <w:spacing w:line="276" w:lineRule="auto" w:before="0" w:after="0"/>
            </w:pPr>
            <w:r/>
            <w:r>
              <w:rPr>
                <w:rFonts w:ascii="Figtree" w:hAnsi="Figtree"/>
                <w:b w:val="0"/>
                <w:i w:val="0"/>
                <w:sz w:val="20"/>
              </w:rPr>
              <w:t>EUR [CLIENT-SPECIFIC: ~400K]</w:t>
            </w:r>
          </w:p>
        </w:tc>
        <w:tc>
          <w:tcPr>
            <w:tcW w:type="dxa" w:w="1624"/>
            <w:vAlign w:val="center"/>
          </w:tcPr>
          <w:p>
            <w:pPr>
              <w:spacing w:line="276" w:lineRule="auto" w:before="0" w:after="0"/>
            </w:pPr>
            <w:r/>
            <w:r>
              <w:rPr>
                <w:rFonts w:ascii="Figtree" w:hAnsi="Figtree"/>
                <w:b w:val="0"/>
                <w:i w:val="0"/>
                <w:sz w:val="20"/>
              </w:rPr>
              <w:t>EUR [CLIENT-SPECIFIC: ~200K]</w:t>
            </w:r>
          </w:p>
        </w:tc>
        <w:tc>
          <w:tcPr>
            <w:tcW w:type="dxa" w:w="1624"/>
            <w:vAlign w:val="center"/>
          </w:tcPr>
          <w:p>
            <w:pPr>
              <w:spacing w:line="276" w:lineRule="auto" w:before="0" w:after="0"/>
            </w:pPr>
            <w:r/>
            <w:r>
              <w:rPr>
                <w:rFonts w:ascii="Figtree" w:hAnsi="Figtree"/>
                <w:b w:val="0"/>
                <w:i w:val="0"/>
                <w:sz w:val="20"/>
              </w:rPr>
              <w:t>EUR [CLIENT-SPECIFIC: ~3.2M]</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EUR [CLIENT-SPECIFIC: ~900K]</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~400K]</w:t>
            </w:r>
          </w:p>
        </w:tc>
        <w:tc>
          <w:tcPr>
            <w:tcW w:type="dxa" w:w="1624"/>
            <w:vAlign w:val="center"/>
          </w:tcPr>
          <w:p>
            <w:pPr>
              <w:spacing w:line="276" w:lineRule="auto" w:before="0" w:after="0"/>
            </w:pPr>
            <w:r/>
            <w:r>
              <w:rPr>
                <w:rFonts w:ascii="Figtree" w:hAnsi="Figtree"/>
                <w:b w:val="0"/>
                <w:i w:val="0"/>
                <w:sz w:val="20"/>
              </w:rPr>
              <w:t>EUR [CLIENT-SPECIFIC: ~240K]</w:t>
            </w:r>
          </w:p>
        </w:tc>
        <w:tc>
          <w:tcPr>
            <w:tcW w:type="dxa" w:w="1624"/>
            <w:vAlign w:val="center"/>
          </w:tcPr>
          <w:p>
            <w:pPr>
              <w:spacing w:line="276" w:lineRule="auto" w:before="0" w:after="0"/>
            </w:pPr>
            <w:r/>
            <w:r>
              <w:rPr>
                <w:rFonts w:ascii="Figtree" w:hAnsi="Figtree"/>
                <w:b w:val="0"/>
                <w:i w:val="0"/>
                <w:sz w:val="20"/>
              </w:rPr>
              <w:t>EUR [CLIENT-SPECIFIC: ~1.5M]</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EUR [CLIENT-SPECIFIC: ~900K]</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~400K]</w:t>
            </w:r>
          </w:p>
        </w:tc>
        <w:tc>
          <w:tcPr>
            <w:tcW w:type="dxa" w:w="1624"/>
            <w:vAlign w:val="center"/>
          </w:tcPr>
          <w:p>
            <w:pPr>
              <w:spacing w:line="276" w:lineRule="auto" w:before="0" w:after="0"/>
            </w:pPr>
            <w:r/>
            <w:r>
              <w:rPr>
                <w:rFonts w:ascii="Figtree" w:hAnsi="Figtree"/>
                <w:b w:val="0"/>
                <w:i w:val="0"/>
                <w:sz w:val="20"/>
              </w:rPr>
              <w:t>EUR [CLIENT-SPECIFIC: ~240K]</w:t>
            </w:r>
          </w:p>
        </w:tc>
        <w:tc>
          <w:tcPr>
            <w:tcW w:type="dxa" w:w="1624"/>
            <w:vAlign w:val="center"/>
          </w:tcPr>
          <w:p>
            <w:pPr>
              <w:spacing w:line="276" w:lineRule="auto" w:before="0" w:after="0"/>
            </w:pPr>
            <w:r/>
            <w:r>
              <w:rPr>
                <w:rFonts w:ascii="Figtree" w:hAnsi="Figtree"/>
                <w:b w:val="0"/>
                <w:i w:val="0"/>
                <w:sz w:val="20"/>
              </w:rPr>
              <w:t>EUR [CLIENT-SPECIFIC: ~1.5M]</w:t>
            </w:r>
          </w:p>
        </w:tc>
      </w:tr>
      <w:tr>
        <w:trPr>
          <w:trHeight w:val="425" w:hRule="atLeast"/>
        </w:trPr>
        <w:tc>
          <w:tcPr>
            <w:tcW w:type="dxa" w:w="1624"/>
            <w:vAlign w:val="center"/>
          </w:tcPr>
          <w:p>
            <w:pPr>
              <w:spacing w:line="276" w:lineRule="auto" w:before="0" w:after="0"/>
            </w:pPr>
            <w:r/>
            <w:r>
              <w:rPr>
                <w:rFonts w:ascii="Figtree" w:hAnsi="Figtree"/>
                <w:b/>
                <w:i w:val="0"/>
                <w:sz w:val="20"/>
              </w:rPr>
              <w:t>3-Year Total</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EUR [CLIENT-SPECIFIC: ~6.2M]</w:t>
            </w:r>
          </w:p>
        </w:tc>
      </w:tr>
    </w:tbl>
    <w:p>
      <w:pPr>
        <w:spacing w:before="0" w:after="0" w:line="120" w:lineRule="exact"/>
      </w:pPr>
    </w:p>
    <w:p>
      <w:pPr>
        <w:pStyle w:val="H3"/>
        <w:numPr>
          <w:ilvl w:val="2"/>
          <w:numId w:val="1"/>
        </w:numPr>
      </w:pPr>
      <w:r>
        <w:t>7.2 Five-Year TCO</w:t>
      </w:r>
    </w:p>
    <w:p>
      <w:r>
        <w:rPr>
          <w:rFonts w:ascii="Figtree" w:hAnsi="Figtree"/>
          <w:b w:val="0"/>
          <w:i w:val="0"/>
          <w:sz w:val="22"/>
        </w:rPr>
        <w:t>Years 4-5 reflect steady-state operating cost with potential expansion to additional collateral asset classes or participant categories at marginal additional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62"/>
        <w:gridCol w:w="2839"/>
        <w:gridCol w:w="49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Period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Run Rate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Years 1-3</w:t>
            </w:r>
          </w:p>
        </w:tc>
        <w:tc>
          <w:tcPr>
            <w:tcW w:type="dxa" w:w="3249"/>
            <w:vAlign w:val="center"/>
          </w:tcPr>
          <w:p>
            <w:pPr>
              <w:spacing w:line="276" w:lineRule="auto" w:before="0" w:after="0"/>
            </w:pPr>
            <w:r/>
            <w:r>
              <w:rPr>
                <w:rFonts w:ascii="Figtree" w:hAnsi="Figtree"/>
                <w:b w:val="0"/>
                <w:i w:val="0"/>
                <w:sz w:val="20"/>
              </w:rPr>
              <w:t>EUR [CLIENT-SPECIFIC: ~2.1M average]</w:t>
            </w:r>
          </w:p>
        </w:tc>
        <w:tc>
          <w:tcPr>
            <w:tcW w:type="dxa" w:w="3249"/>
            <w:vAlign w:val="center"/>
          </w:tcPr>
          <w:p>
            <w:pPr>
              <w:spacing w:line="276" w:lineRule="auto" w:before="0" w:after="0"/>
            </w:pPr>
            <w:r/>
            <w:r>
              <w:rPr>
                <w:rFonts w:ascii="Figtree" w:hAnsi="Figtree"/>
                <w:b w:val="0"/>
                <w:i w:val="0"/>
                <w:sz w:val="20"/>
              </w:rPr>
              <w:t>Includes Year 1 implementation front-load</w:t>
            </w:r>
          </w:p>
        </w:tc>
      </w:tr>
      <w:tr>
        <w:trPr>
          <w:trHeight w:val="425" w:hRule="atLeast"/>
        </w:trPr>
        <w:tc>
          <w:tcPr>
            <w:tcW w:type="dxa" w:w="3249"/>
            <w:vAlign w:val="center"/>
          </w:tcPr>
          <w:p>
            <w:pPr>
              <w:spacing w:line="276" w:lineRule="auto" w:before="0" w:after="0"/>
            </w:pPr>
            <w:r/>
            <w:r>
              <w:rPr>
                <w:rFonts w:ascii="Figtree" w:hAnsi="Figtree"/>
                <w:b w:val="0"/>
                <w:i w:val="0"/>
                <w:sz w:val="20"/>
              </w:rPr>
              <w:t>Years 4-5</w:t>
            </w:r>
          </w:p>
        </w:tc>
        <w:tc>
          <w:tcPr>
            <w:tcW w:type="dxa" w:w="3249"/>
            <w:vAlign w:val="center"/>
          </w:tcPr>
          <w:p>
            <w:pPr>
              <w:spacing w:line="276" w:lineRule="auto" w:before="0" w:after="0"/>
            </w:pPr>
            <w:r/>
            <w:r>
              <w:rPr>
                <w:rFonts w:ascii="Figtree" w:hAnsi="Figtree"/>
                <w:b w:val="0"/>
                <w:i w:val="0"/>
                <w:sz w:val="20"/>
              </w:rPr>
              <w:t>EUR [CLIENT-SPECIFIC: ~1.5M]</w:t>
            </w:r>
          </w:p>
        </w:tc>
        <w:tc>
          <w:tcPr>
            <w:tcW w:type="dxa" w:w="3249"/>
            <w:vAlign w:val="center"/>
          </w:tcPr>
          <w:p>
            <w:pPr>
              <w:spacing w:line="276" w:lineRule="auto" w:before="0" w:after="0"/>
            </w:pPr>
            <w:r/>
            <w:r>
              <w:rPr>
                <w:rFonts w:ascii="Figtree" w:hAnsi="Figtree"/>
                <w:b w:val="0"/>
                <w:i w:val="0"/>
                <w:sz w:val="20"/>
              </w:rPr>
              <w:t>No implementation; possible eligibility expansion at lower cost</w:t>
            </w:r>
          </w:p>
        </w:tc>
      </w:tr>
      <w:tr>
        <w:trPr>
          <w:trHeight w:val="425" w:hRule="atLeast"/>
        </w:trPr>
        <w:tc>
          <w:tcPr>
            <w:tcW w:type="dxa" w:w="3249"/>
            <w:vAlign w:val="center"/>
          </w:tcPr>
          <w:p>
            <w:pPr>
              <w:spacing w:line="276" w:lineRule="auto" w:before="0" w:after="0"/>
            </w:pPr>
            <w:r/>
            <w:r>
              <w:rPr>
                <w:rFonts w:ascii="Figtree" w:hAnsi="Figtree"/>
                <w:b/>
                <w:i w:val="0"/>
                <w:sz w:val="20"/>
              </w:rPr>
              <w:t>5-Year Total</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EUR [CLIENT-SPECIFIC: ~9M-11M]</w:t>
            </w:r>
          </w:p>
        </w:tc>
      </w:tr>
    </w:tbl>
    <w:p>
      <w:pPr>
        <w:spacing w:before="0" w:after="0" w:line="120" w:lineRule="exact"/>
      </w:pPr>
    </w:p>
    <w:p>
      <w:pPr>
        <w:pStyle w:val="H3"/>
        <w:numPr>
          <w:ilvl w:val="2"/>
          <w:numId w:val="1"/>
        </w:numPr>
      </w:pPr>
      <w:r>
        <w:t>7.3 DALP vs. Build vs. Multi-Vendor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2919"/>
        <w:gridCol w:w="1459"/>
        <w:gridCol w:w="16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w:t>
            </w:r>
          </w:p>
        </w:tc>
      </w:tr>
      <w:tr>
        <w:trPr>
          <w:trHeight w:val="425" w:hRule="atLeast"/>
        </w:trPr>
        <w:tc>
          <w:tcPr>
            <w:tcW w:type="dxa" w:w="2436"/>
            <w:vAlign w:val="center"/>
          </w:tcPr>
          <w:p>
            <w:pPr>
              <w:spacing w:line="276" w:lineRule="auto" w:before="0" w:after="0"/>
            </w:pPr>
            <w:r/>
            <w:r>
              <w:rPr>
                <w:rFonts w:ascii="Figtree" w:hAnsi="Figtree"/>
                <w:b w:val="0"/>
                <w:i w:val="0"/>
                <w:sz w:val="20"/>
              </w:rPr>
              <w:t>3-year cost</w:t>
            </w:r>
          </w:p>
        </w:tc>
        <w:tc>
          <w:tcPr>
            <w:tcW w:type="dxa" w:w="2436"/>
            <w:vAlign w:val="center"/>
          </w:tcPr>
          <w:p>
            <w:pPr>
              <w:spacing w:line="276" w:lineRule="auto" w:before="0" w:after="0"/>
            </w:pPr>
            <w:r/>
            <w:r>
              <w:rPr>
                <w:rFonts w:ascii="Figtree" w:hAnsi="Figtree"/>
                <w:b w:val="0"/>
                <w:i w:val="0"/>
                <w:sz w:val="20"/>
              </w:rPr>
              <w:t>EUR [CLIENT-SPECIFIC: ~6.2M]</w:t>
            </w:r>
          </w:p>
        </w:tc>
        <w:tc>
          <w:tcPr>
            <w:tcW w:type="dxa" w:w="2436"/>
            <w:vAlign w:val="center"/>
          </w:tcPr>
          <w:p>
            <w:pPr>
              <w:spacing w:line="276" w:lineRule="auto" w:before="0" w:after="0"/>
            </w:pPr>
            <w:r/>
            <w:r>
              <w:rPr>
                <w:rFonts w:ascii="Figtree" w:hAnsi="Figtree"/>
                <w:b w:val="0"/>
                <w:i w:val="0"/>
                <w:sz w:val="20"/>
              </w:rPr>
              <w:t>EUR 15-25M+</w:t>
            </w:r>
          </w:p>
        </w:tc>
        <w:tc>
          <w:tcPr>
            <w:tcW w:type="dxa" w:w="2436"/>
            <w:vAlign w:val="center"/>
          </w:tcPr>
          <w:p>
            <w:pPr>
              <w:spacing w:line="276" w:lineRule="auto" w:before="0" w:after="0"/>
            </w:pPr>
            <w:r/>
            <w:r>
              <w:rPr>
                <w:rFonts w:ascii="Figtree" w:hAnsi="Figtree"/>
                <w:b w:val="0"/>
                <w:i w:val="0"/>
                <w:sz w:val="20"/>
              </w:rPr>
              <w:t>EUR 10-18M+</w:t>
            </w:r>
          </w:p>
        </w:tc>
      </w:tr>
      <w:tr>
        <w:trPr>
          <w:trHeight w:val="425" w:hRule="atLeast"/>
        </w:trPr>
        <w:tc>
          <w:tcPr>
            <w:tcW w:type="dxa" w:w="2436"/>
            <w:vAlign w:val="center"/>
          </w:tcPr>
          <w:p>
            <w:pPr>
              <w:spacing w:line="276" w:lineRule="auto" w:before="0" w:after="0"/>
            </w:pPr>
            <w:r/>
            <w:r>
              <w:rPr>
                <w:rFonts w:ascii="Figtree" w:hAnsi="Figtree"/>
                <w:b w:val="0"/>
                <w:i w:val="0"/>
                <w:sz w:val="20"/>
              </w:rPr>
              <w:t>Time to pilot</w:t>
            </w:r>
          </w:p>
        </w:tc>
        <w:tc>
          <w:tcPr>
            <w:tcW w:type="dxa" w:w="2436"/>
            <w:vAlign w:val="center"/>
          </w:tcPr>
          <w:p>
            <w:pPr>
              <w:spacing w:line="276" w:lineRule="auto" w:before="0" w:after="0"/>
            </w:pPr>
            <w:r/>
            <w:r>
              <w:rPr>
                <w:rFonts w:ascii="Figtree" w:hAnsi="Figtree"/>
                <w:b w:val="0"/>
                <w:i w:val="0"/>
                <w:sz w:val="20"/>
              </w:rPr>
              <w:t>32 weeks</w:t>
            </w:r>
          </w:p>
        </w:tc>
        <w:tc>
          <w:tcPr>
            <w:tcW w:type="dxa" w:w="2436"/>
            <w:vAlign w:val="center"/>
          </w:tcPr>
          <w:p>
            <w:pPr>
              <w:spacing w:line="276" w:lineRule="auto" w:before="0" w:after="0"/>
            </w:pPr>
            <w:r/>
            <w:r>
              <w:rPr>
                <w:rFonts w:ascii="Figtree" w:hAnsi="Figtree"/>
                <w:b w:val="0"/>
                <w:i w:val="0"/>
                <w:sz w:val="20"/>
              </w:rPr>
              <w:t>24-36 months</w:t>
            </w:r>
          </w:p>
        </w:tc>
        <w:tc>
          <w:tcPr>
            <w:tcW w:type="dxa" w:w="2436"/>
            <w:vAlign w:val="center"/>
          </w:tcPr>
          <w:p>
            <w:pPr>
              <w:spacing w:line="276" w:lineRule="auto" w:before="0" w:after="0"/>
            </w:pPr>
            <w:r/>
            <w:r>
              <w:rPr>
                <w:rFonts w:ascii="Figtree" w:hAnsi="Figtree"/>
                <w:b w:val="0"/>
                <w:i w:val="0"/>
                <w:sz w:val="20"/>
              </w:rPr>
              <w:t>18-30 months</w:t>
            </w:r>
          </w:p>
        </w:tc>
      </w:tr>
      <w:tr>
        <w:trPr>
          <w:trHeight w:val="425" w:hRule="atLeast"/>
        </w:trPr>
        <w:tc>
          <w:tcPr>
            <w:tcW w:type="dxa" w:w="2436"/>
            <w:vAlign w:val="center"/>
          </w:tcPr>
          <w:p>
            <w:pPr>
              <w:spacing w:line="276" w:lineRule="auto" w:before="0" w:after="0"/>
            </w:pPr>
            <w:r/>
            <w:r>
              <w:rPr>
                <w:rFonts w:ascii="Figtree" w:hAnsi="Figtree"/>
                <w:b w:val="0"/>
                <w:i w:val="0"/>
                <w:sz w:val="20"/>
              </w:rPr>
              <w:t>Eligibility engine validation</w:t>
            </w:r>
          </w:p>
        </w:tc>
        <w:tc>
          <w:tcPr>
            <w:tcW w:type="dxa" w:w="2436"/>
            <w:vAlign w:val="center"/>
          </w:tcPr>
          <w:p>
            <w:pPr>
              <w:spacing w:line="276" w:lineRule="auto" w:before="0" w:after="0"/>
            </w:pPr>
            <w:r/>
            <w:r>
              <w:rPr>
                <w:rFonts w:ascii="Figtree" w:hAnsi="Figtree"/>
                <w:b w:val="0"/>
                <w:i w:val="0"/>
                <w:sz w:val="20"/>
              </w:rPr>
              <w:t>7 years production</w:t>
            </w:r>
          </w:p>
        </w:tc>
        <w:tc>
          <w:tcPr>
            <w:tcW w:type="dxa" w:w="2436"/>
            <w:vAlign w:val="center"/>
          </w:tcPr>
          <w:p>
            <w:pPr>
              <w:spacing w:line="276" w:lineRule="auto" w:before="0" w:after="0"/>
            </w:pPr>
            <w:r/>
            <w:r>
              <w:rPr>
                <w:rFonts w:ascii="Figtree" w:hAnsi="Figtree"/>
                <w:b w:val="0"/>
                <w:i w:val="0"/>
                <w:sz w:val="20"/>
              </w:rPr>
              <w:t>None at launch</w:t>
            </w:r>
          </w:p>
        </w:tc>
        <w:tc>
          <w:tcPr>
            <w:tcW w:type="dxa" w:w="2436"/>
            <w:vAlign w:val="center"/>
          </w:tcPr>
          <w:p>
            <w:pPr>
              <w:spacing w:line="276" w:lineRule="auto" w:before="0" w:after="0"/>
            </w:pPr>
            <w:r/>
            <w:r>
              <w:rPr>
                <w:rFonts w:ascii="Figtree" w:hAnsi="Figtree"/>
                <w:b w:val="0"/>
                <w:i w:val="0"/>
                <w:sz w:val="20"/>
              </w:rPr>
              <w:t>Component-level</w:t>
            </w:r>
          </w:p>
        </w:tc>
      </w:tr>
      <w:tr>
        <w:trPr>
          <w:trHeight w:val="425" w:hRule="atLeast"/>
        </w:trPr>
        <w:tc>
          <w:tcPr>
            <w:tcW w:type="dxa" w:w="2436"/>
            <w:vAlign w:val="center"/>
          </w:tcPr>
          <w:p>
            <w:pPr>
              <w:spacing w:line="276" w:lineRule="auto" w:before="0" w:after="0"/>
            </w:pPr>
            <w:r/>
            <w:r>
              <w:rPr>
                <w:rFonts w:ascii="Figtree" w:hAnsi="Figtree"/>
                <w:b w:val="0"/>
                <w:i w:val="0"/>
                <w:sz w:val="20"/>
              </w:rPr>
              <w:t>Atomic settlement</w:t>
            </w:r>
          </w:p>
        </w:tc>
        <w:tc>
          <w:tcPr>
            <w:tcW w:type="dxa" w:w="2436"/>
            <w:vAlign w:val="center"/>
          </w:tcPr>
          <w:p>
            <w:pPr>
              <w:spacing w:line="276" w:lineRule="auto" w:before="0" w:after="0"/>
            </w:pPr>
            <w:r/>
            <w:r>
              <w:rPr>
                <w:rFonts w:ascii="Figtree" w:hAnsi="Figtree"/>
                <w:b w:val="0"/>
                <w:i w:val="0"/>
                <w:sz w:val="20"/>
              </w:rPr>
              <w:t>Production-proven XvP</w:t>
            </w:r>
          </w:p>
        </w:tc>
        <w:tc>
          <w:tcPr>
            <w:tcW w:type="dxa" w:w="2436"/>
            <w:vAlign w:val="center"/>
          </w:tcPr>
          <w:p>
            <w:pPr>
              <w:spacing w:line="276" w:lineRule="auto" w:before="0" w:after="0"/>
            </w:pPr>
            <w:r/>
            <w:r>
              <w:rPr>
                <w:rFonts w:ascii="Figtree" w:hAnsi="Figtree"/>
                <w:b w:val="0"/>
                <w:i w:val="0"/>
                <w:sz w:val="20"/>
              </w:rPr>
              <w:t>Custom build</w:t>
            </w:r>
          </w:p>
        </w:tc>
        <w:tc>
          <w:tcPr>
            <w:tcW w:type="dxa" w:w="2436"/>
            <w:vAlign w:val="center"/>
          </w:tcPr>
          <w:p>
            <w:pPr>
              <w:spacing w:line="276" w:lineRule="auto" w:before="0" w:after="0"/>
            </w:pPr>
            <w:r/>
            <w:r>
              <w:rPr>
                <w:rFonts w:ascii="Figtree" w:hAnsi="Figtree"/>
                <w:b w:val="0"/>
                <w:i w:val="0"/>
                <w:sz w:val="20"/>
              </w:rPr>
              <w:t>Vendor-dependent</w:t>
            </w:r>
          </w:p>
        </w:tc>
      </w:tr>
      <w:tr>
        <w:trPr>
          <w:trHeight w:val="425" w:hRule="atLeast"/>
        </w:trPr>
        <w:tc>
          <w:tcPr>
            <w:tcW w:type="dxa" w:w="2436"/>
            <w:vAlign w:val="center"/>
          </w:tcPr>
          <w:p>
            <w:pPr>
              <w:spacing w:line="276" w:lineRule="auto" w:before="0" w:after="0"/>
            </w:pPr>
            <w:r/>
            <w:r>
              <w:rPr>
                <w:rFonts w:ascii="Figtree" w:hAnsi="Figtree"/>
                <w:b w:val="0"/>
                <w:i w:val="0"/>
                <w:sz w:val="20"/>
              </w:rPr>
              <w:t>DORA ICT documentation</w:t>
            </w:r>
          </w:p>
        </w:tc>
        <w:tc>
          <w:tcPr>
            <w:tcW w:type="dxa" w:w="2436"/>
            <w:vAlign w:val="center"/>
          </w:tcPr>
          <w:p>
            <w:pPr>
              <w:spacing w:line="276" w:lineRule="auto" w:before="0" w:after="0"/>
            </w:pPr>
            <w:r/>
            <w:r>
              <w:rPr>
                <w:rFonts w:ascii="Figtree" w:hAnsi="Figtree"/>
                <w:b w:val="0"/>
                <w:i w:val="0"/>
                <w:sz w:val="20"/>
              </w:rPr>
              <w:t>Pre-documented</w:t>
            </w:r>
          </w:p>
        </w:tc>
        <w:tc>
          <w:tcPr>
            <w:tcW w:type="dxa" w:w="2436"/>
            <w:vAlign w:val="center"/>
          </w:tcPr>
          <w:p>
            <w:pPr>
              <w:spacing w:line="276" w:lineRule="auto" w:before="0" w:after="0"/>
            </w:pPr>
            <w:r/>
            <w:r>
              <w:rPr>
                <w:rFonts w:ascii="Figtree" w:hAnsi="Figtree"/>
                <w:b w:val="0"/>
                <w:i w:val="0"/>
                <w:sz w:val="20"/>
              </w:rPr>
              <w:t>Custom</w:t>
            </w:r>
          </w:p>
        </w:tc>
        <w:tc>
          <w:tcPr>
            <w:tcW w:type="dxa" w:w="2436"/>
            <w:vAlign w:val="center"/>
          </w:tcPr>
          <w:p>
            <w:pPr>
              <w:spacing w:line="276" w:lineRule="auto" w:before="0" w:after="0"/>
            </w:pPr>
            <w:r/>
            <w:r>
              <w:rPr>
                <w:rFonts w:ascii="Figtree" w:hAnsi="Figtree"/>
                <w:b w:val="0"/>
                <w:i w:val="0"/>
                <w:sz w:val="20"/>
              </w:rPr>
              <w:t>Per-vendor</w:t>
            </w:r>
          </w:p>
        </w:tc>
      </w:tr>
      <w:tr>
        <w:trPr>
          <w:trHeight w:val="425" w:hRule="atLeast"/>
        </w:trPr>
        <w:tc>
          <w:tcPr>
            <w:tcW w:type="dxa" w:w="2436"/>
            <w:vAlign w:val="center"/>
          </w:tcPr>
          <w:p>
            <w:pPr>
              <w:spacing w:line="276" w:lineRule="auto" w:before="0" w:after="0"/>
            </w:pPr>
            <w:r/>
            <w:r>
              <w:rPr>
                <w:rFonts w:ascii="Figtree" w:hAnsi="Figtree"/>
                <w:b w:val="0"/>
                <w:i w:val="0"/>
                <w:sz w:val="20"/>
              </w:rPr>
              <w:t>SFTR event feed</w:t>
            </w:r>
          </w:p>
        </w:tc>
        <w:tc>
          <w:tcPr>
            <w:tcW w:type="dxa" w:w="2436"/>
            <w:vAlign w:val="center"/>
          </w:tcPr>
          <w:p>
            <w:pPr>
              <w:spacing w:line="276" w:lineRule="auto" w:before="0" w:after="0"/>
            </w:pPr>
            <w:r/>
            <w:r>
              <w:rPr>
                <w:rFonts w:ascii="Figtree" w:hAnsi="Figtree"/>
                <w:b w:val="0"/>
                <w:i w:val="0"/>
                <w:sz w:val="20"/>
              </w:rPr>
              <w:t>Documented taxonomy</w:t>
            </w:r>
          </w:p>
        </w:tc>
        <w:tc>
          <w:tcPr>
            <w:tcW w:type="dxa" w:w="2436"/>
            <w:vAlign w:val="center"/>
          </w:tcPr>
          <w:p>
            <w:pPr>
              <w:spacing w:line="276" w:lineRule="auto" w:before="0" w:after="0"/>
            </w:pPr>
            <w:r/>
            <w:r>
              <w:rPr>
                <w:rFonts w:ascii="Figtree" w:hAnsi="Figtree"/>
                <w:b w:val="0"/>
                <w:i w:val="0"/>
                <w:sz w:val="20"/>
              </w:rPr>
              <w:t>Custom build</w:t>
            </w:r>
          </w:p>
        </w:tc>
        <w:tc>
          <w:tcPr>
            <w:tcW w:type="dxa" w:w="2436"/>
            <w:vAlign w:val="center"/>
          </w:tcPr>
          <w:p>
            <w:pPr>
              <w:spacing w:line="276" w:lineRule="auto" w:before="0" w:after="0"/>
            </w:pPr>
            <w:r/>
            <w:r>
              <w:rPr>
                <w:rFonts w:ascii="Figtree" w:hAnsi="Figtree"/>
                <w:b w:val="0"/>
                <w:i w:val="0"/>
                <w:sz w:val="20"/>
              </w:rPr>
              <w:t>Inconsistent</w:t>
            </w:r>
          </w:p>
        </w:tc>
      </w:tr>
    </w:tbl>
    <w:p>
      <w:pPr>
        <w:spacing w:before="0" w:after="0" w:line="120" w:lineRule="exact"/>
      </w:pPr>
    </w:p>
    <w:p>
      <w:r>
        <w:br w:type="page"/>
      </w:r>
    </w:p>
    <w:p>
      <w:pPr>
        <w:pStyle w:val="H2"/>
        <w:numPr>
          <w:ilvl w:val="1"/>
          <w:numId w:val="1"/>
        </w:numPr>
      </w:pPr>
      <w:r>
        <w:t>8. Commercial Terms</w:t>
      </w:r>
    </w:p>
    <w:p>
      <w:pPr>
        <w:pStyle w:val="H3"/>
        <w:numPr>
          <w:ilvl w:val="2"/>
          <w:numId w:val="1"/>
        </w:numPr>
      </w:pPr>
      <w:r>
        <w:t>8.1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68"/>
        <w:gridCol w:w="47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 Agreement (Enterprise)</w:t>
            </w:r>
          </w:p>
        </w:tc>
        <w:tc>
          <w:tcPr>
            <w:tcW w:type="dxa" w:w="4873"/>
            <w:vAlign w:val="center"/>
          </w:tcPr>
          <w:p>
            <w:pPr>
              <w:spacing w:line="276" w:lineRule="auto" w:before="0" w:after="0"/>
            </w:pPr>
            <w:r/>
            <w:r>
              <w:rPr>
                <w:rFonts w:ascii="Figtree" w:hAnsi="Figtree"/>
                <w:b w:val="0"/>
                <w:i w:val="0"/>
                <w:sz w:val="20"/>
              </w:rPr>
              <w:t>Annual, 3-year initial term recommended</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Agreement</w:t>
            </w:r>
          </w:p>
        </w:tc>
        <w:tc>
          <w:tcPr>
            <w:tcW w:type="dxa" w:w="4873"/>
            <w:vAlign w:val="center"/>
          </w:tcPr>
          <w:p>
            <w:pPr>
              <w:spacing w:line="276" w:lineRule="auto" w:before="0" w:after="0"/>
            </w:pPr>
            <w:r/>
            <w:r>
              <w:rPr>
                <w:rFonts w:ascii="Figtree" w:hAnsi="Figtree"/>
                <w:b w:val="0"/>
                <w:i w:val="0"/>
                <w:sz w:val="20"/>
              </w:rPr>
              <w:t>Fixed-price by phase; milestone payments</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Agreement</w:t>
            </w:r>
          </w:p>
        </w:tc>
        <w:tc>
          <w:tcPr>
            <w:tcW w:type="dxa" w:w="4873"/>
            <w:vAlign w:val="center"/>
          </w:tcPr>
          <w:p>
            <w:pPr>
              <w:spacing w:line="276" w:lineRule="auto" w:before="0" w:after="0"/>
            </w:pPr>
            <w:r/>
            <w:r>
              <w:rPr>
                <w:rFonts w:ascii="Figtree" w:hAnsi="Figtree"/>
                <w:b w:val="0"/>
                <w:i w:val="0"/>
                <w:sz w:val="20"/>
              </w:rPr>
              <w:t>Annual, co-terminus with license</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 (optional)</w:t>
            </w:r>
          </w:p>
        </w:tc>
        <w:tc>
          <w:tcPr>
            <w:tcW w:type="dxa" w:w="4873"/>
            <w:vAlign w:val="center"/>
          </w:tcPr>
          <w:p>
            <w:pPr>
              <w:spacing w:line="276" w:lineRule="auto" w:before="0" w:after="0"/>
            </w:pPr>
            <w:r/>
            <w:r>
              <w:rPr>
                <w:rFonts w:ascii="Figtree" w:hAnsi="Figtree"/>
                <w:b w:val="0"/>
                <w:i w:val="0"/>
                <w:sz w:val="20"/>
              </w:rPr>
              <w:t>Separate negotiation; available on request</w:t>
            </w:r>
          </w:p>
        </w:tc>
      </w:tr>
    </w:tbl>
    <w:p>
      <w:pPr>
        <w:spacing w:before="0" w:after="0" w:line="120" w:lineRule="exact"/>
      </w:pPr>
    </w:p>
    <w:p>
      <w:pPr>
        <w:pStyle w:val="H3"/>
        <w:numPr>
          <w:ilvl w:val="2"/>
          <w:numId w:val="1"/>
        </w:numPr>
      </w:pPr>
      <w:r>
        <w:t>8.2 Payment Schedule</w:t>
      </w:r>
    </w:p>
    <w:p>
      <w:r>
        <w:rPr>
          <w:rFonts w:ascii="Figtree" w:hAnsi="Figtree"/>
          <w:b w:val="0"/>
          <w:i w:val="0"/>
          <w:sz w:val="22"/>
        </w:rPr>
        <w:t>Implementation payments: 20% at contract signing, then 15-20% per phase gate completion, 10% at production go-live acceptance.</w:t>
      </w:r>
    </w:p>
    <w:p>
      <w:r>
        <w:rPr>
          <w:rFonts w:ascii="Figtree" w:hAnsi="Figtree"/>
          <w:b w:val="0"/>
          <w:i w:val="0"/>
          <w:sz w:val="22"/>
        </w:rPr>
        <w:t>Platform license and Enterprise support: Annual in advance, first payment on license activation (Phase 5 go-live or long-stop date).</w:t>
      </w:r>
    </w:p>
    <w:p>
      <w:pPr>
        <w:pStyle w:val="H3"/>
        <w:numPr>
          <w:ilvl w:val="2"/>
          <w:numId w:val="1"/>
        </w:numPr>
      </w:pPr>
      <w:r>
        <w:t>8.3 Duration and Renewal</w:t>
      </w:r>
    </w:p>
    <w:p>
      <w:r>
        <w:rPr>
          <w:rFonts w:ascii="Figtree" w:hAnsi="Figtree"/>
          <w:b w:val="0"/>
          <w:i w:val="0"/>
          <w:sz w:val="22"/>
        </w:rPr>
        <w:t>Initial term: 3 years from license activation.</w:t>
      </w:r>
    </w:p>
    <w:p>
      <w:r>
        <w:rPr>
          <w:rFonts w:ascii="Figtree" w:hAnsi="Figtree"/>
          <w:b w:val="0"/>
          <w:i w:val="0"/>
          <w:sz w:val="22"/>
        </w:rPr>
        <w:t>Renewal: 90 days notice; CPI-indexed pricing basis.</w:t>
      </w:r>
    </w:p>
    <w:p>
      <w:r>
        <w:rPr>
          <w:rFonts w:ascii="Figtree" w:hAnsi="Figtree"/>
          <w:b w:val="0"/>
          <w:i w:val="0"/>
          <w:sz w:val="22"/>
        </w:rPr>
        <w:t>Multi-year discount: Available for 3+ year upfront commitment.</w:t>
      </w:r>
    </w:p>
    <w:p>
      <w:pPr>
        <w:pStyle w:val="H3"/>
        <w:numPr>
          <w:ilvl w:val="2"/>
          <w:numId w:val="1"/>
        </w:numPr>
      </w:pPr>
      <w:r>
        <w:t>8.4 IP and Data</w:t>
      </w:r>
    </w:p>
    <w:p>
      <w:r>
        <w:rPr>
          <w:rFonts w:ascii="Figtree" w:hAnsi="Figtree"/>
          <w:b w:val="0"/>
          <w:i w:val="0"/>
          <w:sz w:val="22"/>
        </w:rPr>
        <w:t>DALP platform IP: SettleMint ownership; Clearstream license to use.</w:t>
      </w:r>
    </w:p>
    <w:p>
      <w:r>
        <w:rPr>
          <w:rFonts w:ascii="Figtree" w:hAnsi="Figtree"/>
          <w:b w:val="0"/>
          <w:i w:val="0"/>
          <w:sz w:val="22"/>
        </w:rPr>
        <w:t>Clearstream data: Clearstream ownership throughout and post-termination.</w:t>
      </w:r>
    </w:p>
    <w:p>
      <w:r>
        <w:rPr>
          <w:rFonts w:ascii="Figtree" w:hAnsi="Figtree"/>
          <w:b w:val="0"/>
          <w:i w:val="0"/>
          <w:sz w:val="22"/>
        </w:rPr>
        <w:t>Eligibility configurations: Clearstream ownership; transportable on exit.</w:t>
      </w:r>
    </w:p>
    <w:p>
      <w:r>
        <w:rPr>
          <w:rFonts w:ascii="Figtree" w:hAnsi="Figtree"/>
          <w:b w:val="0"/>
          <w:i w:val="0"/>
          <w:sz w:val="22"/>
        </w:rPr>
        <w:t>Integration code (SFTR adapter, custody connector): Clearstream ownership on delivery.</w:t>
      </w:r>
    </w:p>
    <w:p>
      <w:pPr>
        <w:pStyle w:val="H3"/>
        <w:numPr>
          <w:ilvl w:val="2"/>
          <w:numId w:val="1"/>
        </w:numPr>
      </w:pPr>
      <w:r>
        <w:t>8.5 Exit</w:t>
      </w:r>
    </w:p>
    <w:p>
      <w:r>
        <w:rPr>
          <w:rFonts w:ascii="Figtree" w:hAnsi="Figtree"/>
          <w:b w:val="0"/>
          <w:i w:val="0"/>
          <w:sz w:val="22"/>
        </w:rPr>
        <w:t>90-day transition assistance on termination. Full data export and configuration documentation. On-chain state on Clearstream's Besu network accessible independently of SettleMint. Audit log preservation per DORA requirements.</w:t>
      </w:r>
    </w:p>
    <w:p>
      <w:r>
        <w:br w:type="page"/>
      </w:r>
    </w:p>
    <w:p>
      <w:pPr>
        <w:pStyle w:val="H2"/>
        <w:numPr>
          <w:ilvl w:val="1"/>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5"/>
        <w:gridCol w:w="715"/>
        <w:gridCol w:w="1694"/>
        <w:gridCol w:w="993"/>
        <w:gridCol w:w="362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val="0"/>
                <w:i w:val="0"/>
                <w:sz w:val="20"/>
              </w:rPr>
              <w:t>Euroclear</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Digital securities settlement</w:t>
            </w:r>
          </w:p>
        </w:tc>
        <w:tc>
          <w:tcPr>
            <w:tcW w:type="dxa" w:w="1949"/>
            <w:vAlign w:val="center"/>
          </w:tcPr>
          <w:p>
            <w:pPr>
              <w:spacing w:line="276" w:lineRule="auto" w:before="0" w:after="0"/>
            </w:pPr>
            <w:r/>
            <w:r>
              <w:rPr>
                <w:rFonts w:ascii="Figtree" w:hAnsi="Figtree"/>
                <w:b w:val="0"/>
                <w:i w:val="0"/>
                <w:sz w:val="20"/>
              </w:rPr>
              <w:t>International CSD</w:t>
            </w:r>
          </w:p>
        </w:tc>
        <w:tc>
          <w:tcPr>
            <w:tcW w:type="dxa" w:w="1949"/>
            <w:vAlign w:val="center"/>
          </w:tcPr>
          <w:p>
            <w:pPr>
              <w:spacing w:line="276" w:lineRule="auto" w:before="0" w:after="0"/>
            </w:pPr>
            <w:r/>
            <w:r>
              <w:rPr>
                <w:rFonts w:ascii="Figtree" w:hAnsi="Figtree"/>
                <w:b w:val="0"/>
                <w:i w:val="0"/>
                <w:sz w:val="20"/>
              </w:rPr>
              <w:t>Post-trade infrastructure; CSDR alignment; settlement finality</w:t>
            </w:r>
          </w:p>
        </w:tc>
      </w:tr>
      <w:tr>
        <w:trPr>
          <w:trHeight w:val="425" w:hRule="atLeast"/>
        </w:trPr>
        <w:tc>
          <w:tcPr>
            <w:tcW w:type="dxa" w:w="1949"/>
            <w:vAlign w:val="center"/>
          </w:tcPr>
          <w:p>
            <w:pPr>
              <w:spacing w:line="276" w:lineRule="auto" w:before="0" w:after="0"/>
            </w:pPr>
            <w:r/>
            <w:r>
              <w:rPr>
                <w:rFonts w:ascii="Figtree" w:hAnsi="Figtree"/>
                <w:b w:val="0"/>
                <w:i w:val="0"/>
                <w:sz w:val="20"/>
              </w:rPr>
              <w:t>Bank of England</w:t>
            </w:r>
          </w:p>
        </w:tc>
        <w:tc>
          <w:tcPr>
            <w:tcW w:type="dxa" w:w="1949"/>
            <w:vAlign w:val="center"/>
          </w:tcPr>
          <w:p>
            <w:pPr>
              <w:spacing w:line="276" w:lineRule="auto" w:before="0" w:after="0"/>
            </w:pPr>
            <w:r/>
            <w:r>
              <w:rPr>
                <w:rFonts w:ascii="Figtree" w:hAnsi="Figtree"/>
                <w:b w:val="0"/>
                <w:i w:val="0"/>
                <w:sz w:val="20"/>
              </w:rPr>
              <w:t>UK</w:t>
            </w:r>
          </w:p>
        </w:tc>
        <w:tc>
          <w:tcPr>
            <w:tcW w:type="dxa" w:w="1949"/>
            <w:vAlign w:val="center"/>
          </w:tcPr>
          <w:p>
            <w:pPr>
              <w:spacing w:line="276" w:lineRule="auto" w:before="0" w:after="0"/>
            </w:pPr>
            <w:r/>
            <w:r>
              <w:rPr>
                <w:rFonts w:ascii="Figtree" w:hAnsi="Figtree"/>
                <w:b w:val="0"/>
                <w:i w:val="0"/>
                <w:sz w:val="20"/>
              </w:rPr>
              <w:t>Wholesale CBDC pilot</w:t>
            </w:r>
          </w:p>
        </w:tc>
        <w:tc>
          <w:tcPr>
            <w:tcW w:type="dxa" w:w="1949"/>
            <w:vAlign w:val="center"/>
          </w:tcPr>
          <w:p>
            <w:pPr>
              <w:spacing w:line="276" w:lineRule="auto" w:before="0" w:after="0"/>
            </w:pPr>
            <w:r/>
            <w:r>
              <w:rPr>
                <w:rFonts w:ascii="Figtree" w:hAnsi="Figtree"/>
                <w:b w:val="0"/>
                <w:i w:val="0"/>
                <w:sz w:val="20"/>
              </w:rPr>
              <w:t>Central bank FMI</w:t>
            </w:r>
          </w:p>
        </w:tc>
        <w:tc>
          <w:tcPr>
            <w:tcW w:type="dxa" w:w="1949"/>
            <w:vAlign w:val="center"/>
          </w:tcPr>
          <w:p>
            <w:pPr>
              <w:spacing w:line="276" w:lineRule="auto" w:before="0" w:after="0"/>
            </w:pPr>
            <w:r/>
            <w:r>
              <w:rPr>
                <w:rFonts w:ascii="Figtree" w:hAnsi="Figtree"/>
                <w:b w:val="0"/>
                <w:i w:val="0"/>
                <w:sz w:val="20"/>
              </w:rPr>
              <w:t>FMI-grade compliance; governance architecture</w:t>
            </w:r>
          </w:p>
        </w:tc>
      </w:tr>
      <w:tr>
        <w:trPr>
          <w:trHeight w:val="425" w:hRule="atLeast"/>
        </w:trPr>
        <w:tc>
          <w:tcPr>
            <w:tcW w:type="dxa" w:w="1949"/>
            <w:vAlign w:val="center"/>
          </w:tcPr>
          <w:p>
            <w:pPr>
              <w:spacing w:line="276" w:lineRule="auto" w:before="0" w:after="0"/>
            </w:pPr>
            <w:r/>
            <w:r>
              <w:rPr>
                <w:rFonts w:ascii="Figtree" w:hAnsi="Figtree"/>
                <w:b w:val="0"/>
                <w:i w:val="0"/>
                <w:sz w:val="20"/>
              </w:rPr>
              <w:t>OCBC</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Tokenized bonds</w:t>
            </w:r>
          </w:p>
        </w:tc>
        <w:tc>
          <w:tcPr>
            <w:tcW w:type="dxa" w:w="1949"/>
            <w:vAlign w:val="center"/>
          </w:tcPr>
          <w:p>
            <w:pPr>
              <w:spacing w:line="276" w:lineRule="auto" w:before="0" w:after="0"/>
            </w:pPr>
            <w:r/>
            <w:r>
              <w:rPr>
                <w:rFonts w:ascii="Figtree" w:hAnsi="Figtree"/>
                <w:b w:val="0"/>
                <w:i w:val="0"/>
                <w:sz w:val="20"/>
              </w:rPr>
              <w:t>Production bank</w:t>
            </w:r>
          </w:p>
        </w:tc>
        <w:tc>
          <w:tcPr>
            <w:tcW w:type="dxa" w:w="1949"/>
            <w:vAlign w:val="center"/>
          </w:tcPr>
          <w:p>
            <w:pPr>
              <w:spacing w:line="276" w:lineRule="auto" w:before="0" w:after="0"/>
            </w:pPr>
            <w:r/>
            <w:r>
              <w:rPr>
                <w:rFonts w:ascii="Figtree" w:hAnsi="Figtree"/>
                <w:b w:val="0"/>
                <w:i w:val="0"/>
                <w:sz w:val="20"/>
              </w:rPr>
              <w:t>Fixed-income collateral lifecycle</w:t>
            </w:r>
          </w:p>
        </w:tc>
      </w:tr>
      <w:tr>
        <w:trPr>
          <w:trHeight w:val="425" w:hRule="atLeast"/>
        </w:trPr>
        <w:tc>
          <w:tcPr>
            <w:tcW w:type="dxa" w:w="1949"/>
            <w:vAlign w:val="center"/>
          </w:tcPr>
          <w:p>
            <w:pPr>
              <w:spacing w:line="276" w:lineRule="auto" w:before="0" w:after="0"/>
            </w:pPr>
            <w:r/>
            <w:r>
              <w:rPr>
                <w:rFonts w:ascii="Figtree" w:hAnsi="Figtree"/>
                <w:b w:val="0"/>
                <w:i w:val="0"/>
                <w:sz w:val="20"/>
              </w:rPr>
              <w:t>Deutsche Bank</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Digital bonds</w:t>
            </w:r>
          </w:p>
        </w:tc>
        <w:tc>
          <w:tcPr>
            <w:tcW w:type="dxa" w:w="1949"/>
            <w:vAlign w:val="center"/>
          </w:tcPr>
          <w:p>
            <w:pPr>
              <w:spacing w:line="276" w:lineRule="auto" w:before="0" w:after="0"/>
            </w:pPr>
            <w:r/>
            <w:r>
              <w:rPr>
                <w:rFonts w:ascii="Figtree" w:hAnsi="Figtree"/>
                <w:b w:val="0"/>
                <w:i w:val="0"/>
                <w:sz w:val="20"/>
              </w:rPr>
              <w:t>Tier-1 bank</w:t>
            </w:r>
          </w:p>
        </w:tc>
        <w:tc>
          <w:tcPr>
            <w:tcW w:type="dxa" w:w="1949"/>
            <w:vAlign w:val="center"/>
          </w:tcPr>
          <w:p>
            <w:pPr>
              <w:spacing w:line="276" w:lineRule="auto" w:before="0" w:after="0"/>
            </w:pPr>
            <w:r/>
            <w:r>
              <w:rPr>
                <w:rFonts w:ascii="Figtree" w:hAnsi="Figtree"/>
                <w:b w:val="0"/>
                <w:i w:val="0"/>
                <w:sz w:val="20"/>
              </w:rPr>
              <w:t>MiCA/DORA alignment; EU regulatory framework</w:t>
            </w:r>
          </w:p>
        </w:tc>
      </w:tr>
      <w:tr>
        <w:trPr>
          <w:trHeight w:val="425" w:hRule="atLeast"/>
        </w:trPr>
        <w:tc>
          <w:tcPr>
            <w:tcW w:type="dxa" w:w="1949"/>
            <w:vAlign w:val="center"/>
          </w:tcPr>
          <w:p>
            <w:pPr>
              <w:spacing w:line="276" w:lineRule="auto" w:before="0" w:after="0"/>
            </w:pPr>
            <w:r/>
            <w:r>
              <w:rPr>
                <w:rFonts w:ascii="Figtree" w:hAnsi="Figtree"/>
                <w:b w:val="0"/>
                <w:i w:val="0"/>
                <w:sz w:val="20"/>
              </w:rPr>
              <w:t>Clearstream (analogous deployments)</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Fixed income</w:t>
            </w:r>
          </w:p>
        </w:tc>
        <w:tc>
          <w:tcPr>
            <w:tcW w:type="dxa" w:w="1949"/>
            <w:vAlign w:val="center"/>
          </w:tcPr>
          <w:p>
            <w:pPr>
              <w:spacing w:line="276" w:lineRule="auto" w:before="0" w:after="0"/>
            </w:pPr>
            <w:r/>
            <w:r>
              <w:rPr>
                <w:rFonts w:ascii="Figtree" w:hAnsi="Figtree"/>
                <w:b w:val="0"/>
                <w:i w:val="0"/>
                <w:sz w:val="20"/>
              </w:rPr>
              <w:t>ICSD</w:t>
            </w:r>
          </w:p>
        </w:tc>
        <w:tc>
          <w:tcPr>
            <w:tcW w:type="dxa" w:w="1949"/>
            <w:vAlign w:val="center"/>
          </w:tcPr>
          <w:p>
            <w:pPr>
              <w:spacing w:line="276" w:lineRule="auto" w:before="0" w:after="0"/>
            </w:pPr>
            <w:r/>
            <w:r>
              <w:rPr>
                <w:rFonts w:ascii="Figtree" w:hAnsi="Figtree"/>
                <w:b w:val="0"/>
                <w:i w:val="0"/>
                <w:sz w:val="20"/>
              </w:rPr>
              <w:t>Direct jurisdiction experience</w:t>
            </w:r>
          </w:p>
        </w:tc>
      </w:tr>
    </w:tbl>
    <w:p>
      <w:pPr>
        <w:spacing w:before="0" w:after="0" w:line="120" w:lineRule="exact"/>
      </w:pPr>
    </w:p>
    <w:p>
      <w:r>
        <w:rPr>
          <w:rFonts w:ascii="Figtree" w:hAnsi="Figtree"/>
          <w:b/>
          <w:i w:val="0"/>
          <w:sz w:val="22"/>
        </w:rPr>
        <w:t>Key case study: Euroclear — Digital Securities Settlement</w:t>
      </w:r>
    </w:p>
    <w:p>
      <w:r>
        <w:rPr>
          <w:rFonts w:ascii="Figtree" w:hAnsi="Figtree"/>
          <w:b w:val="0"/>
          <w:i w:val="0"/>
          <w:sz w:val="22"/>
        </w:rPr>
        <w:t>Euroclear required digital securities settlement with CSDR-aligned settlement finality and DORA-compliant operational resilience. DALP's XvP addon provided atomic DvP settlement. The architecture directly addresses the settlement certainty challenge Clearstream faces in the tokenized collateral context. The CSDR and DORA regulatory alignment of that deployment maps directly to Clearstream's regulatory framework.</w:t>
      </w:r>
    </w:p>
    <w:p>
      <w:r>
        <w:br w:type="page"/>
      </w:r>
    </w:p>
    <w:p>
      <w:pPr>
        <w:pStyle w:val="H2"/>
        <w:numPr>
          <w:ilvl w:val="1"/>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16"/>
        <w:gridCol w:w="4838"/>
        <w:gridCol w:w="21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Commercial Q&amp;A</w:t>
            </w:r>
          </w:p>
        </w:tc>
        <w:tc>
          <w:tcPr>
            <w:tcW w:type="dxa" w:w="3249"/>
            <w:vAlign w:val="center"/>
          </w:tcPr>
          <w:p>
            <w:pPr>
              <w:spacing w:line="276" w:lineRule="auto" w:before="0" w:after="0"/>
            </w:pPr>
            <w:r/>
            <w:r>
              <w:rPr>
                <w:rFonts w:ascii="Figtree" w:hAnsi="Figtree"/>
                <w:b w:val="0"/>
                <w:i w:val="0"/>
                <w:sz w:val="20"/>
              </w:rPr>
              <w:t>Address evaluation team questions</w:t>
            </w:r>
          </w:p>
        </w:tc>
        <w:tc>
          <w:tcPr>
            <w:tcW w:type="dxa" w:w="3249"/>
            <w:vAlign w:val="center"/>
          </w:tcPr>
          <w:p>
            <w:pPr>
              <w:spacing w:line="276" w:lineRule="auto" w:before="0" w:after="0"/>
            </w:pPr>
            <w:r/>
            <w:r>
              <w:rPr>
                <w:rFonts w:ascii="Figtree" w:hAnsi="Figtree"/>
                <w:b w:val="0"/>
                <w:i w:val="0"/>
                <w:sz w:val="20"/>
              </w:rPr>
              <w:t>Within 2 weeks of submission</w:t>
            </w:r>
          </w:p>
        </w:tc>
      </w:tr>
      <w:tr>
        <w:trPr>
          <w:trHeight w:val="425" w:hRule="atLeast"/>
        </w:trPr>
        <w:tc>
          <w:tcPr>
            <w:tcW w:type="dxa" w:w="3249"/>
            <w:vAlign w:val="center"/>
          </w:tcPr>
          <w:p>
            <w:pPr>
              <w:spacing w:line="276" w:lineRule="auto" w:before="0" w:after="0"/>
            </w:pPr>
            <w:r/>
            <w:r>
              <w:rPr>
                <w:rFonts w:ascii="Figtree" w:hAnsi="Figtree"/>
                <w:b w:val="0"/>
                <w:i w:val="0"/>
                <w:sz w:val="20"/>
              </w:rPr>
              <w:t>Eligibility scoping workshop</w:t>
            </w:r>
          </w:p>
        </w:tc>
        <w:tc>
          <w:tcPr>
            <w:tcW w:type="dxa" w:w="3249"/>
            <w:vAlign w:val="center"/>
          </w:tcPr>
          <w:p>
            <w:pPr>
              <w:spacing w:line="276" w:lineRule="auto" w:before="0" w:after="0"/>
            </w:pPr>
            <w:r/>
            <w:r>
              <w:rPr>
                <w:rFonts w:ascii="Figtree" w:hAnsi="Figtree"/>
                <w:b w:val="0"/>
                <w:i w:val="0"/>
                <w:sz w:val="20"/>
              </w:rPr>
              <w:t>Map Clearstream eligibility schedules to DALP modules</w:t>
            </w:r>
          </w:p>
        </w:tc>
        <w:tc>
          <w:tcPr>
            <w:tcW w:type="dxa" w:w="3249"/>
            <w:vAlign w:val="center"/>
          </w:tcPr>
          <w:p>
            <w:pPr>
              <w:spacing w:line="276" w:lineRule="auto" w:before="0" w:after="0"/>
            </w:pPr>
            <w:r/>
            <w:r>
              <w:rPr>
                <w:rFonts w:ascii="Figtree" w:hAnsi="Figtree"/>
                <w:b w:val="0"/>
                <w:i w:val="0"/>
                <w:sz w:val="20"/>
              </w:rPr>
              <w:t>Week 3-4 post-proposal</w:t>
            </w:r>
          </w:p>
        </w:tc>
      </w:tr>
      <w:tr>
        <w:trPr>
          <w:trHeight w:val="425" w:hRule="atLeast"/>
        </w:trPr>
        <w:tc>
          <w:tcPr>
            <w:tcW w:type="dxa" w:w="3249"/>
            <w:vAlign w:val="center"/>
          </w:tcPr>
          <w:p>
            <w:pPr>
              <w:spacing w:line="276" w:lineRule="auto" w:before="0" w:after="0"/>
            </w:pPr>
            <w:r/>
            <w:r>
              <w:rPr>
                <w:rFonts w:ascii="Figtree" w:hAnsi="Figtree"/>
                <w:b w:val="0"/>
                <w:i w:val="0"/>
                <w:sz w:val="20"/>
              </w:rPr>
              <w:t>Technical due diligence</w:t>
            </w:r>
          </w:p>
        </w:tc>
        <w:tc>
          <w:tcPr>
            <w:tcW w:type="dxa" w:w="3249"/>
            <w:vAlign w:val="center"/>
          </w:tcPr>
          <w:p>
            <w:pPr>
              <w:spacing w:line="276" w:lineRule="auto" w:before="0" w:after="0"/>
            </w:pPr>
            <w:r/>
            <w:r>
              <w:rPr>
                <w:rFonts w:ascii="Figtree" w:hAnsi="Figtree"/>
                <w:b w:val="0"/>
                <w:i w:val="0"/>
                <w:sz w:val="20"/>
              </w:rPr>
              <w:t>Security review, certification review, reference calls</w:t>
            </w:r>
          </w:p>
        </w:tc>
        <w:tc>
          <w:tcPr>
            <w:tcW w:type="dxa" w:w="3249"/>
            <w:vAlign w:val="center"/>
          </w:tcPr>
          <w:p>
            <w:pPr>
              <w:spacing w:line="276" w:lineRule="auto" w:before="0" w:after="0"/>
            </w:pPr>
            <w:r/>
            <w:r>
              <w:rPr>
                <w:rFonts w:ascii="Figtree" w:hAnsi="Figtree"/>
                <w:b w:val="0"/>
                <w:i w:val="0"/>
                <w:sz w:val="20"/>
              </w:rPr>
              <w:t>Week 4-6</w:t>
            </w:r>
          </w:p>
        </w:tc>
      </w:tr>
      <w:tr>
        <w:trPr>
          <w:trHeight w:val="425" w:hRule="atLeast"/>
        </w:trPr>
        <w:tc>
          <w:tcPr>
            <w:tcW w:type="dxa" w:w="3249"/>
            <w:vAlign w:val="center"/>
          </w:tcPr>
          <w:p>
            <w:pPr>
              <w:spacing w:line="276" w:lineRule="auto" w:before="0" w:after="0"/>
            </w:pPr>
            <w:r/>
            <w:r>
              <w:rPr>
                <w:rFonts w:ascii="Figtree" w:hAnsi="Figtree"/>
                <w:b w:val="0"/>
                <w:i w:val="0"/>
                <w:sz w:val="20"/>
              </w:rPr>
              <w:t>Firm commercial proposal</w:t>
            </w:r>
          </w:p>
        </w:tc>
        <w:tc>
          <w:tcPr>
            <w:tcW w:type="dxa" w:w="3249"/>
            <w:vAlign w:val="center"/>
          </w:tcPr>
          <w:p>
            <w:pPr>
              <w:spacing w:line="276" w:lineRule="auto" w:before="0" w:after="0"/>
            </w:pPr>
            <w:r/>
            <w:r>
              <w:rPr>
                <w:rFonts w:ascii="Figtree" w:hAnsi="Figtree"/>
                <w:b w:val="0"/>
                <w:i w:val="0"/>
                <w:sz w:val="20"/>
              </w:rPr>
              <w:t>Fixed pricing based on validated scope</w:t>
            </w:r>
          </w:p>
        </w:tc>
        <w:tc>
          <w:tcPr>
            <w:tcW w:type="dxa" w:w="3249"/>
            <w:vAlign w:val="center"/>
          </w:tcPr>
          <w:p>
            <w:pPr>
              <w:spacing w:line="276" w:lineRule="auto" w:before="0" w:after="0"/>
            </w:pPr>
            <w:r/>
            <w:r>
              <w:rPr>
                <w:rFonts w:ascii="Figtree" w:hAnsi="Figtree"/>
                <w:b w:val="0"/>
                <w:i w:val="0"/>
                <w:sz w:val="20"/>
              </w:rPr>
              <w:t>Week 5-7</w:t>
            </w:r>
          </w:p>
        </w:tc>
      </w:tr>
      <w:tr>
        <w:trPr>
          <w:trHeight w:val="425" w:hRule="atLeast"/>
        </w:trPr>
        <w:tc>
          <w:tcPr>
            <w:tcW w:type="dxa" w:w="3249"/>
            <w:vAlign w:val="center"/>
          </w:tcPr>
          <w:p>
            <w:pPr>
              <w:spacing w:line="276" w:lineRule="auto" w:before="0" w:after="0"/>
            </w:pPr>
            <w:r/>
            <w:r>
              <w:rPr>
                <w:rFonts w:ascii="Figtree" w:hAnsi="Figtree"/>
                <w:b w:val="0"/>
                <w:i w:val="0"/>
                <w:sz w:val="20"/>
              </w:rPr>
              <w:t>Proof of concept (optional)</w:t>
            </w:r>
          </w:p>
        </w:tc>
        <w:tc>
          <w:tcPr>
            <w:tcW w:type="dxa" w:w="3249"/>
            <w:vAlign w:val="center"/>
          </w:tcPr>
          <w:p>
            <w:pPr>
              <w:spacing w:line="276" w:lineRule="auto" w:before="0" w:after="0"/>
            </w:pPr>
            <w:r/>
            <w:r>
              <w:rPr>
                <w:rFonts w:ascii="Figtree" w:hAnsi="Figtree"/>
                <w:b w:val="0"/>
                <w:i w:val="0"/>
                <w:sz w:val="20"/>
              </w:rPr>
              <w:t>Demonstrate eligibility enforcement against Clearstream schedule</w:t>
            </w:r>
          </w:p>
        </w:tc>
        <w:tc>
          <w:tcPr>
            <w:tcW w:type="dxa" w:w="3249"/>
            <w:vAlign w:val="center"/>
          </w:tcPr>
          <w:p>
            <w:pPr>
              <w:spacing w:line="276" w:lineRule="auto" w:before="0" w:after="0"/>
            </w:pPr>
            <w:r/>
            <w:r>
              <w:rPr>
                <w:rFonts w:ascii="Figtree" w:hAnsi="Figtree"/>
                <w:b w:val="0"/>
                <w:i w:val="0"/>
                <w:sz w:val="20"/>
              </w:rPr>
              <w:t>3-4 weeks concurrent</w:t>
            </w:r>
          </w:p>
        </w:tc>
      </w:tr>
      <w:tr>
        <w:trPr>
          <w:trHeight w:val="425" w:hRule="atLeast"/>
        </w:trPr>
        <w:tc>
          <w:tcPr>
            <w:tcW w:type="dxa" w:w="3249"/>
            <w:vAlign w:val="center"/>
          </w:tcPr>
          <w:p>
            <w:pPr>
              <w:spacing w:line="276" w:lineRule="auto" w:before="0" w:after="0"/>
            </w:pPr>
            <w:r/>
            <w:r>
              <w:rPr>
                <w:rFonts w:ascii="Figtree" w:hAnsi="Figtree"/>
                <w:b w:val="0"/>
                <w:i w:val="0"/>
                <w:sz w:val="20"/>
              </w:rPr>
              <w:t>Contract negotiation</w:t>
            </w:r>
          </w:p>
        </w:tc>
        <w:tc>
          <w:tcPr>
            <w:tcW w:type="dxa" w:w="3249"/>
            <w:vAlign w:val="center"/>
          </w:tcPr>
          <w:p>
            <w:pPr>
              <w:spacing w:line="276" w:lineRule="auto" w:before="0" w:after="0"/>
            </w:pPr>
            <w:r/>
            <w:r>
              <w:rPr>
                <w:rFonts w:ascii="Figtree" w:hAnsi="Figtree"/>
                <w:b w:val="0"/>
                <w:i w:val="0"/>
                <w:sz w:val="20"/>
              </w:rPr>
              <w:t>License, implementation, and support agreements</w:t>
            </w:r>
          </w:p>
        </w:tc>
        <w:tc>
          <w:tcPr>
            <w:tcW w:type="dxa" w:w="3249"/>
            <w:vAlign w:val="center"/>
          </w:tcPr>
          <w:p>
            <w:pPr>
              <w:spacing w:line="276" w:lineRule="auto" w:before="0" w:after="0"/>
            </w:pPr>
            <w:r/>
            <w:r>
              <w:rPr>
                <w:rFonts w:ascii="Figtree" w:hAnsi="Figtree"/>
                <w:b w:val="0"/>
                <w:i w:val="0"/>
                <w:sz w:val="20"/>
              </w:rPr>
              <w:t>Week 8-12</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 March 2026</w:t>
      </w:r>
    </w:p>
    <w:p>
      <w:r>
        <w:rPr>
          <w:rFonts w:ascii="Figtree" w:hAnsi="Figtree"/>
          <w:b w:val="0"/>
          <w:i/>
          <w:sz w:val="22"/>
        </w:rPr>
        <w:t>For Clearstream evaluation purposes only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