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Why DALP Changes Economics</w:t>
          </w:r>
          <w:r>
            <w:tab/>
          </w:r>
          <w:r>
            <w:t xml:space="preserve">7</w:t>
          </w:r>
        </w:p>
        <w:p>
          <w:pPr>
            <w:pStyle w:val="TOC3"/>
            <w:tabs>
              <w:tab w:val="right" w:leader="dot" w:pos="9072"/>
            </w:tabs>
          </w:pPr>
          <w:r>
            <w:t xml:space="preserve">2.3 ROI</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Tiers</w:t>
          </w:r>
          <w:r>
            <w:tab/>
          </w:r>
          <w:r>
            <w:t xml:space="preserve">11</w:t>
          </w:r>
        </w:p>
        <w:p>
          <w:pPr>
            <w:pStyle w:val="TOC2"/>
            <w:tabs>
              <w:tab w:val="right" w:leader="dot" w:pos="9072"/>
            </w:tabs>
          </w:pPr>
          <w:r>
            <w:t xml:space="preserve">4. Deployment Options and Pricing</w:t>
          </w:r>
          <w:r>
            <w:tab/>
          </w:r>
          <w:r>
            <w:t xml:space="preserve">12</w:t>
          </w:r>
        </w:p>
        <w:p>
          <w:pPr>
            <w:pStyle w:val="TOC2"/>
            <w:tabs>
              <w:tab w:val="right" w:leader="dot" w:pos="9072"/>
            </w:tabs>
          </w:pPr>
          <w:r>
            <w:t xml:space="preserve">5. Support and SLA Framework</w:t>
          </w:r>
          <w:r>
            <w:tab/>
          </w:r>
          <w:r>
            <w:t xml:space="preserve">13</w:t>
          </w:r>
        </w:p>
        <w:p>
          <w:pPr>
            <w:pStyle w:val="TOC3"/>
            <w:tabs>
              <w:tab w:val="right" w:leader="dot" w:pos="9072"/>
            </w:tabs>
          </w:pPr>
          <w:r>
            <w:t xml:space="preserve">5.1 Enterprise Support (Recommended)</w:t>
          </w:r>
          <w:r>
            <w:tab/>
          </w:r>
          <w:r>
            <w:t xml:space="preserve">14</w:t>
          </w:r>
        </w:p>
        <w:p>
          <w:pPr>
            <w:pStyle w:val="TOC3"/>
            <w:tabs>
              <w:tab w:val="right" w:leader="dot" w:pos="9072"/>
            </w:tabs>
          </w:pPr>
          <w:r>
            <w:t xml:space="preserve">5.2 Severity Levels</w:t>
          </w:r>
          <w:r>
            <w:tab/>
          </w:r>
          <w:r>
            <w:t xml:space="preserve">15</w:t>
          </w:r>
        </w:p>
        <w:p>
          <w:pPr>
            <w:pStyle w:val="TOC2"/>
            <w:tabs>
              <w:tab w:val="right" w:leader="dot" w:pos="9072"/>
            </w:tabs>
          </w:pPr>
          <w:r>
            <w:t xml:space="preserve">6. Implementation Investment</w:t>
          </w:r>
          <w:r>
            <w:tab/>
          </w:r>
          <w:r>
            <w:t xml:space="preserve">16</w:t>
          </w:r>
        </w:p>
        <w:p>
          <w:pPr>
            <w:pStyle w:val="TOC2"/>
            <w:tabs>
              <w:tab w:val="right" w:leader="dot" w:pos="9072"/>
            </w:tabs>
          </w:pPr>
          <w:r>
            <w:t xml:space="preserve">7. Total Cost of Ownership</w:t>
          </w:r>
          <w:r>
            <w:tab/>
          </w:r>
          <w:r>
            <w:t xml:space="preserve">17</w:t>
          </w:r>
        </w:p>
        <w:p>
          <w:pPr>
            <w:pStyle w:val="TOC3"/>
            <w:tabs>
              <w:tab w:val="right" w:leader="dot" w:pos="9072"/>
            </w:tabs>
          </w:pPr>
          <w:r>
            <w:t xml:space="preserve">7.1 Three-Year TCO</w:t>
          </w:r>
          <w:r>
            <w:tab/>
          </w:r>
          <w:r>
            <w:t xml:space="preserve">18</w:t>
          </w:r>
        </w:p>
        <w:p>
          <w:pPr>
            <w:pStyle w:val="TOC3"/>
            <w:tabs>
              <w:tab w:val="right" w:leader="dot" w:pos="9072"/>
            </w:tabs>
          </w:pPr>
          <w:r>
            <w:t xml:space="preserve">7.2 Build vs. DALP</w:t>
          </w:r>
          <w:r>
            <w:tab/>
          </w:r>
          <w:r>
            <w:t xml:space="preserve">19</w:t>
          </w:r>
        </w:p>
        <w:p>
          <w:pPr>
            <w:pStyle w:val="TOC2"/>
            <w:tabs>
              <w:tab w:val="right" w:leader="dot" w:pos="9072"/>
            </w:tabs>
          </w:pPr>
          <w:r>
            <w:t xml:space="preserve">8. Commercial Terms</w:t>
          </w:r>
          <w:r>
            <w:tab/>
          </w:r>
          <w:r>
            <w:t xml:space="preserve">20</w:t>
          </w:r>
        </w:p>
        <w:p>
          <w:pPr>
            <w:pStyle w:val="TOC3"/>
            <w:tabs>
              <w:tab w:val="right" w:leader="dot" w:pos="9072"/>
            </w:tabs>
          </w:pPr>
          <w:r>
            <w:t xml:space="preserve">8.1 Contract Structure</w:t>
          </w:r>
          <w:r>
            <w:tab/>
          </w:r>
          <w:r>
            <w:t xml:space="preserve">21</w:t>
          </w:r>
        </w:p>
        <w:p>
          <w:pPr>
            <w:pStyle w:val="TOC3"/>
            <w:tabs>
              <w:tab w:val="right" w:leader="dot" w:pos="9072"/>
            </w:tabs>
          </w:pPr>
          <w:r>
            <w:t xml:space="preserve">8.2 Payment Schedule</w:t>
          </w:r>
          <w:r>
            <w:tab/>
          </w:r>
          <w:r>
            <w:t xml:space="preserve">22</w:t>
          </w:r>
        </w:p>
        <w:p>
          <w:pPr>
            <w:pStyle w:val="TOC3"/>
            <w:tabs>
              <w:tab w:val="right" w:leader="dot" w:pos="9072"/>
            </w:tabs>
          </w:pPr>
          <w:r>
            <w:t xml:space="preserve">8.3 IP and Data</w:t>
          </w:r>
          <w:r>
            <w:tab/>
          </w:r>
          <w:r>
            <w:t xml:space="preserve">23</w:t>
          </w:r>
        </w:p>
        <w:p>
          <w:pPr>
            <w:pStyle w:val="TOC3"/>
            <w:tabs>
              <w:tab w:val="right" w:leader="dot" w:pos="9072"/>
            </w:tabs>
          </w:pPr>
          <w:r>
            <w:t xml:space="preserve">8.4 Exit</w:t>
          </w:r>
          <w:r>
            <w:tab/>
          </w:r>
          <w:r>
            <w:t xml:space="preserve">24</w:t>
          </w:r>
        </w:p>
        <w:p>
          <w:pPr>
            <w:pStyle w:val="TOC2"/>
            <w:tabs>
              <w:tab w:val="right" w:leader="dot" w:pos="9072"/>
            </w:tabs>
          </w:pPr>
          <w:r>
            <w:t xml:space="preserve">9. Reference Clients</w:t>
          </w:r>
          <w:r>
            <w:tab/>
          </w:r>
          <w:r>
            <w:t xml:space="preserve">25</w:t>
          </w:r>
        </w:p>
        <w:p>
          <w:pPr>
            <w:pStyle w:val="TOC2"/>
            <w:tabs>
              <w:tab w:val="right" w:leader="dot" w:pos="9072"/>
            </w:tabs>
          </w:pPr>
          <w:r>
            <w:t xml:space="preserve">10. Next Steps</w:t>
          </w:r>
          <w:r>
            <w:tab/>
          </w:r>
          <w:r>
            <w:t xml:space="preserve">26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Deutsche Börse AG</w:t>
      </w:r>
    </w:p>
    <w:p>
      <w:r>
        <w:rPr>
          <w:rFonts w:ascii="Figtree" w:hAnsi="Figtree"/>
          <w:b/>
          <w:i w:val="0"/>
          <w:sz w:val="22"/>
        </w:rPr>
        <w:t>Document Title:</w:t>
      </w:r>
      <w:r>
        <w:rPr>
          <w:rFonts w:ascii="Figtree" w:hAnsi="Figtree"/>
          <w:b w:val="0"/>
          <w:i w:val="0"/>
          <w:sz w:val="22"/>
        </w:rPr>
        <w:t xml:space="preserve"> Commercial Proposal: Regulated Digital Asset Trading Venue</w:t>
      </w:r>
    </w:p>
    <w:p>
      <w:r>
        <w:rPr>
          <w:rFonts w:ascii="Figtree" w:hAnsi="Figtree"/>
          <w:b/>
          <w:i w:val="0"/>
          <w:sz w:val="22"/>
        </w:rPr>
        <w:t>RFP Reference:</w:t>
      </w:r>
      <w:r>
        <w:rPr>
          <w:rFonts w:ascii="Figtree" w:hAnsi="Figtree"/>
          <w:b w:val="0"/>
          <w:i w:val="0"/>
          <w:sz w:val="22"/>
        </w:rPr>
        <w:t xml:space="preserve"> DEUTSCHEBORSE-RFP-202603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Deutsche Börse requires a regulated digital asset trading venue infrastructure that satisfies MiFID II's participant admission, market integrity surveillance, and fair and orderly market obligations, while integrating with the existing D3X/Xetra ecosystem. The commercial decision is whether to build the regulated token and compliance layer internally, procure it from multiple specialist vendors, or adopt a production-proven platform.</w:t>
      </w:r>
    </w:p>
    <w:p>
      <w:r>
        <w:rPr>
          <w:rFonts w:ascii="Figtree" w:hAnsi="Figtree"/>
          <w:b w:val="0"/>
          <w:i w:val="0"/>
          <w:sz w:val="22"/>
        </w:rPr>
        <w:t>The build path is particularly costly in this context because Deutsche Börse needs not just a token issuance system but an on-chain participant admission and compliance enforcement layer that can withstand BaFin regulatory scrutiny from day one. Building a production-grade ERC-3643 admission control and settlement orchestration system from scratch requires 18-24 months and carries regulatory implementation risk that DALP's production track record at comparable exchange groups eliminates.</w:t>
      </w:r>
    </w:p>
    <w:p>
      <w:r>
        <w:rPr>
          <w:rFonts w:ascii="Figtree" w:hAnsi="Figtree"/>
          <w:b w:val="0"/>
          <w:i w:val="0"/>
          <w:sz w:val="22"/>
        </w:rPr>
        <w:t>DALP provides the regulated token and compliance layer for Deutsche Börse's D3X/Xetra integration model, proven in production at exchange groups operating under comparable regulatory frameworks.</w:t>
      </w:r>
    </w:p>
    <w:p>
      <w:r>
        <w:rPr>
          <w:rFonts w:ascii="Figtree" w:hAnsi="Figtree"/>
          <w:b/>
          <w:i w:val="0"/>
          <w:sz w:val="22"/>
        </w:rPr>
        <w:t>Recommended commercial profile:</w:t>
      </w:r>
    </w:p>
    <w:p>
      <w:pPr>
        <w:pStyle w:val="ListParagraph"/>
        <w:numPr>
          <w:ilvl w:val="0"/>
          <w:numId w:val="4"/>
        </w:numPr>
      </w:pPr>
      <w:r>
        <w:rPr>
          <w:rFonts w:ascii="Figtree" w:hAnsi="Figtree"/>
          <w:b w:val="0"/>
          <w:i w:val="0"/>
          <w:sz w:val="22"/>
        </w:rPr>
        <w:t>License tier: Enterprise</w:t>
      </w:r>
    </w:p>
    <w:p>
      <w:pPr>
        <w:pStyle w:val="ListParagraph"/>
        <w:numPr>
          <w:ilvl w:val="0"/>
          <w:numId w:val="4"/>
        </w:numPr>
      </w:pPr>
      <w:r>
        <w:rPr>
          <w:rFonts w:ascii="Figtree" w:hAnsi="Figtree"/>
          <w:b w:val="0"/>
          <w:i w:val="0"/>
          <w:sz w:val="22"/>
        </w:rPr>
        <w:t>Deployment model: Private Cloud (Frankfurt, Germany)</w:t>
      </w:r>
    </w:p>
    <w:p>
      <w:pPr>
        <w:pStyle w:val="ListParagraph"/>
        <w:numPr>
          <w:ilvl w:val="0"/>
          <w:numId w:val="4"/>
        </w:numPr>
      </w:pPr>
      <w:r>
        <w:rPr>
          <w:rFonts w:ascii="Figtree" w:hAnsi="Figtree"/>
          <w:b w:val="0"/>
          <w:i w:val="0"/>
          <w:sz w:val="22"/>
        </w:rPr>
        <w:t>Implementation: Fixed-price, 32-week delivery</w:t>
      </w:r>
    </w:p>
    <w:p>
      <w:pPr>
        <w:pStyle w:val="ListParagraph"/>
        <w:numPr>
          <w:ilvl w:val="0"/>
          <w:numId w:val="4"/>
        </w:numPr>
      </w:pPr>
      <w:r>
        <w:rPr>
          <w:rFonts w:ascii="Figtree" w:hAnsi="Figtree"/>
          <w:b w:val="0"/>
          <w:i w:val="0"/>
          <w:sz w:val="22"/>
        </w:rPr>
        <w:t>Support tier: Enterprise (24/7, DORA-aligned, dedicated SRE)</w:t>
      </w:r>
    </w:p>
    <w:p>
      <w:r>
        <w:rPr>
          <w:rFonts w:ascii="Figtree" w:hAnsi="Figtree"/>
          <w:b/>
          <w:i w:val="0"/>
          <w:sz w:val="22"/>
        </w:rPr>
        <w:t>Indicative 3-year investment:</w:t>
      </w:r>
      <w:r>
        <w:rPr>
          <w:rFonts w:ascii="Figtree" w:hAnsi="Figtree"/>
          <w:b w:val="0"/>
          <w:i w:val="0"/>
          <w:sz w:val="22"/>
        </w:rPr>
        <w:t xml:space="preserve"> EUR [CLIENT-SPECIFIC: ~5M-8.5M] total. This compares to EUR 10-18M+ estimated for equivalent in-house build.</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i w:val="0"/>
          <w:sz w:val="22"/>
        </w:rPr>
        <w:t>Build path estimate:</w:t>
      </w:r>
      <w:r>
        <w:rPr>
          <w:rFonts w:ascii="Figtree" w:hAnsi="Figtree"/>
          <w:b w:val="0"/>
          <w:i w:val="0"/>
          <w:sz w:val="22"/>
        </w:rPr>
        <w:t xml:space="preserve"> EUR 10-18M+ over 24-36 months for on-chain admission control, compliance enforcement, listing workflow, settlement orchestration, and D3X integration layer. Permanent engineering obligation for maintenance.</w:t>
      </w:r>
    </w:p>
    <w:p>
      <w:r>
        <w:rPr>
          <w:rFonts w:ascii="Figtree" w:hAnsi="Figtree"/>
          <w:b/>
          <w:i w:val="0"/>
          <w:sz w:val="22"/>
        </w:rPr>
        <w:t>Multi-vendor assembly risk:</w:t>
      </w:r>
      <w:r>
        <w:rPr>
          <w:rFonts w:ascii="Figtree" w:hAnsi="Figtree"/>
          <w:b w:val="0"/>
          <w:i w:val="0"/>
          <w:sz w:val="22"/>
        </w:rPr>
        <w:t xml:space="preserve"> Separating admission control, token management, and settlement from different vendors creates regulatory accountability fragmentation. BaFin expects a coherent, auditable operating model, not a collection of point solutions with unclear incident ownership.</w:t>
      </w:r>
    </w:p>
    <w:p>
      <w:pPr>
        <w:pStyle w:val="H3"/>
        <w:numPr>
          <w:ilvl w:val="2"/>
          <w:numId w:val="1"/>
        </w:numPr>
      </w:pPr>
      <w:r>
        <w:t>2.2 Why DALP Changes Economics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8"/>
        <w:gridCol w:w="2412"/>
        <w:gridCol w:w="35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Without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 DALP</w:t>
            </w:r>
          </w:p>
        </w:tc>
      </w:tr>
      <w:tr>
        <w:trPr>
          <w:trHeight w:val="425" w:hRule="atLeast"/>
        </w:trPr>
        <w:tc>
          <w:tcPr>
            <w:tcW w:type="dxa" w:w="3249"/>
            <w:vAlign w:val="center"/>
          </w:tcPr>
          <w:p>
            <w:pPr>
              <w:spacing w:line="276" w:lineRule="auto" w:before="0" w:after="0"/>
            </w:pPr>
            <w:r/>
            <w:r>
              <w:rPr>
                <w:rFonts w:ascii="Figtree" w:hAnsi="Figtree"/>
                <w:b w:val="0"/>
                <w:i w:val="0"/>
                <w:sz w:val="20"/>
              </w:rPr>
              <w:t>MiFID II admission engine</w:t>
            </w:r>
          </w:p>
        </w:tc>
        <w:tc>
          <w:tcPr>
            <w:tcW w:type="dxa" w:w="3249"/>
            <w:vAlign w:val="center"/>
          </w:tcPr>
          <w:p>
            <w:pPr>
              <w:spacing w:line="276" w:lineRule="auto" w:before="0" w:after="0"/>
            </w:pPr>
            <w:r/>
            <w:r>
              <w:rPr>
                <w:rFonts w:ascii="Figtree" w:hAnsi="Figtree"/>
                <w:b w:val="0"/>
                <w:i w:val="0"/>
                <w:sz w:val="20"/>
              </w:rPr>
              <w:t>Custom build, 18+ months</w:t>
            </w:r>
          </w:p>
        </w:tc>
        <w:tc>
          <w:tcPr>
            <w:tcW w:type="dxa" w:w="3249"/>
            <w:vAlign w:val="center"/>
          </w:tcPr>
          <w:p>
            <w:pPr>
              <w:spacing w:line="276" w:lineRule="auto" w:before="0" w:after="0"/>
            </w:pPr>
            <w:r/>
            <w:r>
              <w:rPr>
                <w:rFonts w:ascii="Figtree" w:hAnsi="Figtree"/>
                <w:b w:val="0"/>
                <w:i w:val="0"/>
                <w:sz w:val="20"/>
              </w:rPr>
              <w:t>Included: OnchainID + 18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Venue state controls</w:t>
            </w:r>
          </w:p>
        </w:tc>
        <w:tc>
          <w:tcPr>
            <w:tcW w:type="dxa" w:w="3249"/>
            <w:vAlign w:val="center"/>
          </w:tcPr>
          <w:p>
            <w:pPr>
              <w:spacing w:line="276" w:lineRule="auto" w:before="0" w:after="0"/>
            </w:pPr>
            <w:r/>
            <w:r>
              <w:rPr>
                <w:rFonts w:ascii="Figtree" w:hAnsi="Figtree"/>
                <w:b w:val="0"/>
                <w:i w:val="0"/>
                <w:sz w:val="20"/>
              </w:rPr>
              <w:t>Custom build</w:t>
            </w:r>
          </w:p>
        </w:tc>
        <w:tc>
          <w:tcPr>
            <w:tcW w:type="dxa" w:w="3249"/>
            <w:vAlign w:val="center"/>
          </w:tcPr>
          <w:p>
            <w:pPr>
              <w:spacing w:line="276" w:lineRule="auto" w:before="0" w:after="0"/>
            </w:pPr>
            <w:r/>
            <w:r>
              <w:rPr>
                <w:rFonts w:ascii="Figtree" w:hAnsi="Figtree"/>
                <w:b w:val="0"/>
                <w:i w:val="0"/>
                <w:sz w:val="20"/>
              </w:rPr>
              <w:t>Included: role-based control model</w:t>
            </w:r>
          </w:p>
        </w:tc>
      </w:tr>
      <w:tr>
        <w:trPr>
          <w:trHeight w:val="425" w:hRule="atLeast"/>
        </w:trPr>
        <w:tc>
          <w:tcPr>
            <w:tcW w:type="dxa" w:w="3249"/>
            <w:vAlign w:val="center"/>
          </w:tcPr>
          <w:p>
            <w:pPr>
              <w:spacing w:line="276" w:lineRule="auto" w:before="0" w:after="0"/>
            </w:pPr>
            <w:r/>
            <w:r>
              <w:rPr>
                <w:rFonts w:ascii="Figtree" w:hAnsi="Figtree"/>
                <w:b w:val="0"/>
                <w:i w:val="0"/>
                <w:sz w:val="20"/>
              </w:rPr>
              <w:t>Listing workflow with disclosure</w:t>
            </w:r>
          </w:p>
        </w:tc>
        <w:tc>
          <w:tcPr>
            <w:tcW w:type="dxa" w:w="3249"/>
            <w:vAlign w:val="center"/>
          </w:tcPr>
          <w:p>
            <w:pPr>
              <w:spacing w:line="276" w:lineRule="auto" w:before="0" w:after="0"/>
            </w:pPr>
            <w:r/>
            <w:r>
              <w:rPr>
                <w:rFonts w:ascii="Figtree" w:hAnsi="Figtree"/>
                <w:b w:val="0"/>
                <w:i w:val="0"/>
                <w:sz w:val="20"/>
              </w:rPr>
              <w:t>Custom build</w:t>
            </w:r>
          </w:p>
        </w:tc>
        <w:tc>
          <w:tcPr>
            <w:tcW w:type="dxa" w:w="3249"/>
            <w:vAlign w:val="center"/>
          </w:tcPr>
          <w:p>
            <w:pPr>
              <w:spacing w:line="276" w:lineRule="auto" w:before="0" w:after="0"/>
            </w:pPr>
            <w:r/>
            <w:r>
              <w:rPr>
                <w:rFonts w:ascii="Figtree" w:hAnsi="Figtree"/>
                <w:b w:val="0"/>
                <w:i w:val="0"/>
                <w:sz w:val="20"/>
              </w:rPr>
              <w:t>Included: issuance factory + metadata</w:t>
            </w:r>
          </w:p>
        </w:tc>
      </w:tr>
      <w:tr>
        <w:trPr>
          <w:trHeight w:val="425" w:hRule="atLeast"/>
        </w:trPr>
        <w:tc>
          <w:tcPr>
            <w:tcW w:type="dxa" w:w="3249"/>
            <w:vAlign w:val="center"/>
          </w:tcPr>
          <w:p>
            <w:pPr>
              <w:spacing w:line="276" w:lineRule="auto" w:before="0" w:after="0"/>
            </w:pPr>
            <w:r/>
            <w:r>
              <w:rPr>
                <w:rFonts w:ascii="Figtree" w:hAnsi="Figtree"/>
                <w:b w:val="0"/>
                <w:i w:val="0"/>
                <w:sz w:val="20"/>
              </w:rPr>
              <w:t>D3X settlement integration</w:t>
            </w:r>
          </w:p>
        </w:tc>
        <w:tc>
          <w:tcPr>
            <w:tcW w:type="dxa" w:w="3249"/>
            <w:vAlign w:val="center"/>
          </w:tcPr>
          <w:p>
            <w:pPr>
              <w:spacing w:line="276" w:lineRule="auto" w:before="0" w:after="0"/>
            </w:pPr>
            <w:r/>
            <w:r>
              <w:rPr>
                <w:rFonts w:ascii="Figtree" w:hAnsi="Figtree"/>
                <w:b w:val="0"/>
                <w:i w:val="0"/>
                <w:sz w:val="20"/>
              </w:rPr>
              <w:t>Custom settlement adapter</w:t>
            </w:r>
          </w:p>
        </w:tc>
        <w:tc>
          <w:tcPr>
            <w:tcW w:type="dxa" w:w="3249"/>
            <w:vAlign w:val="center"/>
          </w:tcPr>
          <w:p>
            <w:pPr>
              <w:spacing w:line="276" w:lineRule="auto" w:before="0" w:after="0"/>
            </w:pPr>
            <w:r/>
            <w:r>
              <w:rPr>
                <w:rFonts w:ascii="Figtree" w:hAnsi="Figtree"/>
                <w:b w:val="0"/>
                <w:i w:val="0"/>
                <w:sz w:val="20"/>
              </w:rPr>
              <w:t>Included: XvP addon + REST API</w:t>
            </w:r>
          </w:p>
        </w:tc>
      </w:tr>
      <w:tr>
        <w:trPr>
          <w:trHeight w:val="425" w:hRule="atLeast"/>
        </w:trPr>
        <w:tc>
          <w:tcPr>
            <w:tcW w:type="dxa" w:w="3249"/>
            <w:vAlign w:val="center"/>
          </w:tcPr>
          <w:p>
            <w:pPr>
              <w:spacing w:line="276" w:lineRule="auto" w:before="0" w:after="0"/>
            </w:pPr>
            <w:r/>
            <w:r>
              <w:rPr>
                <w:rFonts w:ascii="Figtree" w:hAnsi="Figtree"/>
                <w:b w:val="0"/>
                <w:i w:val="0"/>
                <w:sz w:val="20"/>
              </w:rPr>
              <w:t>BaFin audit trail</w:t>
            </w:r>
          </w:p>
        </w:tc>
        <w:tc>
          <w:tcPr>
            <w:tcW w:type="dxa" w:w="3249"/>
            <w:vAlign w:val="center"/>
          </w:tcPr>
          <w:p>
            <w:pPr>
              <w:spacing w:line="276" w:lineRule="auto" w:before="0" w:after="0"/>
            </w:pPr>
            <w:r/>
            <w:r>
              <w:rPr>
                <w:rFonts w:ascii="Figtree" w:hAnsi="Figtree"/>
                <w:b w:val="0"/>
                <w:i w:val="0"/>
                <w:sz w:val="20"/>
              </w:rPr>
              <w:t>Custom evidence pipeline</w:t>
            </w:r>
          </w:p>
        </w:tc>
        <w:tc>
          <w:tcPr>
            <w:tcW w:type="dxa" w:w="3249"/>
            <w:vAlign w:val="center"/>
          </w:tcPr>
          <w:p>
            <w:pPr>
              <w:spacing w:line="276" w:lineRule="auto" w:before="0" w:after="0"/>
            </w:pPr>
            <w:r/>
            <w:r>
              <w:rPr>
                <w:rFonts w:ascii="Figtree" w:hAnsi="Figtree"/>
                <w:b w:val="0"/>
                <w:i w:val="0"/>
                <w:sz w:val="20"/>
              </w:rPr>
              <w:t>Included: on-chain IBFT 2.0 finality</w:t>
            </w:r>
          </w:p>
        </w:tc>
      </w:tr>
    </w:tbl>
    <w:p>
      <w:pPr>
        <w:spacing w:before="0" w:after="0" w:line="120" w:lineRule="exact"/>
      </w:pPr>
    </w:p>
    <w:p>
      <w:pPr>
        <w:pStyle w:val="H3"/>
        <w:numPr>
          <w:ilvl w:val="2"/>
          <w:numId w:val="1"/>
        </w:numPr>
      </w:pPr>
      <w:r>
        <w:t>2.3 ROI</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25"/>
        <w:gridCol w:w="47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Admission engine build avoided</w:t>
            </w:r>
          </w:p>
        </w:tc>
        <w:tc>
          <w:tcPr>
            <w:tcW w:type="dxa" w:w="4873"/>
            <w:vAlign w:val="center"/>
          </w:tcPr>
          <w:p>
            <w:pPr>
              <w:spacing w:line="276" w:lineRule="auto" w:before="0" w:after="0"/>
            </w:pPr>
            <w:r/>
            <w:r>
              <w:rPr>
                <w:rFonts w:ascii="Figtree" w:hAnsi="Figtree"/>
                <w:b w:val="0"/>
                <w:i w:val="0"/>
                <w:sz w:val="20"/>
              </w:rPr>
              <w:t>EUR 4-8M</w:t>
            </w:r>
          </w:p>
        </w:tc>
      </w:tr>
      <w:tr>
        <w:trPr>
          <w:trHeight w:val="425" w:hRule="atLeast"/>
        </w:trPr>
        <w:tc>
          <w:tcPr>
            <w:tcW w:type="dxa" w:w="4873"/>
            <w:vAlign w:val="center"/>
          </w:tcPr>
          <w:p>
            <w:pPr>
              <w:spacing w:line="276" w:lineRule="auto" w:before="0" w:after="0"/>
            </w:pPr>
            <w:r/>
            <w:r>
              <w:rPr>
                <w:rFonts w:ascii="Figtree" w:hAnsi="Figtree"/>
                <w:b w:val="0"/>
                <w:i w:val="0"/>
                <w:sz w:val="20"/>
              </w:rPr>
              <w:t>BaFin readiness from launch</w:t>
            </w:r>
          </w:p>
        </w:tc>
        <w:tc>
          <w:tcPr>
            <w:tcW w:type="dxa" w:w="4873"/>
            <w:vAlign w:val="center"/>
          </w:tcPr>
          <w:p>
            <w:pPr>
              <w:spacing w:line="276" w:lineRule="auto" w:before="0" w:after="0"/>
            </w:pPr>
            <w:r/>
            <w:r>
              <w:rPr>
                <w:rFonts w:ascii="Figtree" w:hAnsi="Figtree"/>
                <w:b w:val="0"/>
                <w:i w:val="0"/>
                <w:sz w:val="20"/>
              </w:rPr>
              <w:t>Production-proven admission architecture</w:t>
            </w:r>
          </w:p>
        </w:tc>
      </w:tr>
      <w:tr>
        <w:trPr>
          <w:trHeight w:val="425" w:hRule="atLeast"/>
        </w:trPr>
        <w:tc>
          <w:tcPr>
            <w:tcW w:type="dxa" w:w="4873"/>
            <w:vAlign w:val="center"/>
          </w:tcPr>
          <w:p>
            <w:pPr>
              <w:spacing w:line="276" w:lineRule="auto" w:before="0" w:after="0"/>
            </w:pPr>
            <w:r/>
            <w:r>
              <w:rPr>
                <w:rFonts w:ascii="Figtree" w:hAnsi="Figtree"/>
                <w:b w:val="0"/>
                <w:i w:val="0"/>
                <w:sz w:val="20"/>
              </w:rPr>
              <w:t>D3X integration reuse</w:t>
            </w:r>
          </w:p>
        </w:tc>
        <w:tc>
          <w:tcPr>
            <w:tcW w:type="dxa" w:w="4873"/>
            <w:vAlign w:val="center"/>
          </w:tcPr>
          <w:p>
            <w:pPr>
              <w:spacing w:line="276" w:lineRule="auto" w:before="0" w:after="0"/>
            </w:pPr>
            <w:r/>
            <w:r>
              <w:rPr>
                <w:rFonts w:ascii="Figtree" w:hAnsi="Figtree"/>
                <w:b w:val="0"/>
                <w:i w:val="0"/>
                <w:sz w:val="20"/>
              </w:rPr>
              <w:t>Standard API contract; lower integration cost</w:t>
            </w:r>
          </w:p>
        </w:tc>
      </w:tr>
      <w:tr>
        <w:trPr>
          <w:trHeight w:val="425" w:hRule="atLeast"/>
        </w:trPr>
        <w:tc>
          <w:tcPr>
            <w:tcW w:type="dxa" w:w="4873"/>
            <w:vAlign w:val="center"/>
          </w:tcPr>
          <w:p>
            <w:pPr>
              <w:spacing w:line="276" w:lineRule="auto" w:before="0" w:after="0"/>
            </w:pPr>
            <w:r/>
            <w:r>
              <w:rPr>
                <w:rFonts w:ascii="Figtree" w:hAnsi="Figtree"/>
                <w:b w:val="0"/>
                <w:i w:val="0"/>
                <w:sz w:val="20"/>
              </w:rPr>
              <w:t>Platform reuse for additional instruments</w:t>
            </w:r>
          </w:p>
        </w:tc>
        <w:tc>
          <w:tcPr>
            <w:tcW w:type="dxa" w:w="4873"/>
            <w:vAlign w:val="center"/>
          </w:tcPr>
          <w:p>
            <w:pPr>
              <w:spacing w:line="276" w:lineRule="auto" w:before="0" w:after="0"/>
            </w:pPr>
            <w:r/>
            <w:r>
              <w:rPr>
                <w:rFonts w:ascii="Figtree" w:hAnsi="Figtree"/>
                <w:b w:val="0"/>
                <w:i w:val="0"/>
                <w:sz w:val="20"/>
              </w:rPr>
              <w:t>Same platform for equities, bonds, funds</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Platform license model: no per-transaction fees. Every MiFID II compliance check, participant admission verification, and surveillance event generation is included. Deutsche Börse can scale trading volume without increasing licensing costs.</w:t>
      </w:r>
    </w:p>
    <w:p>
      <w:pPr>
        <w:pStyle w:val="H3"/>
        <w:numPr>
          <w:ilvl w:val="2"/>
          <w:numId w:val="1"/>
        </w:numPr>
      </w:pPr>
      <w:r>
        <w:t>3.2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5"/>
        <w:gridCol w:w="2414"/>
        <w:gridCol w:w="2414"/>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D3X integration 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Dedicated</w:t>
            </w:r>
          </w:p>
        </w:tc>
      </w:tr>
      <w:tr>
        <w:trPr>
          <w:trHeight w:val="425" w:hRule="atLeast"/>
        </w:trPr>
        <w:tc>
          <w:tcPr>
            <w:tcW w:type="dxa" w:w="2436"/>
            <w:vAlign w:val="center"/>
          </w:tcPr>
          <w:p>
            <w:pPr>
              <w:spacing w:line="276" w:lineRule="auto" w:before="0" w:after="0"/>
            </w:pPr>
            <w:r/>
            <w:r>
              <w:rPr>
                <w:rFonts w:ascii="Figtree" w:hAnsi="Figtree"/>
                <w:b w:val="0"/>
                <w:i w:val="0"/>
                <w:sz w:val="20"/>
              </w:rPr>
              <w:t>DORA documentation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custom</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~400K-600K]</w:t>
            </w:r>
          </w:p>
        </w:tc>
        <w:tc>
          <w:tcPr>
            <w:tcW w:type="dxa" w:w="2436"/>
            <w:vAlign w:val="center"/>
          </w:tcPr>
          <w:p>
            <w:pPr>
              <w:spacing w:line="276" w:lineRule="auto" w:before="0" w:after="0"/>
            </w:pPr>
            <w:r/>
            <w:r>
              <w:rPr>
                <w:rFonts w:ascii="Figtree" w:hAnsi="Figtree"/>
                <w:b w:val="0"/>
                <w:i w:val="0"/>
                <w:sz w:val="20"/>
              </w:rPr>
              <w:t>EUR [CLIENT-SPECIFIC: ~700K-1.1M]</w:t>
            </w:r>
          </w:p>
        </w:tc>
        <w:tc>
          <w:tcPr>
            <w:tcW w:type="dxa" w:w="2436"/>
            <w:vAlign w:val="center"/>
          </w:tcPr>
          <w:p>
            <w:pPr>
              <w:spacing w:line="276" w:lineRule="auto" w:before="0" w:after="0"/>
            </w:pPr>
            <w:r/>
            <w:r>
              <w:rPr>
                <w:rFonts w:ascii="Figtree" w:hAnsi="Figtree"/>
                <w:b w:val="0"/>
                <w:i w:val="0"/>
                <w:sz w:val="20"/>
              </w:rPr>
              <w:t>EUR [CLIENT-SPECIFIC: ~1.3M-2M]</w:t>
            </w:r>
          </w:p>
        </w:tc>
      </w:tr>
    </w:tbl>
    <w:p>
      <w:pPr>
        <w:spacing w:before="0" w:after="0" w:line="120" w:lineRule="exact"/>
      </w:pPr>
    </w:p>
    <w:p>
      <w:r>
        <w:rPr>
          <w:rFonts w:ascii="Figtree" w:hAnsi="Figtree"/>
          <w:b/>
          <w:i w:val="0"/>
          <w:sz w:val="22"/>
        </w:rPr>
        <w:t>Recommended: Enterprise.</w:t>
      </w:r>
      <w:r>
        <w:rPr>
          <w:rFonts w:ascii="Figtree" w:hAnsi="Figtree"/>
          <w:b w:val="0"/>
          <w:i w:val="0"/>
          <w:sz w:val="22"/>
        </w:rPr>
        <w:t xml:space="preserve"> Deutsche Börse's exchange group scale, DORA obligations, and multiple environment requirements (development, testing, production, DR) align with the Enterprise tier.</w:t>
      </w:r>
    </w:p>
    <w:p>
      <w:r>
        <w:br w:type="page"/>
      </w:r>
    </w:p>
    <w:p>
      <w:pPr>
        <w:pStyle w:val="H2"/>
        <w:numPr>
          <w:ilvl w:val="1"/>
          <w:numId w:val="1"/>
        </w:numPr>
      </w:pPr>
      <w:r>
        <w:t>4. Deployment Options and Pricing</w:t>
      </w:r>
    </w:p>
    <w:p>
      <w:r>
        <w:rPr>
          <w:rFonts w:ascii="Figtree" w:hAnsi="Figtree"/>
          <w:b/>
          <w:i w:val="0"/>
          <w:sz w:val="22"/>
        </w:rPr>
        <w:t>Recommended: Private Cloud (Frankfurt, Germany)</w:t>
      </w:r>
    </w:p>
    <w:p>
      <w:r>
        <w:rPr>
          <w:rFonts w:ascii="Figtree" w:hAnsi="Figtree"/>
          <w:b w:val="0"/>
          <w:i w:val="0"/>
          <w:sz w:val="22"/>
        </w:rPr>
        <w:t>Deutsche Börse manages DALP on its cloud subscription within Germany (AWS eu-central-1 or Azure Germany West Central). Full German data residency. BaFin supervisory access via AUDITOR role.</w:t>
      </w:r>
    </w:p>
    <w:p>
      <w:r>
        <w:rPr>
          <w:rFonts w:ascii="Figtree" w:hAnsi="Figtree"/>
          <w:b/>
          <w:i w:val="0"/>
          <w:sz w:val="22"/>
        </w:rPr>
        <w:t>Infrastructure cost estimate (Deutsche Börse-borne):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Kubernetes (3-AZ Frankfurt)</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HA</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EUR 2,500-5,000</w:t>
            </w:r>
          </w:p>
        </w:tc>
      </w:tr>
      <w:tr>
        <w:trPr>
          <w:trHeight w:val="425" w:hRule="atLeast"/>
        </w:trPr>
        <w:tc>
          <w:tcPr>
            <w:tcW w:type="dxa" w:w="4873"/>
            <w:vAlign w:val="center"/>
          </w:tcPr>
          <w:p>
            <w:pPr>
              <w:spacing w:line="276" w:lineRule="auto" w:before="0" w:after="0"/>
            </w:pPr>
            <w:r/>
            <w:r>
              <w:rPr>
                <w:rFonts w:ascii="Figtree" w:hAnsi="Figtree"/>
                <w:b w:val="0"/>
                <w:i w:val="0"/>
                <w:sz w:val="20"/>
              </w:rPr>
              <w:t>Redis, storage, networking</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EUR 10,000-20,000/month</w:t>
            </w:r>
          </w:p>
        </w:tc>
      </w:tr>
    </w:tbl>
    <w:p>
      <w:pPr>
        <w:spacing w:before="0" w:after="0" w:line="120" w:lineRule="exact"/>
      </w:pPr>
    </w:p>
    <w:p>
      <w:r>
        <w:br w:type="page"/>
      </w:r>
    </w:p>
    <w:p>
      <w:pPr>
        <w:pStyle w:val="H2"/>
        <w:numPr>
          <w:ilvl w:val="1"/>
          <w:numId w:val="1"/>
        </w:numPr>
      </w:pPr>
      <w:r>
        <w:t>5. Support and SLA Framework</w:t>
      </w:r>
    </w:p>
    <w:p>
      <w:pPr>
        <w:pStyle w:val="H3"/>
        <w:numPr>
          <w:ilvl w:val="2"/>
          <w:numId w:val="1"/>
        </w:numPr>
      </w:pPr>
      <w:r>
        <w:t>5.1 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6"/>
        <w:gridCol w:w="1890"/>
        <w:gridCol w:w="1890"/>
        <w:gridCol w:w="20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DORA ICT classification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BaFin notification support</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Fully integrated</w:t>
            </w:r>
          </w:p>
        </w:tc>
      </w:tr>
    </w:tbl>
    <w:p>
      <w:pPr>
        <w:spacing w:before="0" w:after="0" w:line="120" w:lineRule="exact"/>
      </w:pP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3"/>
        <w:gridCol w:w="5723"/>
        <w:gridCol w:w="1248"/>
        <w:gridCol w:w="13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Platform down; venue halted unintentionally; admission engine unavailable</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0"/>
        <w:gridCol w:w="1395"/>
        <w:gridCol w:w="4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EUR [CLIENT-SPECIFIC: ~200K-350K]</w:t>
            </w:r>
          </w:p>
        </w:tc>
      </w:tr>
      <w:tr>
        <w:trPr>
          <w:trHeight w:val="425" w:hRule="atLeast"/>
        </w:trPr>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EUR [CLIENT-SPECIFIC: ~250K-400K]</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11 weeks</w:t>
            </w:r>
          </w:p>
        </w:tc>
        <w:tc>
          <w:tcPr>
            <w:tcW w:type="dxa" w:w="3249"/>
            <w:vAlign w:val="center"/>
          </w:tcPr>
          <w:p>
            <w:pPr>
              <w:spacing w:line="276" w:lineRule="auto" w:before="0" w:after="0"/>
            </w:pPr>
            <w:r/>
            <w:r>
              <w:rPr>
                <w:rFonts w:ascii="Figtree" w:hAnsi="Figtree"/>
                <w:b w:val="0"/>
                <w:i w:val="0"/>
                <w:sz w:val="20"/>
              </w:rPr>
              <w:t>EUR [CLIENT-SPECIFIC: ~400K-600K]</w:t>
            </w:r>
          </w:p>
        </w:tc>
      </w:tr>
      <w:tr>
        <w:trPr>
          <w:trHeight w:val="425" w:hRule="atLeast"/>
        </w:trPr>
        <w:tc>
          <w:tcPr>
            <w:tcW w:type="dxa" w:w="3249"/>
            <w:vAlign w:val="center"/>
          </w:tcPr>
          <w:p>
            <w:pPr>
              <w:spacing w:line="276" w:lineRule="auto" w:before="0" w:after="0"/>
            </w:pPr>
            <w:r/>
            <w:r>
              <w:rPr>
                <w:rFonts w:ascii="Figtree" w:hAnsi="Figtree"/>
                <w:b w:val="0"/>
                <w:i w:val="0"/>
                <w:sz w:val="20"/>
              </w:rPr>
              <w:t>Production and Parallel Run</w:t>
            </w:r>
          </w:p>
        </w:tc>
        <w:tc>
          <w:tcPr>
            <w:tcW w:type="dxa" w:w="3249"/>
            <w:vAlign w:val="center"/>
          </w:tcPr>
          <w:p>
            <w:pPr>
              <w:spacing w:line="276" w:lineRule="auto" w:before="0" w:after="0"/>
            </w:pPr>
            <w:r/>
            <w:r>
              <w:rPr>
                <w:rFonts w:ascii="Figtree" w:hAnsi="Figtree"/>
                <w:b w:val="0"/>
                <w:i w:val="0"/>
                <w:sz w:val="20"/>
              </w:rPr>
              <w:t>5 weeks</w:t>
            </w:r>
          </w:p>
        </w:tc>
        <w:tc>
          <w:tcPr>
            <w:tcW w:type="dxa" w:w="3249"/>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EUR [CLIENT-SPECIFIC: ~100K-200K]</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32 weeks</w:t>
            </w:r>
          </w:p>
        </w:tc>
        <w:tc>
          <w:tcPr>
            <w:tcW w:type="dxa" w:w="3249"/>
            <w:vAlign w:val="center"/>
          </w:tcPr>
          <w:p>
            <w:pPr>
              <w:spacing w:line="276" w:lineRule="auto" w:before="0" w:after="0"/>
            </w:pPr>
            <w:r/>
            <w:r>
              <w:rPr>
                <w:rFonts w:ascii="Figtree" w:hAnsi="Figtree"/>
                <w:b/>
                <w:i w:val="0"/>
                <w:sz w:val="20"/>
              </w:rPr>
              <w:t>EUR [CLIENT-SPECIFIC: ~1.25M-2.05M]</w:t>
            </w:r>
          </w:p>
        </w:tc>
      </w:tr>
    </w:tbl>
    <w:p>
      <w:pPr>
        <w:spacing w:before="0" w:after="0" w:line="120" w:lineRule="exact"/>
      </w:pPr>
    </w:p>
    <w:p>
      <w:r>
        <w:rPr>
          <w:rFonts w:ascii="Figtree" w:hAnsi="Figtree"/>
          <w:b/>
          <w:i w:val="0"/>
          <w:sz w:val="22"/>
        </w:rPr>
        <w:t>Key accelerators:</w:t>
      </w:r>
      <w:r>
        <w:rPr>
          <w:rFonts w:ascii="Figtree" w:hAnsi="Figtree"/>
          <w:b w:val="0"/>
          <w:i w:val="0"/>
          <w:sz w:val="22"/>
        </w:rPr>
        <w:t xml:space="preserve"> D3X integration patterns; ERC-3643 admission modules; IBFT 2.0 deployment templates; BaFin notification framework.</w:t>
      </w:r>
    </w:p>
    <w:p>
      <w:r>
        <w:br w:type="page"/>
      </w:r>
    </w:p>
    <w:p>
      <w:pPr>
        <w:pStyle w:val="H2"/>
        <w:numPr>
          <w:ilvl w:val="1"/>
          <w:numId w:val="1"/>
        </w:numPr>
      </w:pPr>
      <w:r>
        <w:t>7. Total Cost of Ownership</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1"/>
        <w:gridCol w:w="1577"/>
        <w:gridCol w:w="1634"/>
        <w:gridCol w:w="1577"/>
        <w:gridCol w:w="1577"/>
        <w:gridCol w:w="180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EUR [CLIENT-SPECIFIC: ~1.65M]</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~3.15M]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~1.54M]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~1.54M]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~6.2M]</w:t>
            </w:r>
          </w:p>
        </w:tc>
      </w:tr>
    </w:tbl>
    <w:p>
      <w:pPr>
        <w:spacing w:before="0" w:after="0" w:line="120" w:lineRule="exact"/>
      </w:pPr>
    </w:p>
    <w:p>
      <w:pPr>
        <w:pStyle w:val="H3"/>
        <w:numPr>
          <w:ilvl w:val="2"/>
          <w:numId w:val="1"/>
        </w:numPr>
      </w:pPr>
      <w:r>
        <w:t>7.2 Build vs.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23"/>
        <w:gridCol w:w="1924"/>
        <w:gridCol w:w="19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w:t>
            </w:r>
          </w:p>
        </w:tc>
      </w:tr>
      <w:tr>
        <w:trPr>
          <w:trHeight w:val="425" w:hRule="atLeast"/>
        </w:trPr>
        <w:tc>
          <w:tcPr>
            <w:tcW w:type="dxa" w:w="3249"/>
            <w:vAlign w:val="center"/>
          </w:tcPr>
          <w:p>
            <w:pPr>
              <w:spacing w:line="276" w:lineRule="auto" w:before="0" w:after="0"/>
            </w:pPr>
            <w:r/>
            <w:r>
              <w:rPr>
                <w:rFonts w:ascii="Figtree" w:hAnsi="Figtree"/>
                <w:b w:val="0"/>
                <w:i w:val="0"/>
                <w:sz w:val="20"/>
              </w:rPr>
              <w:t>3-year cost</w:t>
            </w:r>
          </w:p>
        </w:tc>
        <w:tc>
          <w:tcPr>
            <w:tcW w:type="dxa" w:w="3249"/>
            <w:vAlign w:val="center"/>
          </w:tcPr>
          <w:p>
            <w:pPr>
              <w:spacing w:line="276" w:lineRule="auto" w:before="0" w:after="0"/>
            </w:pPr>
            <w:r/>
            <w:r>
              <w:rPr>
                <w:rFonts w:ascii="Figtree" w:hAnsi="Figtree"/>
                <w:b w:val="0"/>
                <w:i w:val="0"/>
                <w:sz w:val="20"/>
              </w:rPr>
              <w:t>EUR ~6.2M</w:t>
            </w:r>
          </w:p>
        </w:tc>
        <w:tc>
          <w:tcPr>
            <w:tcW w:type="dxa" w:w="3249"/>
            <w:vAlign w:val="center"/>
          </w:tcPr>
          <w:p>
            <w:pPr>
              <w:spacing w:line="276" w:lineRule="auto" w:before="0" w:after="0"/>
            </w:pPr>
            <w:r/>
            <w:r>
              <w:rPr>
                <w:rFonts w:ascii="Figtree" w:hAnsi="Figtree"/>
                <w:b w:val="0"/>
                <w:i w:val="0"/>
                <w:sz w:val="20"/>
              </w:rPr>
              <w:t>EUR 15-25M+</w:t>
            </w:r>
          </w:p>
        </w:tc>
      </w:tr>
      <w:tr>
        <w:trPr>
          <w:trHeight w:val="425" w:hRule="atLeast"/>
        </w:trPr>
        <w:tc>
          <w:tcPr>
            <w:tcW w:type="dxa" w:w="3249"/>
            <w:vAlign w:val="center"/>
          </w:tcPr>
          <w:p>
            <w:pPr>
              <w:spacing w:line="276" w:lineRule="auto" w:before="0" w:after="0"/>
            </w:pPr>
            <w:r/>
            <w:r>
              <w:rPr>
                <w:rFonts w:ascii="Figtree" w:hAnsi="Figtree"/>
                <w:b w:val="0"/>
                <w:i w:val="0"/>
                <w:sz w:val="20"/>
              </w:rPr>
              <w:t>Time to BaFin-ready venue</w:t>
            </w:r>
          </w:p>
        </w:tc>
        <w:tc>
          <w:tcPr>
            <w:tcW w:type="dxa" w:w="3249"/>
            <w:vAlign w:val="center"/>
          </w:tcPr>
          <w:p>
            <w:pPr>
              <w:spacing w:line="276" w:lineRule="auto" w:before="0" w:after="0"/>
            </w:pPr>
            <w:r/>
            <w:r>
              <w:rPr>
                <w:rFonts w:ascii="Figtree" w:hAnsi="Figtree"/>
                <w:b w:val="0"/>
                <w:i w:val="0"/>
                <w:sz w:val="20"/>
              </w:rPr>
              <w:t>32 weeks</w:t>
            </w:r>
          </w:p>
        </w:tc>
        <w:tc>
          <w:tcPr>
            <w:tcW w:type="dxa" w:w="3249"/>
            <w:vAlign w:val="center"/>
          </w:tcPr>
          <w:p>
            <w:pPr>
              <w:spacing w:line="276" w:lineRule="auto" w:before="0" w:after="0"/>
            </w:pPr>
            <w:r/>
            <w:r>
              <w:rPr>
                <w:rFonts w:ascii="Figtree" w:hAnsi="Figtree"/>
                <w:b w:val="0"/>
                <w:i w:val="0"/>
                <w:sz w:val="20"/>
              </w:rPr>
              <w:t>24-36 months</w:t>
            </w:r>
          </w:p>
        </w:tc>
      </w:tr>
      <w:tr>
        <w:trPr>
          <w:trHeight w:val="425" w:hRule="atLeast"/>
        </w:trPr>
        <w:tc>
          <w:tcPr>
            <w:tcW w:type="dxa" w:w="3249"/>
            <w:vAlign w:val="center"/>
          </w:tcPr>
          <w:p>
            <w:pPr>
              <w:spacing w:line="276" w:lineRule="auto" w:before="0" w:after="0"/>
            </w:pPr>
            <w:r/>
            <w:r>
              <w:rPr>
                <w:rFonts w:ascii="Figtree" w:hAnsi="Figtree"/>
                <w:b w:val="0"/>
                <w:i w:val="0"/>
                <w:sz w:val="20"/>
              </w:rPr>
              <w:t>Admission engine production validation</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None at launch</w:t>
            </w:r>
          </w:p>
        </w:tc>
      </w:tr>
      <w:tr>
        <w:trPr>
          <w:trHeight w:val="425" w:hRule="atLeast"/>
        </w:trPr>
        <w:tc>
          <w:tcPr>
            <w:tcW w:type="dxa" w:w="3249"/>
            <w:vAlign w:val="center"/>
          </w:tcPr>
          <w:p>
            <w:pPr>
              <w:spacing w:line="276" w:lineRule="auto" w:before="0" w:after="0"/>
            </w:pPr>
            <w:r/>
            <w:r>
              <w:rPr>
                <w:rFonts w:ascii="Figtree" w:hAnsi="Figtree"/>
                <w:b w:val="0"/>
                <w:i w:val="0"/>
                <w:sz w:val="20"/>
              </w:rPr>
              <w:t>D3X settlement integration</w:t>
            </w:r>
          </w:p>
        </w:tc>
        <w:tc>
          <w:tcPr>
            <w:tcW w:type="dxa" w:w="3249"/>
            <w:vAlign w:val="center"/>
          </w:tcPr>
          <w:p>
            <w:pPr>
              <w:spacing w:line="276" w:lineRule="auto" w:before="0" w:after="0"/>
            </w:pPr>
            <w:r/>
            <w:r>
              <w:rPr>
                <w:rFonts w:ascii="Figtree" w:hAnsi="Figtree"/>
                <w:b w:val="0"/>
                <w:i w:val="0"/>
                <w:sz w:val="20"/>
              </w:rPr>
              <w:t>Documented API</w:t>
            </w:r>
          </w:p>
        </w:tc>
        <w:tc>
          <w:tcPr>
            <w:tcW w:type="dxa" w:w="3249"/>
            <w:vAlign w:val="center"/>
          </w:tcPr>
          <w:p>
            <w:pPr>
              <w:spacing w:line="276" w:lineRule="auto" w:before="0" w:after="0"/>
            </w:pPr>
            <w:r/>
            <w:r>
              <w:rPr>
                <w:rFonts w:ascii="Figtree" w:hAnsi="Figtree"/>
                <w:b w:val="0"/>
                <w:i w:val="0"/>
                <w:sz w:val="20"/>
              </w:rPr>
              <w:t>Custom</w:t>
            </w:r>
          </w:p>
        </w:tc>
      </w:tr>
      <w:tr>
        <w:trPr>
          <w:trHeight w:val="425" w:hRule="atLeast"/>
        </w:trPr>
        <w:tc>
          <w:tcPr>
            <w:tcW w:type="dxa" w:w="3249"/>
            <w:vAlign w:val="center"/>
          </w:tcPr>
          <w:p>
            <w:pPr>
              <w:spacing w:line="276" w:lineRule="auto" w:before="0" w:after="0"/>
            </w:pPr>
            <w:r/>
            <w:r>
              <w:rPr>
                <w:rFonts w:ascii="Figtree" w:hAnsi="Figtree"/>
                <w:b w:val="0"/>
                <w:i w:val="0"/>
                <w:sz w:val="20"/>
              </w:rPr>
              <w:t>DORA ICT documentation</w:t>
            </w:r>
          </w:p>
        </w:tc>
        <w:tc>
          <w:tcPr>
            <w:tcW w:type="dxa" w:w="3249"/>
            <w:vAlign w:val="center"/>
          </w:tcPr>
          <w:p>
            <w:pPr>
              <w:spacing w:line="276" w:lineRule="auto" w:before="0" w:after="0"/>
            </w:pPr>
            <w:r/>
            <w:r>
              <w:rPr>
                <w:rFonts w:ascii="Figtree" w:hAnsi="Figtree"/>
                <w:b w:val="0"/>
                <w:i w:val="0"/>
                <w:sz w:val="20"/>
              </w:rPr>
              <w:t>Pre-packaged</w:t>
            </w:r>
          </w:p>
        </w:tc>
        <w:tc>
          <w:tcPr>
            <w:tcW w:type="dxa" w:w="3249"/>
            <w:vAlign w:val="center"/>
          </w:tcPr>
          <w:p>
            <w:pPr>
              <w:spacing w:line="276" w:lineRule="auto" w:before="0" w:after="0"/>
            </w:pPr>
            <w:r/>
            <w:r>
              <w:rPr>
                <w:rFonts w:ascii="Figtree" w:hAnsi="Figtree"/>
                <w:b w:val="0"/>
                <w:i w:val="0"/>
                <w:sz w:val="20"/>
              </w:rPr>
              <w:t>Custom</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Platform License Agreement (Enterprise, 3-year initial term), Implementation Services Agreement (fixed-price by phase), Enterprise Support Agreement (co-terminus with license).</w:t>
      </w:r>
    </w:p>
    <w:p>
      <w:pPr>
        <w:pStyle w:val="H3"/>
        <w:numPr>
          <w:ilvl w:val="2"/>
          <w:numId w:val="1"/>
        </w:numPr>
      </w:pPr>
      <w:r>
        <w:t>8.2 Payment Schedule</w:t>
      </w:r>
    </w:p>
    <w:p>
      <w:r>
        <w:rPr>
          <w:rFonts w:ascii="Figtree" w:hAnsi="Figtree"/>
          <w:b w:val="0"/>
          <w:i w:val="0"/>
          <w:sz w:val="22"/>
        </w:rPr>
        <w:t>Implementation: 20% at signing, 15-20% per phase gate, 10% at go-live acceptance.</w:t>
      </w:r>
    </w:p>
    <w:p>
      <w:r>
        <w:rPr>
          <w:rFonts w:ascii="Figtree" w:hAnsi="Figtree"/>
          <w:b w:val="0"/>
          <w:i w:val="0"/>
          <w:sz w:val="22"/>
        </w:rPr>
        <w:t>License and support: Annual in advance, first payment on activation.</w:t>
      </w:r>
    </w:p>
    <w:p>
      <w:pPr>
        <w:pStyle w:val="H3"/>
        <w:numPr>
          <w:ilvl w:val="2"/>
          <w:numId w:val="1"/>
        </w:numPr>
      </w:pPr>
      <w:r>
        <w:t>8.3 IP and Data</w:t>
      </w:r>
    </w:p>
    <w:p>
      <w:r>
        <w:rPr>
          <w:rFonts w:ascii="Figtree" w:hAnsi="Figtree"/>
          <w:b w:val="0"/>
          <w:i w:val="0"/>
          <w:sz w:val="22"/>
        </w:rPr>
        <w:t>DALP platform IP: SettleMint. Participant data and configurations: Deutsche Börse. D3X integration adapters: Deutsche Börse on delivery.</w:t>
      </w:r>
    </w:p>
    <w:p>
      <w:pPr>
        <w:pStyle w:val="H3"/>
        <w:numPr>
          <w:ilvl w:val="2"/>
          <w:numId w:val="1"/>
        </w:numPr>
      </w:pPr>
      <w:r>
        <w:t>8.4 Exit</w:t>
      </w:r>
    </w:p>
    <w:p>
      <w:r>
        <w:rPr>
          <w:rFonts w:ascii="Figtree" w:hAnsi="Figtree"/>
          <w:b w:val="0"/>
          <w:i w:val="0"/>
          <w:sz w:val="22"/>
        </w:rPr>
        <w:t>90-day transition assistance. Full data export. On-chain state on Deutsche Börse's Besu network remains accessible independently. MiFID II 5-year audit record preservation.</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9"/>
        <w:gridCol w:w="922"/>
        <w:gridCol w:w="2921"/>
        <w:gridCol w:w="42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Tadawul</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Digital securities listing and trading</w:t>
            </w:r>
          </w:p>
        </w:tc>
        <w:tc>
          <w:tcPr>
            <w:tcW w:type="dxa" w:w="2436"/>
            <w:vAlign w:val="center"/>
          </w:tcPr>
          <w:p>
            <w:pPr>
              <w:spacing w:line="276" w:lineRule="auto" w:before="0" w:after="0"/>
            </w:pPr>
            <w:r/>
            <w:r>
              <w:rPr>
                <w:rFonts w:ascii="Figtree" w:hAnsi="Figtree"/>
                <w:b w:val="0"/>
                <w:i w:val="0"/>
                <w:sz w:val="20"/>
              </w:rPr>
              <w:t>Exchange group; listing workflow; participant admission</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Digital asset trading and settlement</w:t>
            </w:r>
          </w:p>
        </w:tc>
        <w:tc>
          <w:tcPr>
            <w:tcW w:type="dxa" w:w="2436"/>
            <w:vAlign w:val="center"/>
          </w:tcPr>
          <w:p>
            <w:pPr>
              <w:spacing w:line="276" w:lineRule="auto" w:before="0" w:after="0"/>
            </w:pPr>
            <w:r/>
            <w:r>
              <w:rPr>
                <w:rFonts w:ascii="Figtree" w:hAnsi="Figtree"/>
                <w:b w:val="0"/>
                <w:i w:val="0"/>
                <w:sz w:val="20"/>
              </w:rPr>
              <w:t>Regulated exchange; market integrity; settlement</w:t>
            </w:r>
          </w:p>
        </w:tc>
      </w:tr>
      <w:tr>
        <w:trPr>
          <w:trHeight w:val="425" w:hRule="atLeast"/>
        </w:trPr>
        <w:tc>
          <w:tcPr>
            <w:tcW w:type="dxa" w:w="2436"/>
            <w:vAlign w:val="center"/>
          </w:tcPr>
          <w:p>
            <w:pPr>
              <w:spacing w:line="276" w:lineRule="auto" w:before="0" w:after="0"/>
            </w:pPr>
            <w:r/>
            <w:r>
              <w:rPr>
                <w:rFonts w:ascii="Figtree" w:hAnsi="Figtree"/>
                <w:b w:val="0"/>
                <w:i w:val="0"/>
                <w:sz w:val="20"/>
              </w:rPr>
              <w:t>Deutsche 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Digital bonds</w:t>
            </w:r>
          </w:p>
        </w:tc>
        <w:tc>
          <w:tcPr>
            <w:tcW w:type="dxa" w:w="2436"/>
            <w:vAlign w:val="center"/>
          </w:tcPr>
          <w:p>
            <w:pPr>
              <w:spacing w:line="276" w:lineRule="auto" w:before="0" w:after="0"/>
            </w:pPr>
            <w:r/>
            <w:r>
              <w:rPr>
                <w:rFonts w:ascii="Figtree" w:hAnsi="Figtree"/>
                <w:b w:val="0"/>
                <w:i w:val="0"/>
                <w:sz w:val="20"/>
              </w:rPr>
              <w:t>German regulatory context; BaFin</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Post-trade settlement; CSDR/DORA</w:t>
            </w:r>
          </w:p>
        </w:tc>
      </w:tr>
    </w:tbl>
    <w:p>
      <w:pPr>
        <w:spacing w:before="0" w:after="0" w:line="120" w:lineRule="exact"/>
      </w:pPr>
    </w:p>
    <w:p>
      <w:r>
        <w:br w:type="page"/>
      </w: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2"/>
        <w:gridCol w:w="28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Commercial Q&amp;A</w:t>
            </w:r>
          </w:p>
        </w:tc>
        <w:tc>
          <w:tcPr>
            <w:tcW w:type="dxa" w:w="4873"/>
            <w:vAlign w:val="center"/>
          </w:tcPr>
          <w:p>
            <w:pPr>
              <w:spacing w:line="276" w:lineRule="auto" w:before="0" w:after="0"/>
            </w:pPr>
            <w:r/>
            <w:r>
              <w:rPr>
                <w:rFonts w:ascii="Figtree" w:hAnsi="Figtree"/>
                <w:b w:val="0"/>
                <w:i w:val="0"/>
                <w:sz w:val="20"/>
              </w:rPr>
              <w:t>Within 2 weeks</w:t>
            </w:r>
          </w:p>
        </w:tc>
      </w:tr>
      <w:tr>
        <w:trPr>
          <w:trHeight w:val="425" w:hRule="atLeast"/>
        </w:trPr>
        <w:tc>
          <w:tcPr>
            <w:tcW w:type="dxa" w:w="4873"/>
            <w:vAlign w:val="center"/>
          </w:tcPr>
          <w:p>
            <w:pPr>
              <w:spacing w:line="276" w:lineRule="auto" w:before="0" w:after="0"/>
            </w:pPr>
            <w:r/>
            <w:r>
              <w:rPr>
                <w:rFonts w:ascii="Figtree" w:hAnsi="Figtree"/>
                <w:b w:val="0"/>
                <w:i w:val="0"/>
                <w:sz w:val="20"/>
              </w:rPr>
              <w:t>D3X integration scoping workshop</w:t>
            </w:r>
          </w:p>
        </w:tc>
        <w:tc>
          <w:tcPr>
            <w:tcW w:type="dxa" w:w="4873"/>
            <w:vAlign w:val="center"/>
          </w:tcPr>
          <w:p>
            <w:pPr>
              <w:spacing w:line="276" w:lineRule="auto" w:before="0" w:after="0"/>
            </w:pPr>
            <w:r/>
            <w:r>
              <w:rPr>
                <w:rFonts w:ascii="Figtree" w:hAnsi="Figtree"/>
                <w:b w:val="0"/>
                <w:i w:val="0"/>
                <w:sz w:val="20"/>
              </w:rPr>
              <w:t>Week 3-4</w:t>
            </w:r>
          </w:p>
        </w:tc>
      </w:tr>
      <w:tr>
        <w:trPr>
          <w:trHeight w:val="425" w:hRule="atLeast"/>
        </w:trPr>
        <w:tc>
          <w:tcPr>
            <w:tcW w:type="dxa" w:w="4873"/>
            <w:vAlign w:val="center"/>
          </w:tcPr>
          <w:p>
            <w:pPr>
              <w:spacing w:line="276" w:lineRule="auto" w:before="0" w:after="0"/>
            </w:pPr>
            <w:r/>
            <w:r>
              <w:rPr>
                <w:rFonts w:ascii="Figtree" w:hAnsi="Figtree"/>
                <w:b w:val="0"/>
                <w:i w:val="0"/>
                <w:sz w:val="20"/>
              </w:rPr>
              <w:t>BaFin notification strategy discussion</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Technical due diligence</w:t>
            </w:r>
          </w:p>
        </w:tc>
        <w:tc>
          <w:tcPr>
            <w:tcW w:type="dxa" w:w="4873"/>
            <w:vAlign w:val="center"/>
          </w:tcPr>
          <w:p>
            <w:pPr>
              <w:spacing w:line="276" w:lineRule="auto" w:before="0" w:after="0"/>
            </w:pPr>
            <w:r/>
            <w:r>
              <w:rPr>
                <w:rFonts w:ascii="Figtree" w:hAnsi="Figtree"/>
                <w:b w:val="0"/>
                <w:i w:val="0"/>
                <w:sz w:val="20"/>
              </w:rPr>
              <w:t>Week 4-6</w:t>
            </w:r>
          </w:p>
        </w:tc>
      </w:tr>
      <w:tr>
        <w:trPr>
          <w:trHeight w:val="425" w:hRule="atLeast"/>
        </w:trPr>
        <w:tc>
          <w:tcPr>
            <w:tcW w:type="dxa" w:w="4873"/>
            <w:vAlign w:val="center"/>
          </w:tcPr>
          <w:p>
            <w:pPr>
              <w:spacing w:line="276" w:lineRule="auto" w:before="0" w:after="0"/>
            </w:pPr>
            <w:r/>
            <w:r>
              <w:rPr>
                <w:rFonts w:ascii="Figtree" w:hAnsi="Figtree"/>
                <w:b w:val="0"/>
                <w:i w:val="0"/>
                <w:sz w:val="20"/>
              </w:rPr>
              <w:t>Firm commercial proposal</w:t>
            </w:r>
          </w:p>
        </w:tc>
        <w:tc>
          <w:tcPr>
            <w:tcW w:type="dxa" w:w="4873"/>
            <w:vAlign w:val="center"/>
          </w:tcPr>
          <w:p>
            <w:pPr>
              <w:spacing w:line="276" w:lineRule="auto" w:before="0" w:after="0"/>
            </w:pPr>
            <w:r/>
            <w:r>
              <w:rPr>
                <w:rFonts w:ascii="Figtree" w:hAnsi="Figtree"/>
                <w:b w:val="0"/>
                <w:i w:val="0"/>
                <w:sz w:val="20"/>
              </w:rPr>
              <w:t>Week 5-7</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 8-12</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