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020976039"/>
        <w:docPartObj>
          <w:docPartGallery w:val="Cover Pages"/>
          <w:docPartUnique/>
        </w:docPartObj>
      </w:sdtPr>
      <w:sdtContent>
        <w:p w14:paraId="52792642" w14:textId="77777777" w:rsidR="001F6184" w:rsidRPr="000A6351" w:rsidRDefault="001F6184">
          <w:pPr>
            <w:rPr>
              <w:color w:val="0000FF"/>
            </w:rPr>
          </w:pPr>
        </w:p>
        <w:tbl>
          <w:tblPr>
            <w:tblpPr w:leftFromText="187" w:rightFromText="187" w:horzAnchor="margin" w:tblpXSpec="center" w:tblpY="2881"/>
            <w:tblW w:w="4000" w:type="pct"/>
            <w:tblBorders>
              <w:left w:val="single" w:sz="12" w:space="0" w:color="000099" w:themeColor="accent1"/>
            </w:tblBorders>
            <w:tblCellMar>
              <w:left w:w="144" w:type="dxa"/>
              <w:right w:w="115" w:type="dxa"/>
            </w:tblCellMar>
            <w:tblLook w:val="04A0" w:firstRow="1" w:lastRow="0" w:firstColumn="1" w:lastColumn="0" w:noHBand="0" w:noVBand="1"/>
          </w:tblPr>
          <w:tblGrid>
            <w:gridCol w:w="7785"/>
          </w:tblGrid>
          <w:tr w:rsidR="001F6184" w:rsidRPr="00A9690B" w14:paraId="61C01F08" w14:textId="77777777" w:rsidTr="004962CD">
            <w:sdt>
              <w:sdtPr>
                <w:rPr>
                  <w:rFonts w:ascii="Figtree" w:hAnsi="Figtree"/>
                  <w:color w:val="000072" w:themeColor="accent1" w:themeShade="BF"/>
                  <w:sz w:val="24"/>
                  <w:szCs w:val="24"/>
                </w:rPr>
                <w:alias w:val="Company"/>
                <w:id w:val="13406915"/>
                <w:placeholder>
                  <w:docPart w:val="02F3537D4C677A4AAC856F674BAF4DF3"/>
                </w:placeholder>
                <w:showingPlcHdr/>
                <w:dataBinding w:prefixMappings="xmlns:ns0='http://schemas.openxmlformats.org/officeDocument/2006/extended-properties'" w:xpath="/ns0:Properties[1]/ns0:Company[1]" w:storeItemID="{6668398D-A668-4E3E-A5EB-62B293D839F1}"/>
                <w:text/>
              </w:sdtPr>
              <w:sdtContent>
                <w:tc>
                  <w:tcPr>
                    <w:tcW w:w="7785" w:type="dxa"/>
                    <w:tcBorders>
                      <w:left w:val="single" w:sz="12" w:space="0" w:color="000099"/>
                    </w:tcBorders>
                    <w:tcMar>
                      <w:top w:w="216" w:type="dxa"/>
                      <w:left w:w="115" w:type="dxa"/>
                      <w:bottom w:w="216" w:type="dxa"/>
                      <w:right w:w="115" w:type="dxa"/>
                    </w:tcMar>
                  </w:tcPr>
                  <w:p w14:paraId="0CBDA06D" w14:textId="77777777" w:rsidR="001F6184" w:rsidRPr="00A9690B" w:rsidRDefault="001F6184">
                    <w:pPr>
                      <w:pStyle w:val="NoSpacing"/>
                      <w:rPr>
                        <w:rFonts w:ascii="Figtree" w:hAnsi="Figtree"/>
                        <w:color w:val="000072" w:themeColor="accent1" w:themeShade="BF"/>
                        <w:sz w:val="24"/>
                      </w:rPr>
                    </w:pPr>
                    <w:r w:rsidRPr="004962CD">
                      <w:rPr>
                        <w:rFonts w:ascii="Figtree" w:hAnsi="Figtree"/>
                        <w:color w:val="000099"/>
                        <w:sz w:val="24"/>
                        <w:szCs w:val="24"/>
                      </w:rPr>
                      <w:t>[Company name]</w:t>
                    </w:r>
                  </w:p>
                </w:tc>
              </w:sdtContent>
            </w:sdt>
          </w:tr>
          <w:tr w:rsidR="001F6184" w:rsidRPr="00A9690B" w14:paraId="3F596671" w14:textId="77777777" w:rsidTr="004962CD">
            <w:tc>
              <w:tcPr>
                <w:tcW w:w="7785" w:type="dxa"/>
                <w:tcBorders>
                  <w:left w:val="single" w:sz="12" w:space="0" w:color="000099"/>
                </w:tcBorders>
              </w:tcPr>
              <w:sdt>
                <w:sdtPr>
                  <w:rPr>
                    <w:rFonts w:ascii="Figtree" w:eastAsiaTheme="majorEastAsia" w:hAnsi="Figtree" w:cstheme="majorBidi"/>
                    <w:color w:val="000099" w:themeColor="accent1"/>
                    <w:sz w:val="88"/>
                    <w:szCs w:val="88"/>
                  </w:rPr>
                  <w:alias w:val="Title"/>
                  <w:id w:val="13406919"/>
                  <w:placeholder>
                    <w:docPart w:val="00F9803809315C46887E272E02859745"/>
                  </w:placeholder>
                  <w:showingPlcHdr/>
                  <w:dataBinding w:prefixMappings="xmlns:ns0='http://schemas.openxmlformats.org/package/2006/metadata/core-properties' xmlns:ns1='http://purl.org/dc/elements/1.1/'" w:xpath="/ns0:coreProperties[1]/ns1:title[1]" w:storeItemID="{6C3C8BC8-F283-45AE-878A-BAB7291924A1}"/>
                  <w:text/>
                </w:sdtPr>
                <w:sdtContent>
                  <w:p w14:paraId="227360E8" w14:textId="77777777" w:rsidR="001F6184" w:rsidRPr="00A9690B" w:rsidRDefault="001F6184">
                    <w:pPr>
                      <w:pStyle w:val="NoSpacing"/>
                      <w:spacing w:line="216" w:lineRule="auto"/>
                      <w:rPr>
                        <w:rFonts w:ascii="Figtree" w:eastAsiaTheme="majorEastAsia" w:hAnsi="Figtree" w:cstheme="majorBidi"/>
                        <w:color w:val="000099" w:themeColor="accent1"/>
                        <w:sz w:val="88"/>
                        <w:szCs w:val="88"/>
                      </w:rPr>
                    </w:pPr>
                    <w:r w:rsidRPr="000A6351">
                      <w:rPr>
                        <w:color w:val="000099"/>
                        <w:sz w:val="74"/>
                        <w:szCs w:val="420"/>
                      </w:rPr>
                      <w:t>[Document title]</w:t>
                    </w:r>
                  </w:p>
                </w:sdtContent>
              </w:sdt>
            </w:tc>
          </w:tr>
          <w:tr w:rsidR="001F6184" w:rsidRPr="00A9690B" w14:paraId="3A6BC0C4" w14:textId="77777777" w:rsidTr="004962CD">
            <w:sdt>
              <w:sdtPr>
                <w:rPr>
                  <w:rFonts w:ascii="Figtree" w:hAnsi="Figtree"/>
                  <w:color w:val="000072" w:themeColor="accent1" w:themeShade="BF"/>
                  <w:sz w:val="24"/>
                  <w:szCs w:val="24"/>
                </w:rPr>
                <w:alias w:val="Subtitle"/>
                <w:id w:val="13406923"/>
                <w:placeholder>
                  <w:docPart w:val="0D460E9532679D4283311473F5C36932"/>
                </w:placeholder>
                <w:showingPlcHdr/>
                <w:dataBinding w:prefixMappings="xmlns:ns0='http://schemas.openxmlformats.org/package/2006/metadata/core-properties' xmlns:ns1='http://purl.org/dc/elements/1.1/'" w:xpath="/ns0:coreProperties[1]/ns1:subject[1]" w:storeItemID="{6C3C8BC8-F283-45AE-878A-BAB7291924A1}"/>
                <w:text/>
              </w:sdtPr>
              <w:sdtContent>
                <w:tc>
                  <w:tcPr>
                    <w:tcW w:w="7785" w:type="dxa"/>
                    <w:tcBorders>
                      <w:left w:val="single" w:sz="12" w:space="0" w:color="000099"/>
                    </w:tcBorders>
                    <w:tcMar>
                      <w:top w:w="216" w:type="dxa"/>
                      <w:left w:w="115" w:type="dxa"/>
                      <w:bottom w:w="216" w:type="dxa"/>
                      <w:right w:w="115" w:type="dxa"/>
                    </w:tcMar>
                  </w:tcPr>
                  <w:p w14:paraId="63BBE5CC" w14:textId="77777777" w:rsidR="001F6184" w:rsidRPr="00A9690B" w:rsidRDefault="001F6184">
                    <w:pPr>
                      <w:pStyle w:val="NoSpacing"/>
                      <w:rPr>
                        <w:rFonts w:ascii="Figtree" w:hAnsi="Figtree"/>
                        <w:color w:val="000072" w:themeColor="accent1" w:themeShade="BF"/>
                        <w:sz w:val="24"/>
                      </w:rPr>
                    </w:pPr>
                    <w:r w:rsidRPr="004962CD">
                      <w:rPr>
                        <w:rFonts w:ascii="Figtree" w:hAnsi="Figtree"/>
                        <w:color w:val="000099"/>
                        <w:sz w:val="24"/>
                        <w:szCs w:val="24"/>
                      </w:rPr>
                      <w:t>[Document subtitle]</w:t>
                    </w:r>
                  </w:p>
                </w:tc>
              </w:sdtContent>
            </w:sdt>
          </w:tr>
        </w:tbl>
        <w:p w14:paraId="52CEEA21" w14:textId="77777777" w:rsidR="001F6184" w:rsidRPr="00A9690B" w:rsidRDefault="001F6184">
          <w:r w:rsidRPr="00A9690B">
            <w:br w:type="page"/>
          </w:r>
        </w:p>
      </w:sdtContent>
    </w:sdt>
    <w:p w14:paraId="66F8E667" w14:textId="77777777" w:rsidR="00E86454" w:rsidRPr="00E86454" w:rsidRDefault="00E86454" w:rsidP="00E86454">
      <w:pPr>
        <w:rPr>
          <w:b/>
          <w:bCs/>
        </w:rPr>
      </w:pPr>
      <w:r w:rsidRPr="00E86454">
        <w:rPr>
          <w:b/>
          <w:bCs/>
        </w:rPr>
        <w:lastRenderedPageBreak/>
        <w:t>Confidentiality Statement</w:t>
      </w:r>
    </w:p>
    <w:p w14:paraId="75ABE544" w14:textId="77777777" w:rsidR="00E86454" w:rsidRDefault="00E86454" w:rsidP="00E86454">
      <w:r>
        <w:t>This document contains confidential and proprietary information of SettleMint. By reading this document, you agree not to disclose the confidential information contained herein to any third party without the prior written consent of SettleMint, except to those agents, principals, representatives, or consultants who require access for the purpose of evaluating this document. You further agree to inform such persons of the confidential nature of this document and to obtain their agreement to preserve its confidentiality to the same extent as yours.</w:t>
      </w:r>
    </w:p>
    <w:p w14:paraId="5E875877" w14:textId="77777777" w:rsidR="00E86454" w:rsidRDefault="00E86454" w:rsidP="00E86454">
      <w:r>
        <w:t>This confidentiality statement shall remain binding on the parties for a period of five (5) years from the date stated on the front cover, unless superseded by confidentiality provisions detailed in a subsequent agreement.</w:t>
      </w:r>
    </w:p>
    <w:p w14:paraId="0959A354" w14:textId="77777777" w:rsidR="00E86454" w:rsidRPr="00E86454" w:rsidRDefault="00E86454" w:rsidP="00E86454">
      <w:pPr>
        <w:rPr>
          <w:b/>
          <w:bCs/>
        </w:rPr>
      </w:pPr>
      <w:r w:rsidRPr="00E86454">
        <w:rPr>
          <w:b/>
          <w:bCs/>
        </w:rPr>
        <w:t>Terms and Conditions</w:t>
      </w:r>
    </w:p>
    <w:p w14:paraId="4EDB75AD" w14:textId="77777777" w:rsidR="00E86454" w:rsidRDefault="00E86454" w:rsidP="00E86454">
      <w:r>
        <w:t>This proposal is valid until [DD Month YYYY]. In the absence of confirmation to proceed, SettleMint and [</w:t>
      </w:r>
      <w:r w:rsidRPr="00E86454">
        <w:rPr>
          <w:color w:val="FF0000"/>
        </w:rPr>
        <w:t>the Company</w:t>
      </w:r>
      <w:r>
        <w:rPr>
          <w:color w:val="FF0000"/>
        </w:rPr>
        <w:t>]</w:t>
      </w:r>
      <w:r w:rsidRPr="00E86454">
        <w:rPr>
          <w:color w:val="FF0000"/>
        </w:rPr>
        <w:t xml:space="preserve"> </w:t>
      </w:r>
      <w:r>
        <w:t>acknowledge and agree to abide by the Mutual NDA as the governing agreement.</w:t>
      </w:r>
    </w:p>
    <w:p w14:paraId="543E5579" w14:textId="77777777" w:rsidR="00E86454" w:rsidRDefault="00E86454" w:rsidP="00E86454">
      <w:r>
        <w:t>SettleMint reserves the right to vary the terms of this proposal in response to changes in specifications or information made available at a later date. Submission of this proposal does not convey any right, title, interest, or license in any intellectual property rights (including, but not limited to, patents, copyrights, trade secrets, or trademarks) contained herein.</w:t>
      </w:r>
    </w:p>
    <w:p w14:paraId="7661E4CF" w14:textId="77777777" w:rsidR="00E86454" w:rsidRDefault="00E86454" w:rsidP="00E86454">
      <w:r>
        <w:t>All rights are reserved. This proposal and the information contained within it are provided on an “as is” basis, without any warranties of any kind, express or implied.</w:t>
      </w:r>
    </w:p>
    <w:p w14:paraId="2493E1F2" w14:textId="77777777" w:rsidR="00E86454" w:rsidRDefault="00E86454" w:rsidP="00E86454">
      <w:r>
        <w:t>All contracts with SettleMint will be governed by Belgian Law and subject to the exclusive jurisdiction of Belgian courts.</w:t>
      </w:r>
    </w:p>
    <w:p w14:paraId="584FC76C" w14:textId="77777777" w:rsidR="00E86454" w:rsidRPr="008A14BF" w:rsidRDefault="00E86454" w:rsidP="00E86454">
      <w:pPr>
        <w:rPr>
          <w:b/>
          <w:bCs/>
        </w:rPr>
      </w:pPr>
      <w:r w:rsidRPr="008A14BF">
        <w:rPr>
          <w:b/>
          <w:bCs/>
        </w:rPr>
        <w:t>Contact Details</w:t>
      </w:r>
    </w:p>
    <w:p w14:paraId="07A25128" w14:textId="77777777" w:rsidR="00E86454" w:rsidRDefault="00E86454" w:rsidP="00E86454">
      <w:r>
        <w:t>For any enquiries regarding this document, please contact:</w:t>
      </w:r>
    </w:p>
    <w:p w14:paraId="7910139D" w14:textId="77777777" w:rsidR="00E86454" w:rsidRDefault="00E86454" w:rsidP="00E86454">
      <w:r>
        <w:t>[Full Name]</w:t>
      </w:r>
    </w:p>
    <w:p w14:paraId="78CD750E" w14:textId="77777777" w:rsidR="00E86454" w:rsidRDefault="00E86454" w:rsidP="00E86454">
      <w:r>
        <w:t>[Job Title]</w:t>
      </w:r>
    </w:p>
    <w:p w14:paraId="7D10800F" w14:textId="77777777" w:rsidR="00E86454" w:rsidRDefault="00E86454" w:rsidP="00E86454">
      <w:r>
        <w:t>Email: [email@example.com]</w:t>
      </w:r>
    </w:p>
    <w:p w14:paraId="7D0DC7E4" w14:textId="77777777" w:rsidR="00AD4564" w:rsidRDefault="00E86454" w:rsidP="00E86454">
      <w:r>
        <w:t>Phone: [Country Code - Number]</w:t>
      </w:r>
    </w:p>
    <w:p w14:paraId="14BA6D31" w14:textId="77777777" w:rsidR="00AD4564" w:rsidRDefault="00AD4564">
      <w:r>
        <w:br w:type="page"/>
      </w:r>
    </w:p>
    <w:p>
      <w:pPr>
        <w:spacing w:before="0" w:after="240"/>
      </w:pPr>
      <w:r>
        <w:rPr>
          <w:b/>
          <w:sz w:val="32"/>
          <w:szCs w:val="32"/>
          <w:color w:val="000072"/>
          <w:rFonts w:ascii="Figtree" w:hAnsi="Figtree" w:cs="Figtree"/>
        </w:rPr>
        <w:t xml:space="preserve">Table of Contents</w:t>
      </w:r>
    </w:p>
    <w:sdt>
      <w:sdtPr>
        <w:rPr>
          <w:rFonts w:ascii="Figtree" w:eastAsiaTheme="minorHAnsi" w:hAnsi="Figtree" w:cstheme="minorBidi"/>
          <w:color w:val="auto"/>
          <w:kern w:val="2"/>
          <w:sz w:val="24"/>
          <w:szCs w:val="24"/>
          <w:lang w:val="en-IN"/>
          <w14:ligatures w14:val="standardContextual"/>
        </w:rPr>
        <w:id w:val="1667814546"/>
        <w:docPartObj>
          <w:docPartGallery w:val="Table of Contents"/>
          <w:docPartUnique/>
        </w:docPartObj>
      </w:sdtPr>
      <w:sdtEndPr>
        <w:rPr>
          <w:b/>
          <w:bCs/>
          <w:noProof/>
        </w:rPr>
      </w:sdtEndPr>
      <w:sdtContent>
        <w:p>
          <w:r>
            <w:fldChar w:fldCharType="begin"/>
            <w:instrText xml:space="preserve"> TOC \o "1-4" \h \z \u </w:instrText>
            <w:fldChar w:fldCharType="separate"/>
          </w:r>
        </w:p>
        <w:p>
          <w:pPr>
            <w:pStyle w:val="TOC2"/>
            <w:tabs>
              <w:tab w:val="right" w:leader="dot" w:pos="9072"/>
            </w:tabs>
          </w:pPr>
          <w:r>
            <w:t xml:space="preserve">Table of Contents</w:t>
          </w:r>
          <w:r>
            <w:tab/>
          </w:r>
          <w:r>
            <w:t xml:space="preserve">3</w:t>
          </w:r>
        </w:p>
        <w:p>
          <w:pPr>
            <w:pStyle w:val="TOC2"/>
            <w:tabs>
              <w:tab w:val="right" w:leader="dot" w:pos="9072"/>
            </w:tabs>
          </w:pPr>
          <w:r>
            <w:t xml:space="preserve">1. Executive Summary</w:t>
          </w:r>
          <w:r>
            <w:tab/>
          </w:r>
          <w:r>
            <w:t xml:space="preserve">4</w:t>
          </w:r>
        </w:p>
        <w:p>
          <w:pPr>
            <w:pStyle w:val="TOC2"/>
            <w:tabs>
              <w:tab w:val="right" w:leader="dot" w:pos="9072"/>
            </w:tabs>
          </w:pPr>
          <w:r>
            <w:t xml:space="preserve">2. Investment Rationale</w:t>
          </w:r>
          <w:r>
            <w:tab/>
          </w:r>
          <w:r>
            <w:t xml:space="preserve">5</w:t>
          </w:r>
        </w:p>
        <w:p>
          <w:pPr>
            <w:pStyle w:val="TOC3"/>
            <w:tabs>
              <w:tab w:val="right" w:leader="dot" w:pos="9072"/>
            </w:tabs>
          </w:pPr>
          <w:r>
            <w:t xml:space="preserve">2.1 Cost of Current Approach</w:t>
          </w:r>
          <w:r>
            <w:tab/>
          </w:r>
          <w:r>
            <w:t xml:space="preserve">6</w:t>
          </w:r>
        </w:p>
        <w:p>
          <w:pPr>
            <w:pStyle w:val="TOC3"/>
            <w:tabs>
              <w:tab w:val="right" w:leader="dot" w:pos="9072"/>
            </w:tabs>
          </w:pPr>
          <w:r>
            <w:t xml:space="preserve">2.2 DALP Value Drivers</w:t>
          </w:r>
          <w:r>
            <w:tab/>
          </w:r>
          <w:r>
            <w:t xml:space="preserve">7</w:t>
          </w:r>
        </w:p>
        <w:p>
          <w:pPr>
            <w:pStyle w:val="TOC3"/>
            <w:tabs>
              <w:tab w:val="right" w:leader="dot" w:pos="9072"/>
            </w:tabs>
          </w:pPr>
          <w:r>
            <w:t xml:space="preserve">2.3 ROI</w:t>
          </w:r>
          <w:r>
            <w:tab/>
          </w:r>
          <w:r>
            <w:t xml:space="preserve">8</w:t>
          </w:r>
        </w:p>
        <w:p>
          <w:pPr>
            <w:pStyle w:val="TOC2"/>
            <w:tabs>
              <w:tab w:val="right" w:leader="dot" w:pos="9072"/>
            </w:tabs>
          </w:pPr>
          <w:r>
            <w:t xml:space="preserve">3. Licensing Model</w:t>
          </w:r>
          <w:r>
            <w:tab/>
          </w:r>
          <w:r>
            <w:t xml:space="preserve">9</w:t>
          </w:r>
        </w:p>
        <w:p>
          <w:pPr>
            <w:pStyle w:val="TOC3"/>
            <w:tabs>
              <w:tab w:val="right" w:leader="dot" w:pos="9072"/>
            </w:tabs>
          </w:pPr>
          <w:r>
            <w:t xml:space="preserve">3.1 Philosophy</w:t>
          </w:r>
          <w:r>
            <w:tab/>
          </w:r>
          <w:r>
            <w:t xml:space="preserve">10</w:t>
          </w:r>
        </w:p>
        <w:p>
          <w:pPr>
            <w:pStyle w:val="TOC3"/>
            <w:tabs>
              <w:tab w:val="right" w:leader="dot" w:pos="9072"/>
            </w:tabs>
          </w:pPr>
          <w:r>
            <w:t xml:space="preserve">3.2 Tiers</w:t>
          </w:r>
          <w:r>
            <w:tab/>
          </w:r>
          <w:r>
            <w:t xml:space="preserve">11</w:t>
          </w:r>
        </w:p>
        <w:p>
          <w:pPr>
            <w:pStyle w:val="TOC2"/>
            <w:tabs>
              <w:tab w:val="right" w:leader="dot" w:pos="9072"/>
            </w:tabs>
          </w:pPr>
          <w:r>
            <w:t xml:space="preserve">4. Deployment Options and Pricing</w:t>
          </w:r>
          <w:r>
            <w:tab/>
          </w:r>
          <w:r>
            <w:t xml:space="preserve">12</w:t>
          </w:r>
        </w:p>
        <w:p>
          <w:pPr>
            <w:pStyle w:val="TOC2"/>
            <w:tabs>
              <w:tab w:val="right" w:leader="dot" w:pos="9072"/>
            </w:tabs>
          </w:pPr>
          <w:r>
            <w:t xml:space="preserve">5. Support and SLA Framework</w:t>
          </w:r>
          <w:r>
            <w:tab/>
          </w:r>
          <w:r>
            <w:t xml:space="preserve">13</w:t>
          </w:r>
        </w:p>
        <w:p>
          <w:pPr>
            <w:pStyle w:val="TOC3"/>
            <w:tabs>
              <w:tab w:val="right" w:leader="dot" w:pos="9072"/>
            </w:tabs>
          </w:pPr>
          <w:r>
            <w:t xml:space="preserve">5.1 Enterprise Support (Recommended)</w:t>
          </w:r>
          <w:r>
            <w:tab/>
          </w:r>
          <w:r>
            <w:t xml:space="preserve">14</w:t>
          </w:r>
        </w:p>
        <w:p>
          <w:pPr>
            <w:pStyle w:val="TOC3"/>
            <w:tabs>
              <w:tab w:val="right" w:leader="dot" w:pos="9072"/>
            </w:tabs>
          </w:pPr>
          <w:r>
            <w:t xml:space="preserve">5.2 Severity Levels</w:t>
          </w:r>
          <w:r>
            <w:tab/>
          </w:r>
          <w:r>
            <w:t xml:space="preserve">15</w:t>
          </w:r>
        </w:p>
        <w:p>
          <w:pPr>
            <w:pStyle w:val="TOC2"/>
            <w:tabs>
              <w:tab w:val="right" w:leader="dot" w:pos="9072"/>
            </w:tabs>
          </w:pPr>
          <w:r>
            <w:t xml:space="preserve">6. Implementation Investment</w:t>
          </w:r>
          <w:r>
            <w:tab/>
          </w:r>
          <w:r>
            <w:t xml:space="preserve">16</w:t>
          </w:r>
        </w:p>
        <w:p>
          <w:pPr>
            <w:pStyle w:val="TOC2"/>
            <w:tabs>
              <w:tab w:val="right" w:leader="dot" w:pos="9072"/>
            </w:tabs>
          </w:pPr>
          <w:r>
            <w:t xml:space="preserve">7. Total Cost of Ownership</w:t>
          </w:r>
          <w:r>
            <w:tab/>
          </w:r>
          <w:r>
            <w:t xml:space="preserve">17</w:t>
          </w:r>
        </w:p>
        <w:p>
          <w:pPr>
            <w:pStyle w:val="TOC3"/>
            <w:tabs>
              <w:tab w:val="right" w:leader="dot" w:pos="9072"/>
            </w:tabs>
          </w:pPr>
          <w:r>
            <w:t xml:space="preserve">7.1 Three-Year TCO</w:t>
          </w:r>
          <w:r>
            <w:tab/>
          </w:r>
          <w:r>
            <w:t xml:space="preserve">18</w:t>
          </w:r>
        </w:p>
        <w:p>
          <w:pPr>
            <w:pStyle w:val="TOC3"/>
            <w:tabs>
              <w:tab w:val="right" w:leader="dot" w:pos="9072"/>
            </w:tabs>
          </w:pPr>
          <w:r>
            <w:t xml:space="preserve">7.2 Five-Year Model</w:t>
          </w:r>
          <w:r>
            <w:tab/>
          </w:r>
          <w:r>
            <w:t xml:space="preserve">19</w:t>
          </w:r>
        </w:p>
        <w:p>
          <w:pPr>
            <w:pStyle w:val="TOC3"/>
            <w:tabs>
              <w:tab w:val="right" w:leader="dot" w:pos="9072"/>
            </w:tabs>
          </w:pPr>
          <w:r>
            <w:t xml:space="preserve">7.3 Build vs. DALP</w:t>
          </w:r>
          <w:r>
            <w:tab/>
          </w:r>
          <w:r>
            <w:t xml:space="preserve">20</w:t>
          </w:r>
        </w:p>
        <w:p>
          <w:pPr>
            <w:pStyle w:val="TOC2"/>
            <w:tabs>
              <w:tab w:val="right" w:leader="dot" w:pos="9072"/>
            </w:tabs>
          </w:pPr>
          <w:r>
            <w:t xml:space="preserve">8. Commercial Terms</w:t>
          </w:r>
          <w:r>
            <w:tab/>
          </w:r>
          <w:r>
            <w:t xml:space="preserve">21</w:t>
          </w:r>
        </w:p>
        <w:p>
          <w:pPr>
            <w:pStyle w:val="TOC3"/>
            <w:tabs>
              <w:tab w:val="right" w:leader="dot" w:pos="9072"/>
            </w:tabs>
          </w:pPr>
          <w:r>
            <w:t xml:space="preserve">8.1 Contract Structure</w:t>
          </w:r>
          <w:r>
            <w:tab/>
          </w:r>
          <w:r>
            <w:t xml:space="preserve">22</w:t>
          </w:r>
        </w:p>
        <w:p>
          <w:pPr>
            <w:pStyle w:val="TOC3"/>
            <w:tabs>
              <w:tab w:val="right" w:leader="dot" w:pos="9072"/>
            </w:tabs>
          </w:pPr>
          <w:r>
            <w:t xml:space="preserve">8.2 Payment Schedule</w:t>
          </w:r>
          <w:r>
            <w:tab/>
          </w:r>
          <w:r>
            <w:t xml:space="preserve">23</w:t>
          </w:r>
        </w:p>
        <w:p>
          <w:pPr>
            <w:pStyle w:val="TOC3"/>
            <w:tabs>
              <w:tab w:val="right" w:leader="dot" w:pos="9072"/>
            </w:tabs>
          </w:pPr>
          <w:r>
            <w:t xml:space="preserve">8.3 Multi-Entity Extension</w:t>
          </w:r>
          <w:r>
            <w:tab/>
          </w:r>
          <w:r>
            <w:t xml:space="preserve">24</w:t>
          </w:r>
        </w:p>
        <w:p>
          <w:pPr>
            <w:pStyle w:val="TOC3"/>
            <w:tabs>
              <w:tab w:val="right" w:leader="dot" w:pos="9072"/>
            </w:tabs>
          </w:pPr>
          <w:r>
            <w:t xml:space="preserve">8.4 IP and Data</w:t>
          </w:r>
          <w:r>
            <w:tab/>
          </w:r>
          <w:r>
            <w:t xml:space="preserve">25</w:t>
          </w:r>
        </w:p>
        <w:p>
          <w:pPr>
            <w:pStyle w:val="TOC3"/>
            <w:tabs>
              <w:tab w:val="right" w:leader="dot" w:pos="9072"/>
            </w:tabs>
          </w:pPr>
          <w:r>
            <w:t xml:space="preserve">8.5 Exit</w:t>
          </w:r>
          <w:r>
            <w:tab/>
          </w:r>
          <w:r>
            <w:t xml:space="preserve">26</w:t>
          </w:r>
        </w:p>
        <w:p>
          <w:pPr>
            <w:pStyle w:val="TOC2"/>
            <w:tabs>
              <w:tab w:val="right" w:leader="dot" w:pos="9072"/>
            </w:tabs>
          </w:pPr>
          <w:r>
            <w:t xml:space="preserve">9. Reference Clients</w:t>
          </w:r>
          <w:r>
            <w:tab/>
          </w:r>
          <w:r>
            <w:t xml:space="preserve">27</w:t>
          </w:r>
        </w:p>
        <w:p>
          <w:pPr>
            <w:pStyle w:val="TOC2"/>
            <w:tabs>
              <w:tab w:val="right" w:leader="dot" w:pos="9072"/>
            </w:tabs>
          </w:pPr>
          <w:r>
            <w:t xml:space="preserve">10. Next Steps</w:t>
          </w:r>
          <w:r>
            <w:tab/>
          </w:r>
          <w:r>
            <w:t xml:space="preserve">28</w:t>
          </w:r>
        </w:p>
        <w:p>
          <w:r>
            <w:fldChar w:fldCharType="end"/>
          </w:r>
        </w:p>
      </w:sdtContent>
    </w:sdt>
    <w:p w14:paraId="3CB9FE7A" w14:textId="77777777" w:rsidR="006B6750" w:rsidRPr="00A9690B" w:rsidRDefault="006B6750" w:rsidP="0018162B">
      <w:pPr>
        <w:rPr>
          <w:rFonts w:eastAsiaTheme="majorEastAsia" w:cstheme="majorBidi"/>
          <w:b/>
          <w:color w:val="0070C0"/>
          <w:sz w:val="32"/>
          <w:szCs w:val="40"/>
        </w:rPr>
      </w:pPr>
      <w:r w:rsidRPr="00A9690B">
        <w:br w:type="page"/>
      </w:r>
    </w:p>
    <w:p>
      <w:r>
        <w:rPr>
          <w:rFonts w:ascii="Figtree" w:hAnsi="Figtree"/>
          <w:b/>
          <w:i w:val="0"/>
          <w:sz w:val="22"/>
        </w:rPr>
        <w:t>Prepared for:</w:t>
      </w:r>
      <w:r>
        <w:rPr>
          <w:rFonts w:ascii="Figtree" w:hAnsi="Figtree"/>
          <w:b w:val="0"/>
          <w:i w:val="0"/>
          <w:sz w:val="22"/>
        </w:rPr>
        <w:t xml:space="preserve"> Euroclear SA/NV</w:t>
      </w:r>
    </w:p>
    <w:p>
      <w:r>
        <w:rPr>
          <w:rFonts w:ascii="Figtree" w:hAnsi="Figtree"/>
          <w:b/>
          <w:i w:val="0"/>
          <w:sz w:val="22"/>
        </w:rPr>
        <w:t>Document Title:</w:t>
      </w:r>
      <w:r>
        <w:rPr>
          <w:rFonts w:ascii="Figtree" w:hAnsi="Figtree"/>
          <w:b w:val="0"/>
          <w:i w:val="0"/>
          <w:sz w:val="22"/>
        </w:rPr>
        <w:t xml:space="preserve"> Commercial Proposal — Digital Securities Settlement Infrastructure</w:t>
      </w:r>
    </w:p>
    <w:p>
      <w:r>
        <w:rPr>
          <w:rFonts w:ascii="Figtree" w:hAnsi="Figtree"/>
          <w:b/>
          <w:i w:val="0"/>
          <w:sz w:val="22"/>
        </w:rPr>
        <w:t>RFP Reference:</w:t>
      </w:r>
      <w:r>
        <w:rPr>
          <w:rFonts w:ascii="Figtree" w:hAnsi="Figtree"/>
          <w:b w:val="0"/>
          <w:i w:val="0"/>
          <w:sz w:val="22"/>
        </w:rPr>
        <w:t xml:space="preserve"> EUROCLEAR-RFP-202603</w:t>
      </w:r>
    </w:p>
    <w:p>
      <w:r>
        <w:rPr>
          <w:rFonts w:ascii="Figtree" w:hAnsi="Figtree"/>
          <w:b/>
          <w:i w:val="0"/>
          <w:sz w:val="22"/>
        </w:rPr>
        <w:t>Submission Date:</w:t>
      </w:r>
      <w:r>
        <w:rPr>
          <w:rFonts w:ascii="Figtree" w:hAnsi="Figtree"/>
          <w:b w:val="0"/>
          <w:i w:val="0"/>
          <w:sz w:val="22"/>
        </w:rPr>
        <w:t xml:space="preserve"> March 2026</w:t>
      </w:r>
    </w:p>
    <w:p>
      <w:r>
        <w:rPr>
          <w:rFonts w:ascii="Figtree" w:hAnsi="Figtree"/>
          <w:b/>
          <w:i w:val="0"/>
          <w:sz w:val="22"/>
        </w:rPr>
        <w:t>Version:</w:t>
      </w:r>
      <w:r>
        <w:rPr>
          <w:rFonts w:ascii="Figtree" w:hAnsi="Figtree"/>
          <w:b w:val="0"/>
          <w:i w:val="0"/>
          <w:sz w:val="22"/>
        </w:rPr>
        <w:t xml:space="preserve"> 1.0 Draft</w:t>
      </w:r>
    </w:p>
    <w:p>
      <w:r>
        <w:rPr>
          <w:rFonts w:ascii="Figtree" w:hAnsi="Figtree"/>
          <w:b/>
          <w:i w:val="0"/>
          <w:sz w:val="22"/>
        </w:rPr>
        <w:t>Classification:</w:t>
      </w:r>
      <w:r>
        <w:rPr>
          <w:rFonts w:ascii="Figtree" w:hAnsi="Figtree"/>
          <w:b w:val="0"/>
          <w:i w:val="0"/>
          <w:sz w:val="22"/>
        </w:rPr>
        <w:t xml:space="preserve"> SettleMint Confidential</w:t>
      </w:r>
    </w:p>
    <w:p>
      <w:r>
        <w:br w:type="page"/>
      </w:r>
    </w:p>
    <w:p>
      <w:pPr>
        <w:pStyle w:val="H2"/>
        <w:numPr>
          <w:ilvl w:val="1"/>
          <w:numId w:val="1"/>
        </w:numPr>
      </w:pPr>
      <w:r>
        <w:t>Table of Contents</w:t>
      </w:r>
    </w:p>
    <w:p>
      <w:pPr>
        <w:pStyle w:val="ListParagraph"/>
        <w:numPr>
          <w:ilvl w:val="0"/>
          <w:numId w:val="6"/>
        </w:numPr>
      </w:pPr>
      <w:r>
        <w:rPr>
          <w:rFonts w:ascii="Figtree" w:hAnsi="Figtree"/>
          <w:b w:val="0"/>
          <w:i w:val="0"/>
          <w:sz w:val="22"/>
        </w:rPr>
        <w:t>Executive Summary</w:t>
      </w:r>
    </w:p>
    <w:p>
      <w:pPr>
        <w:pStyle w:val="ListParagraph"/>
        <w:numPr>
          <w:ilvl w:val="0"/>
          <w:numId w:val="6"/>
        </w:numPr>
      </w:pPr>
      <w:r>
        <w:rPr>
          <w:rFonts w:ascii="Figtree" w:hAnsi="Figtree"/>
          <w:b w:val="0"/>
          <w:i w:val="0"/>
          <w:sz w:val="22"/>
        </w:rPr>
        <w:t>Investment Rationale</w:t>
      </w:r>
    </w:p>
    <w:p>
      <w:pPr>
        <w:pStyle w:val="ListParagraph"/>
        <w:numPr>
          <w:ilvl w:val="0"/>
          <w:numId w:val="6"/>
        </w:numPr>
      </w:pPr>
      <w:r>
        <w:rPr>
          <w:rFonts w:ascii="Figtree" w:hAnsi="Figtree"/>
          <w:b w:val="0"/>
          <w:i w:val="0"/>
          <w:sz w:val="22"/>
        </w:rPr>
        <w:t>Licensing Model</w:t>
      </w:r>
    </w:p>
    <w:p>
      <w:pPr>
        <w:pStyle w:val="ListParagraph"/>
        <w:numPr>
          <w:ilvl w:val="0"/>
          <w:numId w:val="6"/>
        </w:numPr>
      </w:pPr>
      <w:r>
        <w:rPr>
          <w:rFonts w:ascii="Figtree" w:hAnsi="Figtree"/>
          <w:b w:val="0"/>
          <w:i w:val="0"/>
          <w:sz w:val="22"/>
        </w:rPr>
        <w:t>Deployment Options and Pricing</w:t>
      </w:r>
    </w:p>
    <w:p>
      <w:pPr>
        <w:pStyle w:val="ListParagraph"/>
        <w:numPr>
          <w:ilvl w:val="0"/>
          <w:numId w:val="6"/>
        </w:numPr>
      </w:pPr>
      <w:r>
        <w:rPr>
          <w:rFonts w:ascii="Figtree" w:hAnsi="Figtree"/>
          <w:b w:val="0"/>
          <w:i w:val="0"/>
          <w:sz w:val="22"/>
        </w:rPr>
        <w:t>Support and SLA Framework</w:t>
      </w:r>
    </w:p>
    <w:p>
      <w:pPr>
        <w:pStyle w:val="ListParagraph"/>
        <w:numPr>
          <w:ilvl w:val="0"/>
          <w:numId w:val="6"/>
        </w:numPr>
      </w:pPr>
      <w:r>
        <w:rPr>
          <w:rFonts w:ascii="Figtree" w:hAnsi="Figtree"/>
          <w:b w:val="0"/>
          <w:i w:val="0"/>
          <w:sz w:val="22"/>
        </w:rPr>
        <w:t>Implementation Investment</w:t>
      </w:r>
    </w:p>
    <w:p>
      <w:pPr>
        <w:pStyle w:val="ListParagraph"/>
        <w:numPr>
          <w:ilvl w:val="0"/>
          <w:numId w:val="6"/>
        </w:numPr>
      </w:pPr>
      <w:r>
        <w:rPr>
          <w:rFonts w:ascii="Figtree" w:hAnsi="Figtree"/>
          <w:b w:val="0"/>
          <w:i w:val="0"/>
          <w:sz w:val="22"/>
        </w:rPr>
        <w:t>Total Cost of Ownership</w:t>
      </w:r>
    </w:p>
    <w:p>
      <w:pPr>
        <w:pStyle w:val="ListParagraph"/>
        <w:numPr>
          <w:ilvl w:val="0"/>
          <w:numId w:val="6"/>
        </w:numPr>
      </w:pPr>
      <w:r>
        <w:rPr>
          <w:rFonts w:ascii="Figtree" w:hAnsi="Figtree"/>
          <w:b w:val="0"/>
          <w:i w:val="0"/>
          <w:sz w:val="22"/>
        </w:rPr>
        <w:t>Commercial Terms</w:t>
      </w:r>
    </w:p>
    <w:p>
      <w:pPr>
        <w:pStyle w:val="ListParagraph"/>
        <w:numPr>
          <w:ilvl w:val="0"/>
          <w:numId w:val="6"/>
        </w:numPr>
      </w:pPr>
      <w:r>
        <w:rPr>
          <w:rFonts w:ascii="Figtree" w:hAnsi="Figtree"/>
          <w:b w:val="0"/>
          <w:i w:val="0"/>
          <w:sz w:val="22"/>
        </w:rPr>
        <w:t>Reference Clients</w:t>
      </w:r>
    </w:p>
    <w:p>
      <w:pPr>
        <w:pStyle w:val="ListParagraph"/>
        <w:numPr>
          <w:ilvl w:val="0"/>
          <w:numId w:val="6"/>
        </w:numPr>
      </w:pPr>
      <w:r>
        <w:rPr>
          <w:rFonts w:ascii="Figtree" w:hAnsi="Figtree"/>
          <w:b w:val="0"/>
          <w:i w:val="0"/>
          <w:sz w:val="22"/>
        </w:rPr>
        <w:t>Next Steps</w:t>
      </w:r>
    </w:p>
    <w:p>
      <w:r>
        <w:br w:type="page"/>
      </w:r>
    </w:p>
    <w:p>
      <w:pPr>
        <w:pStyle w:val="H2"/>
        <w:numPr>
          <w:ilvl w:val="1"/>
          <w:numId w:val="1"/>
        </w:numPr>
      </w:pPr>
      <w:r>
        <w:t>1. Executive Summary</w:t>
      </w:r>
    </w:p>
    <w:p>
      <w:r>
        <w:rPr>
          <w:rFonts w:ascii="Figtree" w:hAnsi="Figtree"/>
          <w:b w:val="0"/>
          <w:i w:val="0"/>
          <w:sz w:val="22"/>
        </w:rPr>
        <w:t>Euroclear's digital securities settlement programme requires infrastructure where settlement finality is non-negotiable, DvP atomicity is guaranteed, and reconciliation with legacy book-entry is continuous. As the world's largest ICSD, Euroclear cannot operate a settlement system that creates uncertainty about whether a trade has settled. CSDR's penalty regime makes settlement failures immediately financially consequential. DORA's resilience requirements mandate tested recovery across all relevant failure scenarios.</w:t>
      </w:r>
    </w:p>
    <w:p>
      <w:r>
        <w:rPr>
          <w:rFonts w:ascii="Figtree" w:hAnsi="Figtree"/>
          <w:b w:val="0"/>
          <w:i w:val="0"/>
          <w:sz w:val="22"/>
        </w:rPr>
        <w:t>The commercial decision is whether to build the DvP settlement engine, settlement finality mechanism, and reconciliation architecture internally, assemble it from multiple vendors, or adopt a platform with production-proven settlement finality at comparable infrastructure scale.</w:t>
      </w:r>
    </w:p>
    <w:p>
      <w:r>
        <w:rPr>
          <w:rFonts w:ascii="Figtree" w:hAnsi="Figtree"/>
          <w:b w:val="0"/>
          <w:i w:val="0"/>
          <w:sz w:val="22"/>
        </w:rPr>
        <w:t>DALP's XvP addon, IBFT 2.0 consensus architecture, and durable execution engine are the specific capabilities that address Euroclear's settlement certainty requirements. These are not generic blockchain features — they are the combination of on-chain atomicity, immediate consensus finality, and workflow durability that makes digital securities settlement operationally trustworthy.</w:t>
      </w:r>
    </w:p>
    <w:p>
      <w:r>
        <w:rPr>
          <w:rFonts w:ascii="Figtree" w:hAnsi="Figtree"/>
          <w:b/>
          <w:i w:val="0"/>
          <w:sz w:val="22"/>
        </w:rPr>
        <w:t>Recommended profile:</w:t>
      </w:r>
    </w:p>
    <w:p>
      <w:pPr>
        <w:pStyle w:val="ListParagraph"/>
        <w:numPr>
          <w:ilvl w:val="0"/>
          <w:numId w:val="4"/>
        </w:numPr>
      </w:pPr>
      <w:r>
        <w:rPr>
          <w:rFonts w:ascii="Figtree" w:hAnsi="Figtree"/>
          <w:b w:val="0"/>
          <w:i w:val="0"/>
          <w:sz w:val="22"/>
        </w:rPr>
        <w:t>License tier: Sovereign (ICSD-scale governance controls; cross-CSD extension path)</w:t>
      </w:r>
    </w:p>
    <w:p>
      <w:pPr>
        <w:pStyle w:val="ListParagraph"/>
        <w:numPr>
          <w:ilvl w:val="0"/>
          <w:numId w:val="4"/>
        </w:numPr>
      </w:pPr>
      <w:r>
        <w:rPr>
          <w:rFonts w:ascii="Figtree" w:hAnsi="Figtree"/>
          <w:b w:val="0"/>
          <w:i w:val="0"/>
          <w:sz w:val="22"/>
        </w:rPr>
        <w:t>Deployment: Private Cloud (Belgium/EU region)</w:t>
      </w:r>
    </w:p>
    <w:p>
      <w:pPr>
        <w:pStyle w:val="ListParagraph"/>
        <w:numPr>
          <w:ilvl w:val="0"/>
          <w:numId w:val="4"/>
        </w:numPr>
      </w:pPr>
      <w:r>
        <w:rPr>
          <w:rFonts w:ascii="Figtree" w:hAnsi="Figtree"/>
          <w:b w:val="0"/>
          <w:i w:val="0"/>
          <w:sz w:val="22"/>
        </w:rPr>
        <w:t>Implementation: Fixed-price, 32-week delivery including TARGET2 integration and parallel run</w:t>
      </w:r>
    </w:p>
    <w:p>
      <w:pPr>
        <w:pStyle w:val="ListParagraph"/>
        <w:numPr>
          <w:ilvl w:val="0"/>
          <w:numId w:val="4"/>
        </w:numPr>
      </w:pPr>
      <w:r>
        <w:rPr>
          <w:rFonts w:ascii="Figtree" w:hAnsi="Figtree"/>
          <w:b w:val="0"/>
          <w:i w:val="0"/>
          <w:sz w:val="22"/>
        </w:rPr>
        <w:t>Support: Enterprise (24/7, DORA/CSDR aligned, dedicated SRE)</w:t>
      </w:r>
    </w:p>
    <w:p>
      <w:r>
        <w:rPr>
          <w:rFonts w:ascii="Figtree" w:hAnsi="Figtree"/>
          <w:b/>
          <w:i w:val="0"/>
          <w:sz w:val="22"/>
        </w:rPr>
        <w:t>Indicative 3-year investment:</w:t>
      </w:r>
      <w:r>
        <w:rPr>
          <w:rFonts w:ascii="Figtree" w:hAnsi="Figtree"/>
          <w:b w:val="0"/>
          <w:i w:val="0"/>
          <w:sz w:val="22"/>
        </w:rPr>
        <w:t xml:space="preserve"> EUR [CLIENT-SPECIFIC: ~7M-12M] total. Build-from-scratch estimate: EUR 18-30M+ over 30-36 months.</w:t>
      </w:r>
    </w:p>
    <w:p>
      <w:r>
        <w:br w:type="page"/>
      </w:r>
    </w:p>
    <w:p>
      <w:pPr>
        <w:pStyle w:val="H2"/>
        <w:numPr>
          <w:ilvl w:val="1"/>
          <w:numId w:val="1"/>
        </w:numPr>
      </w:pPr>
      <w:r>
        <w:t>2. Investment Rationale</w:t>
      </w:r>
    </w:p>
    <w:p>
      <w:pPr>
        <w:pStyle w:val="H3"/>
        <w:numPr>
          <w:ilvl w:val="2"/>
          <w:numId w:val="1"/>
        </w:numPr>
      </w:pPr>
      <w:r>
        <w:t>2.1 Cost of Current Approach</w:t>
      </w:r>
    </w:p>
    <w:p>
      <w:r>
        <w:rPr>
          <w:rFonts w:ascii="Figtree" w:hAnsi="Figtree"/>
          <w:b/>
          <w:i w:val="0"/>
          <w:sz w:val="22"/>
        </w:rPr>
        <w:t>Build path estimate:</w:t>
      </w:r>
      <w:r>
        <w:rPr>
          <w:rFonts w:ascii="Figtree" w:hAnsi="Figtree"/>
          <w:b w:val="0"/>
          <w:i w:val="0"/>
          <w:sz w:val="22"/>
        </w:rPr>
        <w:t xml:space="preserve"> EUR 18-30M+ over 30-36 months:</w:t>
      </w:r>
    </w:p>
    <w:p>
      <w:pPr>
        <w:pStyle w:val="ListParagraph"/>
        <w:numPr>
          <w:ilvl w:val="0"/>
          <w:numId w:val="4"/>
        </w:numPr>
      </w:pPr>
      <w:r>
        <w:rPr>
          <w:rFonts w:ascii="Figtree" w:hAnsi="Figtree"/>
          <w:b w:val="0"/>
          <w:i w:val="0"/>
          <w:sz w:val="22"/>
        </w:rPr>
        <w:t>DvP atomic settlement engine: 8-10 FTE, 24 months</w:t>
      </w:r>
    </w:p>
    <w:p>
      <w:pPr>
        <w:pStyle w:val="ListParagraph"/>
        <w:numPr>
          <w:ilvl w:val="0"/>
          <w:numId w:val="4"/>
        </w:numPr>
      </w:pPr>
      <w:r>
        <w:rPr>
          <w:rFonts w:ascii="Figtree" w:hAnsi="Figtree"/>
          <w:b w:val="0"/>
          <w:i w:val="0"/>
          <w:sz w:val="22"/>
        </w:rPr>
        <w:t>IBFT 2.0 finality layer: 4-6 FTE, 18 months</w:t>
      </w:r>
    </w:p>
    <w:p>
      <w:pPr>
        <w:pStyle w:val="ListParagraph"/>
        <w:numPr>
          <w:ilvl w:val="0"/>
          <w:numId w:val="4"/>
        </w:numPr>
      </w:pPr>
      <w:r>
        <w:rPr>
          <w:rFonts w:ascii="Figtree" w:hAnsi="Figtree"/>
          <w:b w:val="0"/>
          <w:i w:val="0"/>
          <w:sz w:val="22"/>
        </w:rPr>
        <w:t>Settlement instruction lifecycle management: 4-5 FTE, 15 months</w:t>
      </w:r>
    </w:p>
    <w:p>
      <w:pPr>
        <w:pStyle w:val="ListParagraph"/>
        <w:numPr>
          <w:ilvl w:val="0"/>
          <w:numId w:val="4"/>
        </w:numPr>
      </w:pPr>
      <w:r>
        <w:rPr>
          <w:rFonts w:ascii="Figtree" w:hAnsi="Figtree"/>
          <w:b w:val="0"/>
          <w:i w:val="0"/>
          <w:sz w:val="22"/>
        </w:rPr>
        <w:t>TARGET2/CREST integration: 4-6 FTE, 15 months</w:t>
      </w:r>
    </w:p>
    <w:p>
      <w:pPr>
        <w:pStyle w:val="ListParagraph"/>
        <w:numPr>
          <w:ilvl w:val="0"/>
          <w:numId w:val="4"/>
        </w:numPr>
      </w:pPr>
      <w:r>
        <w:rPr>
          <w:rFonts w:ascii="Figtree" w:hAnsi="Figtree"/>
          <w:b w:val="0"/>
          <w:i w:val="0"/>
          <w:sz w:val="22"/>
        </w:rPr>
        <w:t>Corporate action engine: 3-4 FTE, 12 months</w:t>
      </w:r>
    </w:p>
    <w:p>
      <w:pPr>
        <w:pStyle w:val="ListParagraph"/>
        <w:numPr>
          <w:ilvl w:val="0"/>
          <w:numId w:val="4"/>
        </w:numPr>
      </w:pPr>
      <w:r>
        <w:rPr>
          <w:rFonts w:ascii="Figtree" w:hAnsi="Figtree"/>
          <w:b w:val="0"/>
          <w:i w:val="0"/>
          <w:sz w:val="22"/>
        </w:rPr>
        <w:t>CSDR reporting integration: 3-4 FTE, 12 months</w:t>
      </w:r>
    </w:p>
    <w:p>
      <w:pPr>
        <w:pStyle w:val="ListParagraph"/>
        <w:numPr>
          <w:ilvl w:val="0"/>
          <w:numId w:val="4"/>
        </w:numPr>
      </w:pPr>
      <w:r>
        <w:rPr>
          <w:rFonts w:ascii="Figtree" w:hAnsi="Figtree"/>
          <w:b w:val="0"/>
          <w:i w:val="0"/>
          <w:sz w:val="22"/>
        </w:rPr>
        <w:t>DORA/CSDR compliance documentation: 2-3 FTE, 9 months</w:t>
      </w:r>
    </w:p>
    <w:p>
      <w:r>
        <w:rPr>
          <w:rFonts w:ascii="Figtree" w:hAnsi="Figtree"/>
          <w:b/>
          <w:i w:val="0"/>
          <w:sz w:val="22"/>
        </w:rPr>
        <w:t>Critical build risk:</w:t>
      </w:r>
      <w:r>
        <w:rPr>
          <w:rFonts w:ascii="Figtree" w:hAnsi="Figtree"/>
          <w:b w:val="0"/>
          <w:i w:val="0"/>
          <w:sz w:val="22"/>
        </w:rPr>
        <w:t xml:space="preserve"> Settlement finality is not achieved by engineering alone. It requires a consensus mechanism (IBFT 2.0 or equivalent) proven in production across infrastructure failures, network partitions, and peak load scenarios. Building and validating this from scratch requires operational experience that cannot be compressed.</w:t>
      </w:r>
    </w:p>
    <w:p>
      <w:r>
        <w:rPr>
          <w:rFonts w:ascii="Figtree" w:hAnsi="Figtree"/>
          <w:b/>
          <w:i w:val="0"/>
          <w:sz w:val="22"/>
        </w:rPr>
        <w:t>Multi-vendor risk:</w:t>
      </w:r>
      <w:r>
        <w:rPr>
          <w:rFonts w:ascii="Figtree" w:hAnsi="Figtree"/>
          <w:b w:val="0"/>
          <w:i w:val="0"/>
          <w:sz w:val="22"/>
        </w:rPr>
        <w:t xml:space="preserve"> CSDR's settlement discipline imposes penalties on Euroclear for settlement failures. Multi-vendor assembly creates incident accountability gaps: who owns a DvP failure when the delivery engine is one vendor, the payment interface is another, and the reconciliation system is a third? DALP provides unified accountability for the settlement layer.</w:t>
      </w:r>
    </w:p>
    <w:p>
      <w:pPr>
        <w:pStyle w:val="H3"/>
        <w:numPr>
          <w:ilvl w:val="2"/>
          <w:numId w:val="1"/>
        </w:numPr>
      </w:pPr>
      <w:r>
        <w:t>2.2 DALP Value Drivers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4019"/>
        <w:gridCol w:w="1148"/>
        <w:gridCol w:w="3904"/>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Capability</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Build Cost</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DALP</w:t>
            </w:r>
          </w:p>
        </w:tc>
      </w:tr>
      <w:tr>
        <w:trPr>
          <w:trHeight w:val="425" w:hRule="atLeast"/>
        </w:trPr>
        <w:tc>
          <w:tcPr>
            <w:tcW w:type="dxa" w:w="3249"/>
            <w:vAlign w:val="center"/>
          </w:tcPr>
          <w:p>
            <w:pPr>
              <w:spacing w:line="276" w:lineRule="auto" w:before="0" w:after="0"/>
            </w:pPr>
            <w:r/>
            <w:r>
              <w:rPr>
                <w:rFonts w:ascii="Figtree" w:hAnsi="Figtree"/>
                <w:b w:val="0"/>
                <w:i w:val="0"/>
                <w:sz w:val="20"/>
              </w:rPr>
              <w:t>XvP atomic DvP settlement</w:t>
            </w:r>
          </w:p>
        </w:tc>
        <w:tc>
          <w:tcPr>
            <w:tcW w:type="dxa" w:w="3249"/>
            <w:vAlign w:val="center"/>
          </w:tcPr>
          <w:p>
            <w:pPr>
              <w:spacing w:line="276" w:lineRule="auto" w:before="0" w:after="0"/>
            </w:pPr>
            <w:r/>
            <w:r>
              <w:rPr>
                <w:rFonts w:ascii="Figtree" w:hAnsi="Figtree"/>
                <w:b w:val="0"/>
                <w:i w:val="0"/>
                <w:sz w:val="20"/>
              </w:rPr>
              <w:t>EUR 5-8M</w:t>
            </w:r>
          </w:p>
        </w:tc>
        <w:tc>
          <w:tcPr>
            <w:tcW w:type="dxa" w:w="3249"/>
            <w:vAlign w:val="center"/>
          </w:tcPr>
          <w:p>
            <w:pPr>
              <w:spacing w:line="276" w:lineRule="auto" w:before="0" w:after="0"/>
            </w:pPr>
            <w:r/>
            <w:r>
              <w:rPr>
                <w:rFonts w:ascii="Figtree" w:hAnsi="Figtree"/>
                <w:b w:val="0"/>
                <w:i w:val="0"/>
                <w:sz w:val="20"/>
              </w:rPr>
              <w:t>Included</w:t>
            </w:r>
          </w:p>
        </w:tc>
      </w:tr>
      <w:tr>
        <w:trPr>
          <w:trHeight w:val="425" w:hRule="atLeast"/>
        </w:trPr>
        <w:tc>
          <w:tcPr>
            <w:tcW w:type="dxa" w:w="3249"/>
            <w:vAlign w:val="center"/>
          </w:tcPr>
          <w:p>
            <w:pPr>
              <w:spacing w:line="276" w:lineRule="auto" w:before="0" w:after="0"/>
            </w:pPr>
            <w:r/>
            <w:r>
              <w:rPr>
                <w:rFonts w:ascii="Figtree" w:hAnsi="Figtree"/>
                <w:b w:val="0"/>
                <w:i w:val="0"/>
                <w:sz w:val="20"/>
              </w:rPr>
              <w:t>IBFT 2.0 finality layer</w:t>
            </w:r>
          </w:p>
        </w:tc>
        <w:tc>
          <w:tcPr>
            <w:tcW w:type="dxa" w:w="3249"/>
            <w:vAlign w:val="center"/>
          </w:tcPr>
          <w:p>
            <w:pPr>
              <w:spacing w:line="276" w:lineRule="auto" w:before="0" w:after="0"/>
            </w:pPr>
            <w:r/>
            <w:r>
              <w:rPr>
                <w:rFonts w:ascii="Figtree" w:hAnsi="Figtree"/>
                <w:b w:val="0"/>
                <w:i w:val="0"/>
                <w:sz w:val="20"/>
              </w:rPr>
              <w:t>EUR 3-5M</w:t>
            </w:r>
          </w:p>
        </w:tc>
        <w:tc>
          <w:tcPr>
            <w:tcW w:type="dxa" w:w="3249"/>
            <w:vAlign w:val="center"/>
          </w:tcPr>
          <w:p>
            <w:pPr>
              <w:spacing w:line="276" w:lineRule="auto" w:before="0" w:after="0"/>
            </w:pPr>
            <w:r/>
            <w:r>
              <w:rPr>
                <w:rFonts w:ascii="Figtree" w:hAnsi="Figtree"/>
                <w:b w:val="0"/>
                <w:i w:val="0"/>
                <w:sz w:val="20"/>
              </w:rPr>
              <w:t>Included</w:t>
            </w:r>
          </w:p>
        </w:tc>
      </w:tr>
      <w:tr>
        <w:trPr>
          <w:trHeight w:val="425" w:hRule="atLeast"/>
        </w:trPr>
        <w:tc>
          <w:tcPr>
            <w:tcW w:type="dxa" w:w="3249"/>
            <w:vAlign w:val="center"/>
          </w:tcPr>
          <w:p>
            <w:pPr>
              <w:spacing w:line="276" w:lineRule="auto" w:before="0" w:after="0"/>
            </w:pPr>
            <w:r/>
            <w:r>
              <w:rPr>
                <w:rFonts w:ascii="Figtree" w:hAnsi="Figtree"/>
                <w:b w:val="0"/>
                <w:i w:val="0"/>
                <w:sz w:val="20"/>
              </w:rPr>
              <w:t>Settlement instruction lifecycle</w:t>
            </w:r>
          </w:p>
        </w:tc>
        <w:tc>
          <w:tcPr>
            <w:tcW w:type="dxa" w:w="3249"/>
            <w:vAlign w:val="center"/>
          </w:tcPr>
          <w:p>
            <w:pPr>
              <w:spacing w:line="276" w:lineRule="auto" w:before="0" w:after="0"/>
            </w:pPr>
            <w:r/>
            <w:r>
              <w:rPr>
                <w:rFonts w:ascii="Figtree" w:hAnsi="Figtree"/>
                <w:b w:val="0"/>
                <w:i w:val="0"/>
                <w:sz w:val="20"/>
              </w:rPr>
              <w:t>EUR 3-5M</w:t>
            </w:r>
          </w:p>
        </w:tc>
        <w:tc>
          <w:tcPr>
            <w:tcW w:type="dxa" w:w="3249"/>
            <w:vAlign w:val="center"/>
          </w:tcPr>
          <w:p>
            <w:pPr>
              <w:spacing w:line="276" w:lineRule="auto" w:before="0" w:after="0"/>
            </w:pPr>
            <w:r/>
            <w:r>
              <w:rPr>
                <w:rFonts w:ascii="Figtree" w:hAnsi="Figtree"/>
                <w:b w:val="0"/>
                <w:i w:val="0"/>
                <w:sz w:val="20"/>
              </w:rPr>
              <w:t>Included</w:t>
            </w:r>
          </w:p>
        </w:tc>
      </w:tr>
      <w:tr>
        <w:trPr>
          <w:trHeight w:val="425" w:hRule="atLeast"/>
        </w:trPr>
        <w:tc>
          <w:tcPr>
            <w:tcW w:type="dxa" w:w="3249"/>
            <w:vAlign w:val="center"/>
          </w:tcPr>
          <w:p>
            <w:pPr>
              <w:spacing w:line="276" w:lineRule="auto" w:before="0" w:after="0"/>
            </w:pPr>
            <w:r/>
            <w:r>
              <w:rPr>
                <w:rFonts w:ascii="Figtree" w:hAnsi="Figtree"/>
                <w:b w:val="0"/>
                <w:i w:val="0"/>
                <w:sz w:val="20"/>
              </w:rPr>
              <w:t>TARGET2/CREST integration framework</w:t>
            </w:r>
          </w:p>
        </w:tc>
        <w:tc>
          <w:tcPr>
            <w:tcW w:type="dxa" w:w="3249"/>
            <w:vAlign w:val="center"/>
          </w:tcPr>
          <w:p>
            <w:pPr>
              <w:spacing w:line="276" w:lineRule="auto" w:before="0" w:after="0"/>
            </w:pPr>
            <w:r/>
            <w:r>
              <w:rPr>
                <w:rFonts w:ascii="Figtree" w:hAnsi="Figtree"/>
                <w:b w:val="0"/>
                <w:i w:val="0"/>
                <w:sz w:val="20"/>
              </w:rPr>
              <w:t>EUR 3-5M</w:t>
            </w:r>
          </w:p>
        </w:tc>
        <w:tc>
          <w:tcPr>
            <w:tcW w:type="dxa" w:w="3249"/>
            <w:vAlign w:val="center"/>
          </w:tcPr>
          <w:p>
            <w:pPr>
              <w:spacing w:line="276" w:lineRule="auto" w:before="0" w:after="0"/>
            </w:pPr>
            <w:r/>
            <w:r>
              <w:rPr>
                <w:rFonts w:ascii="Figtree" w:hAnsi="Figtree"/>
                <w:b w:val="0"/>
                <w:i w:val="0"/>
                <w:sz w:val="20"/>
              </w:rPr>
              <w:t>REST API contract + adapter</w:t>
            </w:r>
          </w:p>
        </w:tc>
      </w:tr>
      <w:tr>
        <w:trPr>
          <w:trHeight w:val="425" w:hRule="atLeast"/>
        </w:trPr>
        <w:tc>
          <w:tcPr>
            <w:tcW w:type="dxa" w:w="3249"/>
            <w:vAlign w:val="center"/>
          </w:tcPr>
          <w:p>
            <w:pPr>
              <w:spacing w:line="276" w:lineRule="auto" w:before="0" w:after="0"/>
            </w:pPr>
            <w:r/>
            <w:r>
              <w:rPr>
                <w:rFonts w:ascii="Figtree" w:hAnsi="Figtree"/>
                <w:b w:val="0"/>
                <w:i w:val="0"/>
                <w:sz w:val="20"/>
              </w:rPr>
              <w:t>Corporate action automation</w:t>
            </w:r>
          </w:p>
        </w:tc>
        <w:tc>
          <w:tcPr>
            <w:tcW w:type="dxa" w:w="3249"/>
            <w:vAlign w:val="center"/>
          </w:tcPr>
          <w:p>
            <w:pPr>
              <w:spacing w:line="276" w:lineRule="auto" w:before="0" w:after="0"/>
            </w:pPr>
            <w:r/>
            <w:r>
              <w:rPr>
                <w:rFonts w:ascii="Figtree" w:hAnsi="Figtree"/>
                <w:b w:val="0"/>
                <w:i w:val="0"/>
                <w:sz w:val="20"/>
              </w:rPr>
              <w:t>EUR 2-4M</w:t>
            </w:r>
          </w:p>
        </w:tc>
        <w:tc>
          <w:tcPr>
            <w:tcW w:type="dxa" w:w="3249"/>
            <w:vAlign w:val="center"/>
          </w:tcPr>
          <w:p>
            <w:pPr>
              <w:spacing w:line="276" w:lineRule="auto" w:before="0" w:after="0"/>
            </w:pPr>
            <w:r/>
            <w:r>
              <w:rPr>
                <w:rFonts w:ascii="Figtree" w:hAnsi="Figtree"/>
                <w:b w:val="0"/>
                <w:i w:val="0"/>
                <w:sz w:val="20"/>
              </w:rPr>
              <w:t>Included: yield, airdrop, maturity</w:t>
            </w:r>
          </w:p>
        </w:tc>
      </w:tr>
      <w:tr>
        <w:trPr>
          <w:trHeight w:val="425" w:hRule="atLeast"/>
        </w:trPr>
        <w:tc>
          <w:tcPr>
            <w:tcW w:type="dxa" w:w="3249"/>
            <w:vAlign w:val="center"/>
          </w:tcPr>
          <w:p>
            <w:pPr>
              <w:spacing w:line="276" w:lineRule="auto" w:before="0" w:after="0"/>
            </w:pPr>
            <w:r/>
            <w:r>
              <w:rPr>
                <w:rFonts w:ascii="Figtree" w:hAnsi="Figtree"/>
                <w:b w:val="0"/>
                <w:i w:val="0"/>
                <w:sz w:val="20"/>
              </w:rPr>
              <w:t>DORA/CSDR compliance documentation</w:t>
            </w:r>
          </w:p>
        </w:tc>
        <w:tc>
          <w:tcPr>
            <w:tcW w:type="dxa" w:w="3249"/>
            <w:vAlign w:val="center"/>
          </w:tcPr>
          <w:p>
            <w:pPr>
              <w:spacing w:line="276" w:lineRule="auto" w:before="0" w:after="0"/>
            </w:pPr>
            <w:r/>
            <w:r>
              <w:rPr>
                <w:rFonts w:ascii="Figtree" w:hAnsi="Figtree"/>
                <w:b w:val="0"/>
                <w:i w:val="0"/>
                <w:sz w:val="20"/>
              </w:rPr>
              <w:t>EUR 1-2M</w:t>
            </w:r>
          </w:p>
        </w:tc>
        <w:tc>
          <w:tcPr>
            <w:tcW w:type="dxa" w:w="3249"/>
            <w:vAlign w:val="center"/>
          </w:tcPr>
          <w:p>
            <w:pPr>
              <w:spacing w:line="276" w:lineRule="auto" w:before="0" w:after="0"/>
            </w:pPr>
            <w:r/>
            <w:r>
              <w:rPr>
                <w:rFonts w:ascii="Figtree" w:hAnsi="Figtree"/>
                <w:b w:val="0"/>
                <w:i w:val="0"/>
                <w:sz w:val="20"/>
              </w:rPr>
              <w:t>Pre-documented</w:t>
            </w:r>
          </w:p>
        </w:tc>
      </w:tr>
    </w:tbl>
    <w:p>
      <w:pPr>
        <w:spacing w:before="0" w:after="0" w:line="120" w:lineRule="exact"/>
      </w:pPr>
    </w:p>
    <w:p>
      <w:pPr>
        <w:pStyle w:val="H3"/>
        <w:numPr>
          <w:ilvl w:val="2"/>
          <w:numId w:val="1"/>
        </w:numPr>
      </w:pPr>
      <w:r>
        <w:t>2.3 ROI</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874"/>
        <w:gridCol w:w="6197"/>
      </w:tblGrid>
      <w:tr>
        <w:trPr>
          <w:trHeight w:val="425" w:hRule="atLeast"/>
        </w:trPr>
        <w:tc>
          <w:tcPr>
            <w:tcW w:type="dxa" w:w="4873"/>
            <w:vAlign w:val="center"/>
            <w:shd w:fill="E8E0F0" w:val="clear"/>
          </w:tcPr>
          <w:p>
            <w:pPr>
              <w:spacing w:line="276" w:lineRule="auto" w:before="0" w:after="0"/>
              <w:jc w:val="left"/>
            </w:pPr>
            <w:r>
              <w:rPr>
                <w:b/>
                <w:color w:val="2D1A8C"/>
              </w:rPr>
            </w:r>
            <w:r>
              <w:rPr>
                <w:rFonts w:ascii="Figtree" w:hAnsi="Figtree"/>
                <w:b/>
                <w:i w:val="0"/>
                <w:color w:val="2D1A8C"/>
                <w:sz w:val="20"/>
              </w:rPr>
              <w:t>Value Driver</w:t>
            </w:r>
          </w:p>
        </w:tc>
        <w:tc>
          <w:tcPr>
            <w:tcW w:type="dxa" w:w="4873"/>
            <w:vAlign w:val="center"/>
            <w:shd w:fill="E8E0F0" w:val="clear"/>
          </w:tcPr>
          <w:p>
            <w:pPr>
              <w:spacing w:line="276" w:lineRule="auto" w:before="0" w:after="0"/>
              <w:jc w:val="center"/>
            </w:pPr>
            <w:r>
              <w:rPr>
                <w:b/>
                <w:color w:val="2D1A8C"/>
              </w:rPr>
            </w:r>
            <w:r>
              <w:rPr>
                <w:rFonts w:ascii="Figtree" w:hAnsi="Figtree"/>
                <w:b/>
                <w:i w:val="0"/>
                <w:color w:val="2D1A8C"/>
                <w:sz w:val="20"/>
              </w:rPr>
              <w:t>Basis</w:t>
            </w:r>
          </w:p>
        </w:tc>
      </w:tr>
      <w:tr>
        <w:trPr>
          <w:trHeight w:val="425" w:hRule="atLeast"/>
        </w:trPr>
        <w:tc>
          <w:tcPr>
            <w:tcW w:type="dxa" w:w="4873"/>
            <w:vAlign w:val="center"/>
          </w:tcPr>
          <w:p>
            <w:pPr>
              <w:spacing w:line="276" w:lineRule="auto" w:before="0" w:after="0"/>
            </w:pPr>
            <w:r/>
            <w:r>
              <w:rPr>
                <w:rFonts w:ascii="Figtree" w:hAnsi="Figtree"/>
                <w:b w:val="0"/>
                <w:i w:val="0"/>
                <w:sz w:val="20"/>
              </w:rPr>
              <w:t>Build cost avoided</w:t>
            </w:r>
          </w:p>
        </w:tc>
        <w:tc>
          <w:tcPr>
            <w:tcW w:type="dxa" w:w="4873"/>
            <w:vAlign w:val="center"/>
          </w:tcPr>
          <w:p>
            <w:pPr>
              <w:spacing w:line="276" w:lineRule="auto" w:before="0" w:after="0"/>
            </w:pPr>
            <w:r/>
            <w:r>
              <w:rPr>
                <w:rFonts w:ascii="Figtree" w:hAnsi="Figtree"/>
                <w:b w:val="0"/>
                <w:i w:val="0"/>
                <w:sz w:val="20"/>
              </w:rPr>
              <w:t>EUR 18-30M over 30-36 months</w:t>
            </w:r>
          </w:p>
        </w:tc>
      </w:tr>
      <w:tr>
        <w:trPr>
          <w:trHeight w:val="425" w:hRule="atLeast"/>
        </w:trPr>
        <w:tc>
          <w:tcPr>
            <w:tcW w:type="dxa" w:w="4873"/>
            <w:vAlign w:val="center"/>
          </w:tcPr>
          <w:p>
            <w:pPr>
              <w:spacing w:line="276" w:lineRule="auto" w:before="0" w:after="0"/>
            </w:pPr>
            <w:r/>
            <w:r>
              <w:rPr>
                <w:rFonts w:ascii="Figtree" w:hAnsi="Figtree"/>
                <w:b w:val="0"/>
                <w:i w:val="0"/>
                <w:sz w:val="20"/>
              </w:rPr>
              <w:t>CSDR penalty avoidance</w:t>
            </w:r>
          </w:p>
        </w:tc>
        <w:tc>
          <w:tcPr>
            <w:tcW w:type="dxa" w:w="4873"/>
            <w:vAlign w:val="center"/>
          </w:tcPr>
          <w:p>
            <w:pPr>
              <w:spacing w:line="276" w:lineRule="auto" w:before="0" w:after="0"/>
            </w:pPr>
            <w:r/>
            <w:r>
              <w:rPr>
                <w:rFonts w:ascii="Figtree" w:hAnsi="Figtree"/>
                <w:b w:val="0"/>
                <w:i w:val="0"/>
                <w:sz w:val="20"/>
              </w:rPr>
              <w:t>Settlement certainty from launch reduces CSDR penalty exposure</w:t>
            </w:r>
          </w:p>
        </w:tc>
      </w:tr>
      <w:tr>
        <w:trPr>
          <w:trHeight w:val="425" w:hRule="atLeast"/>
        </w:trPr>
        <w:tc>
          <w:tcPr>
            <w:tcW w:type="dxa" w:w="4873"/>
            <w:vAlign w:val="center"/>
          </w:tcPr>
          <w:p>
            <w:pPr>
              <w:spacing w:line="276" w:lineRule="auto" w:before="0" w:after="0"/>
            </w:pPr>
            <w:r/>
            <w:r>
              <w:rPr>
                <w:rFonts w:ascii="Figtree" w:hAnsi="Figtree"/>
                <w:b w:val="0"/>
                <w:i w:val="0"/>
                <w:sz w:val="20"/>
              </w:rPr>
              <w:t>Operational efficiency</w:t>
            </w:r>
          </w:p>
        </w:tc>
        <w:tc>
          <w:tcPr>
            <w:tcW w:type="dxa" w:w="4873"/>
            <w:vAlign w:val="center"/>
          </w:tcPr>
          <w:p>
            <w:pPr>
              <w:spacing w:line="276" w:lineRule="auto" w:before="0" w:after="0"/>
            </w:pPr>
            <w:r/>
            <w:r>
              <w:rPr>
                <w:rFonts w:ascii="Figtree" w:hAnsi="Figtree"/>
                <w:b w:val="0"/>
                <w:i w:val="0"/>
                <w:sz w:val="20"/>
              </w:rPr>
              <w:t>Real-time settlement monitoring eliminates batch reconciliation cycles</w:t>
            </w:r>
          </w:p>
        </w:tc>
      </w:tr>
      <w:tr>
        <w:trPr>
          <w:trHeight w:val="425" w:hRule="atLeast"/>
        </w:trPr>
        <w:tc>
          <w:tcPr>
            <w:tcW w:type="dxa" w:w="4873"/>
            <w:vAlign w:val="center"/>
          </w:tcPr>
          <w:p>
            <w:pPr>
              <w:spacing w:line="276" w:lineRule="auto" w:before="0" w:after="0"/>
            </w:pPr>
            <w:r/>
            <w:r>
              <w:rPr>
                <w:rFonts w:ascii="Figtree" w:hAnsi="Figtree"/>
                <w:b w:val="0"/>
                <w:i w:val="0"/>
                <w:sz w:val="20"/>
              </w:rPr>
              <w:t>Corporate action automation</w:t>
            </w:r>
          </w:p>
        </w:tc>
        <w:tc>
          <w:tcPr>
            <w:tcW w:type="dxa" w:w="4873"/>
            <w:vAlign w:val="center"/>
          </w:tcPr>
          <w:p>
            <w:pPr>
              <w:spacing w:line="276" w:lineRule="auto" w:before="0" w:after="0"/>
            </w:pPr>
            <w:r/>
            <w:r>
              <w:rPr>
                <w:rFonts w:ascii="Figtree" w:hAnsi="Figtree"/>
                <w:b w:val="0"/>
                <w:i w:val="0"/>
                <w:sz w:val="20"/>
              </w:rPr>
              <w:t>Automated entitlement reduces manual processing costs</w:t>
            </w:r>
          </w:p>
        </w:tc>
      </w:tr>
      <w:tr>
        <w:trPr>
          <w:trHeight w:val="425" w:hRule="atLeast"/>
        </w:trPr>
        <w:tc>
          <w:tcPr>
            <w:tcW w:type="dxa" w:w="4873"/>
            <w:vAlign w:val="center"/>
          </w:tcPr>
          <w:p>
            <w:pPr>
              <w:spacing w:line="276" w:lineRule="auto" w:before="0" w:after="0"/>
            </w:pPr>
            <w:r/>
            <w:r>
              <w:rPr>
                <w:rFonts w:ascii="Figtree" w:hAnsi="Figtree"/>
                <w:b w:val="0"/>
                <w:i w:val="0"/>
                <w:sz w:val="20"/>
              </w:rPr>
              <w:t>Platform reuse</w:t>
            </w:r>
          </w:p>
        </w:tc>
        <w:tc>
          <w:tcPr>
            <w:tcW w:type="dxa" w:w="4873"/>
            <w:vAlign w:val="center"/>
          </w:tcPr>
          <w:p>
            <w:pPr>
              <w:spacing w:line="276" w:lineRule="auto" w:before="0" w:after="0"/>
            </w:pPr>
            <w:r/>
            <w:r>
              <w:rPr>
                <w:rFonts w:ascii="Figtree" w:hAnsi="Figtree"/>
                <w:b w:val="0"/>
                <w:i w:val="0"/>
                <w:sz w:val="20"/>
              </w:rPr>
              <w:t>Same platform for multiple Euroclear entity deployments</w:t>
            </w:r>
          </w:p>
        </w:tc>
      </w:tr>
    </w:tbl>
    <w:p>
      <w:pPr>
        <w:spacing w:before="0" w:after="0" w:line="120" w:lineRule="exact"/>
      </w:pPr>
    </w:p>
    <w:p>
      <w:r>
        <w:br w:type="page"/>
      </w:r>
    </w:p>
    <w:p>
      <w:pPr>
        <w:pStyle w:val="H2"/>
        <w:numPr>
          <w:ilvl w:val="1"/>
          <w:numId w:val="1"/>
        </w:numPr>
      </w:pPr>
      <w:r>
        <w:t>3. Licensing Model</w:t>
      </w:r>
    </w:p>
    <w:p>
      <w:pPr>
        <w:pStyle w:val="H3"/>
        <w:numPr>
          <w:ilvl w:val="2"/>
          <w:numId w:val="1"/>
        </w:numPr>
      </w:pPr>
      <w:r>
        <w:t>3.1 Philosophy</w:t>
      </w:r>
    </w:p>
    <w:p>
      <w:r>
        <w:rPr>
          <w:rFonts w:ascii="Figtree" w:hAnsi="Figtree"/>
          <w:b w:val="0"/>
          <w:i w:val="0"/>
          <w:sz w:val="22"/>
        </w:rPr>
        <w:t>Platform license model. CSDR compliance requires evidence events on every settlement instruction. A per-event pricing model would penalize Euroclear for maintaining CSDR's evidence requirements. The annual subscription covers all settlement instructions, compliance events, and audit records.</w:t>
      </w:r>
    </w:p>
    <w:p>
      <w:pPr>
        <w:pStyle w:val="H3"/>
        <w:numPr>
          <w:ilvl w:val="2"/>
          <w:numId w:val="1"/>
        </w:numPr>
      </w:pPr>
      <w:r>
        <w:t>3.2 Tiers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142"/>
        <w:gridCol w:w="2357"/>
        <w:gridCol w:w="2214"/>
        <w:gridCol w:w="2357"/>
      </w:tblGrid>
      <w:tr>
        <w:trPr>
          <w:trHeight w:val="425" w:hRule="atLeast"/>
        </w:trPr>
        <w:tc>
          <w:tcPr>
            <w:tcW w:type="dxa" w:w="2436"/>
            <w:vAlign w:val="center"/>
            <w:shd w:fill="E8E0F0" w:val="clear"/>
          </w:tcPr>
          <w:p>
            <w:pPr>
              <w:spacing w:line="276" w:lineRule="auto" w:before="0" w:after="0"/>
              <w:jc w:val="left"/>
            </w:pPr>
            <w:r>
              <w:rPr>
                <w:b/>
                <w:color w:val="2D1A8C"/>
              </w:rPr>
            </w:r>
            <w:r>
              <w:rPr>
                <w:rFonts w:ascii="Figtree" w:hAnsi="Figtree"/>
                <w:b/>
                <w:i w:val="0"/>
                <w:color w:val="2D1A8C"/>
                <w:sz w:val="20"/>
              </w:rPr>
              <w:t>Capability</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Foundation</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Enterprise</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Sovereign (Recommended)</w:t>
            </w:r>
          </w:p>
        </w:tc>
      </w:tr>
      <w:tr>
        <w:trPr>
          <w:trHeight w:val="425" w:hRule="atLeast"/>
        </w:trPr>
        <w:tc>
          <w:tcPr>
            <w:tcW w:type="dxa" w:w="2436"/>
            <w:vAlign w:val="center"/>
          </w:tcPr>
          <w:p>
            <w:pPr>
              <w:spacing w:line="276" w:lineRule="auto" w:before="0" w:after="0"/>
            </w:pPr>
            <w:r/>
            <w:r>
              <w:rPr>
                <w:rFonts w:ascii="Figtree" w:hAnsi="Figtree"/>
                <w:b w:val="0"/>
                <w:i w:val="0"/>
                <w:sz w:val="20"/>
              </w:rPr>
              <w:t>XvP addon</w:t>
            </w:r>
          </w:p>
        </w:tc>
        <w:tc>
          <w:tcPr>
            <w:tcW w:type="dxa" w:w="2436"/>
            <w:vAlign w:val="center"/>
          </w:tcPr>
          <w:p>
            <w:pPr>
              <w:spacing w:line="276" w:lineRule="auto" w:before="0" w:after="0"/>
            </w:pPr>
            <w:r/>
            <w:r>
              <w:rPr>
                <w:rFonts w:ascii="Figtree" w:hAnsi="Figtree"/>
                <w:b w:val="0"/>
                <w:i w:val="0"/>
                <w:sz w:val="20"/>
              </w:rPr>
              <w:t>Included</w:t>
            </w:r>
          </w:p>
        </w:tc>
        <w:tc>
          <w:tcPr>
            <w:tcW w:type="dxa" w:w="2436"/>
            <w:vAlign w:val="center"/>
          </w:tcPr>
          <w:p>
            <w:pPr>
              <w:spacing w:line="276" w:lineRule="auto" w:before="0" w:after="0"/>
            </w:pPr>
            <w:r/>
            <w:r>
              <w:rPr>
                <w:rFonts w:ascii="Figtree" w:hAnsi="Figtree"/>
                <w:b w:val="0"/>
                <w:i w:val="0"/>
                <w:sz w:val="20"/>
              </w:rPr>
              <w:t>Included</w:t>
            </w:r>
          </w:p>
        </w:tc>
        <w:tc>
          <w:tcPr>
            <w:tcW w:type="dxa" w:w="2436"/>
            <w:vAlign w:val="center"/>
          </w:tcPr>
          <w:p>
            <w:pPr>
              <w:spacing w:line="276" w:lineRule="auto" w:before="0" w:after="0"/>
            </w:pPr>
            <w:r/>
            <w:r>
              <w:rPr>
                <w:rFonts w:ascii="Figtree" w:hAnsi="Figtree"/>
                <w:b w:val="0"/>
                <w:i w:val="0"/>
                <w:sz w:val="20"/>
              </w:rPr>
              <w:t>Included</w:t>
            </w:r>
          </w:p>
        </w:tc>
      </w:tr>
      <w:tr>
        <w:trPr>
          <w:trHeight w:val="425" w:hRule="atLeast"/>
        </w:trPr>
        <w:tc>
          <w:tcPr>
            <w:tcW w:type="dxa" w:w="2436"/>
            <w:vAlign w:val="center"/>
          </w:tcPr>
          <w:p>
            <w:pPr>
              <w:spacing w:line="276" w:lineRule="auto" w:before="0" w:after="0"/>
            </w:pPr>
            <w:r/>
            <w:r>
              <w:rPr>
                <w:rFonts w:ascii="Figtree" w:hAnsi="Figtree"/>
                <w:b w:val="0"/>
                <w:i w:val="0"/>
                <w:sz w:val="20"/>
              </w:rPr>
              <w:t>IBFT 2.0 deployment support</w:t>
            </w:r>
          </w:p>
        </w:tc>
        <w:tc>
          <w:tcPr>
            <w:tcW w:type="dxa" w:w="2436"/>
            <w:vAlign w:val="center"/>
          </w:tcPr>
          <w:p>
            <w:pPr>
              <w:spacing w:line="276" w:lineRule="auto" w:before="0" w:after="0"/>
            </w:pPr>
            <w:r/>
            <w:r>
              <w:rPr>
                <w:rFonts w:ascii="Figtree" w:hAnsi="Figtree"/>
                <w:b w:val="0"/>
                <w:i w:val="0"/>
                <w:sz w:val="20"/>
              </w:rPr>
              <w:t>Standard</w:t>
            </w:r>
          </w:p>
        </w:tc>
        <w:tc>
          <w:tcPr>
            <w:tcW w:type="dxa" w:w="2436"/>
            <w:vAlign w:val="center"/>
          </w:tcPr>
          <w:p>
            <w:pPr>
              <w:spacing w:line="276" w:lineRule="auto" w:before="0" w:after="0"/>
            </w:pPr>
            <w:r/>
            <w:r>
              <w:rPr>
                <w:rFonts w:ascii="Figtree" w:hAnsi="Figtree"/>
                <w:b w:val="0"/>
                <w:i w:val="0"/>
                <w:sz w:val="20"/>
              </w:rPr>
              <w:t>Enhanced</w:t>
            </w:r>
          </w:p>
        </w:tc>
        <w:tc>
          <w:tcPr>
            <w:tcW w:type="dxa" w:w="2436"/>
            <w:vAlign w:val="center"/>
          </w:tcPr>
          <w:p>
            <w:pPr>
              <w:spacing w:line="276" w:lineRule="auto" w:before="0" w:after="0"/>
            </w:pPr>
            <w:r/>
            <w:r>
              <w:rPr>
                <w:rFonts w:ascii="Figtree" w:hAnsi="Figtree"/>
                <w:b w:val="0"/>
                <w:i w:val="0"/>
                <w:sz w:val="20"/>
              </w:rPr>
              <w:t>Full ICSD-grade</w:t>
            </w:r>
          </w:p>
        </w:tc>
      </w:tr>
      <w:tr>
        <w:trPr>
          <w:trHeight w:val="425" w:hRule="atLeast"/>
        </w:trPr>
        <w:tc>
          <w:tcPr>
            <w:tcW w:type="dxa" w:w="2436"/>
            <w:vAlign w:val="center"/>
          </w:tcPr>
          <w:p>
            <w:pPr>
              <w:spacing w:line="276" w:lineRule="auto" w:before="0" w:after="0"/>
            </w:pPr>
            <w:r/>
            <w:r>
              <w:rPr>
                <w:rFonts w:ascii="Figtree" w:hAnsi="Figtree"/>
                <w:b w:val="0"/>
                <w:i w:val="0"/>
                <w:sz w:val="20"/>
              </w:rPr>
              <w:t>Multi-CSD extension path</w:t>
            </w:r>
          </w:p>
        </w:tc>
        <w:tc>
          <w:tcPr>
            <w:tcW w:type="dxa" w:w="2436"/>
            <w:vAlign w:val="center"/>
          </w:tcPr>
          <w:p>
            <w:pPr>
              <w:spacing w:line="276" w:lineRule="auto" w:before="0" w:after="0"/>
            </w:pPr>
            <w:r/>
            <w:r>
              <w:rPr>
                <w:rFonts w:ascii="Figtree" w:hAnsi="Figtree"/>
                <w:b w:val="0"/>
                <w:i w:val="0"/>
                <w:sz w:val="20"/>
              </w:rPr>
              <w:t>Not included</w:t>
            </w:r>
          </w:p>
        </w:tc>
        <w:tc>
          <w:tcPr>
            <w:tcW w:type="dxa" w:w="2436"/>
            <w:vAlign w:val="center"/>
          </w:tcPr>
          <w:p>
            <w:pPr>
              <w:spacing w:line="276" w:lineRule="auto" w:before="0" w:after="0"/>
            </w:pPr>
            <w:r/>
            <w:r>
              <w:rPr>
                <w:rFonts w:ascii="Figtree" w:hAnsi="Figtree"/>
                <w:b w:val="0"/>
                <w:i w:val="0"/>
                <w:sz w:val="20"/>
              </w:rPr>
              <w:t>Configurable</w:t>
            </w:r>
          </w:p>
        </w:tc>
        <w:tc>
          <w:tcPr>
            <w:tcW w:type="dxa" w:w="2436"/>
            <w:vAlign w:val="center"/>
          </w:tcPr>
          <w:p>
            <w:pPr>
              <w:spacing w:line="276" w:lineRule="auto" w:before="0" w:after="0"/>
            </w:pPr>
            <w:r/>
            <w:r>
              <w:rPr>
                <w:rFonts w:ascii="Figtree" w:hAnsi="Figtree"/>
                <w:b w:val="0"/>
                <w:i w:val="0"/>
                <w:sz w:val="20"/>
              </w:rPr>
              <w:t>Included (subsequent phases)</w:t>
            </w:r>
          </w:p>
        </w:tc>
      </w:tr>
      <w:tr>
        <w:trPr>
          <w:trHeight w:val="425" w:hRule="atLeast"/>
        </w:trPr>
        <w:tc>
          <w:tcPr>
            <w:tcW w:type="dxa" w:w="2436"/>
            <w:vAlign w:val="center"/>
          </w:tcPr>
          <w:p>
            <w:pPr>
              <w:spacing w:line="276" w:lineRule="auto" w:before="0" w:after="0"/>
            </w:pPr>
            <w:r/>
            <w:r>
              <w:rPr>
                <w:rFonts w:ascii="Figtree" w:hAnsi="Figtree"/>
                <w:b w:val="0"/>
                <w:i w:val="0"/>
                <w:sz w:val="20"/>
              </w:rPr>
              <w:t>CSDR/DORA documentation</w:t>
            </w:r>
          </w:p>
        </w:tc>
        <w:tc>
          <w:tcPr>
            <w:tcW w:type="dxa" w:w="2436"/>
            <w:vAlign w:val="center"/>
          </w:tcPr>
          <w:p>
            <w:pPr>
              <w:spacing w:line="276" w:lineRule="auto" w:before="0" w:after="0"/>
            </w:pPr>
            <w:r/>
            <w:r>
              <w:rPr>
                <w:rFonts w:ascii="Figtree" w:hAnsi="Figtree"/>
                <w:b w:val="0"/>
                <w:i w:val="0"/>
                <w:sz w:val="20"/>
              </w:rPr>
              <w:t>Standard</w:t>
            </w:r>
          </w:p>
        </w:tc>
        <w:tc>
          <w:tcPr>
            <w:tcW w:type="dxa" w:w="2436"/>
            <w:vAlign w:val="center"/>
          </w:tcPr>
          <w:p>
            <w:pPr>
              <w:spacing w:line="276" w:lineRule="auto" w:before="0" w:after="0"/>
            </w:pPr>
            <w:r/>
            <w:r>
              <w:rPr>
                <w:rFonts w:ascii="Figtree" w:hAnsi="Figtree"/>
                <w:b w:val="0"/>
                <w:i w:val="0"/>
                <w:sz w:val="20"/>
              </w:rPr>
              <w:t>Enhanced</w:t>
            </w:r>
          </w:p>
        </w:tc>
        <w:tc>
          <w:tcPr>
            <w:tcW w:type="dxa" w:w="2436"/>
            <w:vAlign w:val="center"/>
          </w:tcPr>
          <w:p>
            <w:pPr>
              <w:spacing w:line="276" w:lineRule="auto" w:before="0" w:after="0"/>
            </w:pPr>
            <w:r/>
            <w:r>
              <w:rPr>
                <w:rFonts w:ascii="Figtree" w:hAnsi="Figtree"/>
                <w:b w:val="0"/>
                <w:i w:val="0"/>
                <w:sz w:val="20"/>
              </w:rPr>
              <w:t>Full</w:t>
            </w:r>
          </w:p>
        </w:tc>
      </w:tr>
      <w:tr>
        <w:trPr>
          <w:trHeight w:val="425" w:hRule="atLeast"/>
        </w:trPr>
        <w:tc>
          <w:tcPr>
            <w:tcW w:type="dxa" w:w="2436"/>
            <w:vAlign w:val="center"/>
          </w:tcPr>
          <w:p>
            <w:pPr>
              <w:spacing w:line="276" w:lineRule="auto" w:before="0" w:after="0"/>
            </w:pPr>
            <w:r/>
            <w:r>
              <w:rPr>
                <w:rFonts w:ascii="Figtree" w:hAnsi="Figtree"/>
                <w:b w:val="0"/>
                <w:i w:val="0"/>
                <w:sz w:val="20"/>
              </w:rPr>
              <w:t>Cross-border settlement bridge</w:t>
            </w:r>
          </w:p>
        </w:tc>
        <w:tc>
          <w:tcPr>
            <w:tcW w:type="dxa" w:w="2436"/>
            <w:vAlign w:val="center"/>
          </w:tcPr>
          <w:p>
            <w:pPr>
              <w:spacing w:line="276" w:lineRule="auto" w:before="0" w:after="0"/>
            </w:pPr>
            <w:r/>
            <w:r>
              <w:rPr>
                <w:rFonts w:ascii="Figtree" w:hAnsi="Figtree"/>
                <w:b w:val="0"/>
                <w:i w:val="0"/>
                <w:sz w:val="20"/>
              </w:rPr>
              <w:t>Not included</w:t>
            </w:r>
          </w:p>
        </w:tc>
        <w:tc>
          <w:tcPr>
            <w:tcW w:type="dxa" w:w="2436"/>
            <w:vAlign w:val="center"/>
          </w:tcPr>
          <w:p>
            <w:pPr>
              <w:spacing w:line="276" w:lineRule="auto" w:before="0" w:after="0"/>
            </w:pPr>
            <w:r/>
            <w:r>
              <w:rPr>
                <w:rFonts w:ascii="Figtree" w:hAnsi="Figtree"/>
                <w:b w:val="0"/>
                <w:i w:val="0"/>
                <w:sz w:val="20"/>
              </w:rPr>
              <w:t>Optional</w:t>
            </w:r>
          </w:p>
        </w:tc>
        <w:tc>
          <w:tcPr>
            <w:tcW w:type="dxa" w:w="2436"/>
            <w:vAlign w:val="center"/>
          </w:tcPr>
          <w:p>
            <w:pPr>
              <w:spacing w:line="276" w:lineRule="auto" w:before="0" w:after="0"/>
            </w:pPr>
            <w:r/>
            <w:r>
              <w:rPr>
                <w:rFonts w:ascii="Figtree" w:hAnsi="Figtree"/>
                <w:b w:val="0"/>
                <w:i w:val="0"/>
                <w:sz w:val="20"/>
              </w:rPr>
              <w:t>Optional Phase 2+</w:t>
            </w:r>
          </w:p>
        </w:tc>
      </w:tr>
      <w:tr>
        <w:trPr>
          <w:trHeight w:val="425" w:hRule="atLeast"/>
        </w:trPr>
        <w:tc>
          <w:tcPr>
            <w:tcW w:type="dxa" w:w="2436"/>
            <w:vAlign w:val="center"/>
          </w:tcPr>
          <w:p>
            <w:pPr>
              <w:spacing w:line="276" w:lineRule="auto" w:before="0" w:after="0"/>
            </w:pPr>
            <w:r/>
            <w:r>
              <w:rPr>
                <w:rFonts w:ascii="Figtree" w:hAnsi="Figtree"/>
                <w:b w:val="0"/>
                <w:i w:val="0"/>
                <w:sz w:val="20"/>
              </w:rPr>
              <w:t>Annual license (indicative)</w:t>
            </w:r>
          </w:p>
        </w:tc>
        <w:tc>
          <w:tcPr>
            <w:tcW w:type="dxa" w:w="2436"/>
            <w:vAlign w:val="center"/>
          </w:tcPr>
          <w:p>
            <w:pPr>
              <w:spacing w:line="276" w:lineRule="auto" w:before="0" w:after="0"/>
            </w:pPr>
            <w:r/>
            <w:r>
              <w:rPr>
                <w:rFonts w:ascii="Figtree" w:hAnsi="Figtree"/>
                <w:b w:val="0"/>
                <w:i w:val="0"/>
                <w:sz w:val="20"/>
              </w:rPr>
              <w:t>EUR [CLIENT-SPECIFIC: ~600K-900K]</w:t>
            </w:r>
          </w:p>
        </w:tc>
        <w:tc>
          <w:tcPr>
            <w:tcW w:type="dxa" w:w="2436"/>
            <w:vAlign w:val="center"/>
          </w:tcPr>
          <w:p>
            <w:pPr>
              <w:spacing w:line="276" w:lineRule="auto" w:before="0" w:after="0"/>
            </w:pPr>
            <w:r/>
            <w:r>
              <w:rPr>
                <w:rFonts w:ascii="Figtree" w:hAnsi="Figtree"/>
                <w:b w:val="0"/>
                <w:i w:val="0"/>
                <w:sz w:val="20"/>
              </w:rPr>
              <w:t>EUR [CLIENT-SPECIFIC: ~1M-1.5M]</w:t>
            </w:r>
          </w:p>
        </w:tc>
        <w:tc>
          <w:tcPr>
            <w:tcW w:type="dxa" w:w="2436"/>
            <w:vAlign w:val="center"/>
          </w:tcPr>
          <w:p>
            <w:pPr>
              <w:spacing w:line="276" w:lineRule="auto" w:before="0" w:after="0"/>
            </w:pPr>
            <w:r/>
            <w:r>
              <w:rPr>
                <w:rFonts w:ascii="Figtree" w:hAnsi="Figtree"/>
                <w:b w:val="0"/>
                <w:i w:val="0"/>
                <w:sz w:val="20"/>
              </w:rPr>
              <w:t>EUR [CLIENT-SPECIFIC: ~1.8M-2.8M]</w:t>
            </w:r>
          </w:p>
        </w:tc>
      </w:tr>
    </w:tbl>
    <w:p>
      <w:pPr>
        <w:spacing w:before="0" w:after="0" w:line="120" w:lineRule="exact"/>
      </w:pPr>
    </w:p>
    <w:p>
      <w:r>
        <w:rPr>
          <w:rFonts w:ascii="Figtree" w:hAnsi="Figtree"/>
          <w:b/>
          <w:i w:val="0"/>
          <w:sz w:val="22"/>
        </w:rPr>
        <w:t>Recommended: Sovereign.</w:t>
      </w:r>
      <w:r>
        <w:rPr>
          <w:rFonts w:ascii="Figtree" w:hAnsi="Figtree"/>
          <w:b w:val="0"/>
          <w:i w:val="0"/>
          <w:sz w:val="22"/>
        </w:rPr>
        <w:t xml:space="preserve"> Euroclear's scale, NBB/FSMA regulatory obligations, cross-CSD extension requirements, and the systemic importance of its settlement infrastructure justify the Sovereign tier. The multi-CSD extension path for subsequent Euroclear entities is available within the Sovereign tier without requiring new license negotiation.</w:t>
      </w:r>
    </w:p>
    <w:p>
      <w:r>
        <w:br w:type="page"/>
      </w:r>
    </w:p>
    <w:p>
      <w:pPr>
        <w:pStyle w:val="H2"/>
        <w:numPr>
          <w:ilvl w:val="1"/>
          <w:numId w:val="1"/>
        </w:numPr>
      </w:pPr>
      <w:r>
        <w:t>4. Deployment Options and Pricing</w:t>
      </w:r>
    </w:p>
    <w:p>
      <w:r>
        <w:rPr>
          <w:rFonts w:ascii="Figtree" w:hAnsi="Figtree"/>
          <w:b/>
          <w:i w:val="0"/>
          <w:sz w:val="22"/>
        </w:rPr>
        <w:t>Recommended: Private Cloud (Belgium/EU Region)</w:t>
      </w:r>
    </w:p>
    <w:p>
      <w:r>
        <w:rPr>
          <w:rFonts w:ascii="Figtree" w:hAnsi="Figtree"/>
          <w:b w:val="0"/>
          <w:i w:val="0"/>
          <w:sz w:val="22"/>
        </w:rPr>
        <w:t>Euroclear manages DALP on Belgium or EU-region cloud subscription. Data residency within Belgium or EU jurisdiction per NBB requirements. NBB/FSMA supervisory access via AUDITOR role.</w:t>
      </w:r>
    </w:p>
    <w:p>
      <w:r>
        <w:rPr>
          <w:rFonts w:ascii="Figtree" w:hAnsi="Figtree"/>
          <w:b/>
          <w:i w:val="0"/>
          <w:sz w:val="22"/>
        </w:rPr>
        <w:t>Infrastructure cost (Euroclear-borne, indicative):</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4618"/>
        <w:gridCol w:w="4453"/>
      </w:tblGrid>
      <w:tr>
        <w:trPr>
          <w:trHeight w:val="425" w:hRule="atLeast"/>
        </w:trPr>
        <w:tc>
          <w:tcPr>
            <w:tcW w:type="dxa" w:w="4873"/>
            <w:vAlign w:val="center"/>
            <w:shd w:fill="E8E0F0" w:val="clear"/>
          </w:tcPr>
          <w:p>
            <w:pPr>
              <w:spacing w:line="276" w:lineRule="auto" w:before="0" w:after="0"/>
              <w:jc w:val="left"/>
            </w:pPr>
            <w:r>
              <w:rPr>
                <w:b/>
                <w:color w:val="2D1A8C"/>
              </w:rPr>
            </w:r>
            <w:r>
              <w:rPr>
                <w:rFonts w:ascii="Figtree" w:hAnsi="Figtree"/>
                <w:b/>
                <w:i w:val="0"/>
                <w:color w:val="2D1A8C"/>
                <w:sz w:val="20"/>
              </w:rPr>
              <w:t>Component</w:t>
            </w:r>
          </w:p>
        </w:tc>
        <w:tc>
          <w:tcPr>
            <w:tcW w:type="dxa" w:w="4873"/>
            <w:vAlign w:val="center"/>
            <w:shd w:fill="E8E0F0" w:val="clear"/>
          </w:tcPr>
          <w:p>
            <w:pPr>
              <w:spacing w:line="276" w:lineRule="auto" w:before="0" w:after="0"/>
              <w:jc w:val="center"/>
            </w:pPr>
            <w:r>
              <w:rPr>
                <w:b/>
                <w:color w:val="2D1A8C"/>
              </w:rPr>
            </w:r>
            <w:r>
              <w:rPr>
                <w:rFonts w:ascii="Figtree" w:hAnsi="Figtree"/>
                <w:b/>
                <w:i w:val="0"/>
                <w:color w:val="2D1A8C"/>
                <w:sz w:val="20"/>
              </w:rPr>
              <w:t>Monthly</w:t>
            </w:r>
          </w:p>
        </w:tc>
      </w:tr>
      <w:tr>
        <w:trPr>
          <w:trHeight w:val="425" w:hRule="atLeast"/>
        </w:trPr>
        <w:tc>
          <w:tcPr>
            <w:tcW w:type="dxa" w:w="4873"/>
            <w:vAlign w:val="center"/>
          </w:tcPr>
          <w:p>
            <w:pPr>
              <w:spacing w:line="276" w:lineRule="auto" w:before="0" w:after="0"/>
            </w:pPr>
            <w:r/>
            <w:r>
              <w:rPr>
                <w:rFonts w:ascii="Figtree" w:hAnsi="Figtree"/>
                <w:b w:val="0"/>
                <w:i w:val="0"/>
                <w:sz w:val="20"/>
              </w:rPr>
              <w:t>Kubernetes (3-AZ Belgium/EU)</w:t>
            </w:r>
          </w:p>
        </w:tc>
        <w:tc>
          <w:tcPr>
            <w:tcW w:type="dxa" w:w="4873"/>
            <w:vAlign w:val="center"/>
          </w:tcPr>
          <w:p>
            <w:pPr>
              <w:spacing w:line="276" w:lineRule="auto" w:before="0" w:after="0"/>
            </w:pPr>
            <w:r/>
            <w:r>
              <w:rPr>
                <w:rFonts w:ascii="Figtree" w:hAnsi="Figtree"/>
                <w:b w:val="0"/>
                <w:i w:val="0"/>
                <w:sz w:val="20"/>
              </w:rPr>
              <w:t>EUR 4,000-8,000</w:t>
            </w:r>
          </w:p>
        </w:tc>
      </w:tr>
      <w:tr>
        <w:trPr>
          <w:trHeight w:val="425" w:hRule="atLeast"/>
        </w:trPr>
        <w:tc>
          <w:tcPr>
            <w:tcW w:type="dxa" w:w="4873"/>
            <w:vAlign w:val="center"/>
          </w:tcPr>
          <w:p>
            <w:pPr>
              <w:spacing w:line="276" w:lineRule="auto" w:before="0" w:after="0"/>
            </w:pPr>
            <w:r/>
            <w:r>
              <w:rPr>
                <w:rFonts w:ascii="Figtree" w:hAnsi="Figtree"/>
                <w:b w:val="0"/>
                <w:i w:val="0"/>
                <w:sz w:val="20"/>
              </w:rPr>
              <w:t>PostgreSQL Multi-AZ</w:t>
            </w:r>
          </w:p>
        </w:tc>
        <w:tc>
          <w:tcPr>
            <w:tcW w:type="dxa" w:w="4873"/>
            <w:vAlign w:val="center"/>
          </w:tcPr>
          <w:p>
            <w:pPr>
              <w:spacing w:line="276" w:lineRule="auto" w:before="0" w:after="0"/>
            </w:pPr>
            <w:r/>
            <w:r>
              <w:rPr>
                <w:rFonts w:ascii="Figtree" w:hAnsi="Figtree"/>
                <w:b w:val="0"/>
                <w:i w:val="0"/>
                <w:sz w:val="20"/>
              </w:rPr>
              <w:t>EUR 2,000-4,000</w:t>
            </w:r>
          </w:p>
        </w:tc>
      </w:tr>
      <w:tr>
        <w:trPr>
          <w:trHeight w:val="425" w:hRule="atLeast"/>
        </w:trPr>
        <w:tc>
          <w:tcPr>
            <w:tcW w:type="dxa" w:w="4873"/>
            <w:vAlign w:val="center"/>
          </w:tcPr>
          <w:p>
            <w:pPr>
              <w:spacing w:line="276" w:lineRule="auto" w:before="0" w:after="0"/>
            </w:pPr>
            <w:r/>
            <w:r>
              <w:rPr>
                <w:rFonts w:ascii="Figtree" w:hAnsi="Figtree"/>
                <w:b w:val="0"/>
                <w:i w:val="0"/>
                <w:sz w:val="20"/>
              </w:rPr>
              <w:t>Besu validators (4)</w:t>
            </w:r>
          </w:p>
        </w:tc>
        <w:tc>
          <w:tcPr>
            <w:tcW w:type="dxa" w:w="4873"/>
            <w:vAlign w:val="center"/>
          </w:tcPr>
          <w:p>
            <w:pPr>
              <w:spacing w:line="276" w:lineRule="auto" w:before="0" w:after="0"/>
            </w:pPr>
            <w:r/>
            <w:r>
              <w:rPr>
                <w:rFonts w:ascii="Figtree" w:hAnsi="Figtree"/>
                <w:b w:val="0"/>
                <w:i w:val="0"/>
                <w:sz w:val="20"/>
              </w:rPr>
              <w:t>EUR 2,500-5,000</w:t>
            </w:r>
          </w:p>
        </w:tc>
      </w:tr>
      <w:tr>
        <w:trPr>
          <w:trHeight w:val="425" w:hRule="atLeast"/>
        </w:trPr>
        <w:tc>
          <w:tcPr>
            <w:tcW w:type="dxa" w:w="4873"/>
            <w:vAlign w:val="center"/>
          </w:tcPr>
          <w:p>
            <w:pPr>
              <w:spacing w:line="276" w:lineRule="auto" w:before="0" w:after="0"/>
            </w:pPr>
            <w:r/>
            <w:r>
              <w:rPr>
                <w:rFonts w:ascii="Figtree" w:hAnsi="Figtree"/>
                <w:b w:val="0"/>
                <w:i w:val="0"/>
                <w:sz w:val="20"/>
              </w:rPr>
              <w:t>Redis, storage, networking</w:t>
            </w:r>
          </w:p>
        </w:tc>
        <w:tc>
          <w:tcPr>
            <w:tcW w:type="dxa" w:w="4873"/>
            <w:vAlign w:val="center"/>
          </w:tcPr>
          <w:p>
            <w:pPr>
              <w:spacing w:line="276" w:lineRule="auto" w:before="0" w:after="0"/>
            </w:pPr>
            <w:r/>
            <w:r>
              <w:rPr>
                <w:rFonts w:ascii="Figtree" w:hAnsi="Figtree"/>
                <w:b w:val="0"/>
                <w:i w:val="0"/>
                <w:sz w:val="20"/>
              </w:rPr>
              <w:t>EUR 1,500-3,000</w:t>
            </w:r>
          </w:p>
        </w:tc>
      </w:tr>
      <w:tr>
        <w:trPr>
          <w:trHeight w:val="425" w:hRule="atLeast"/>
        </w:trPr>
        <w:tc>
          <w:tcPr>
            <w:tcW w:type="dxa" w:w="4873"/>
            <w:vAlign w:val="center"/>
          </w:tcPr>
          <w:p>
            <w:pPr>
              <w:spacing w:line="276" w:lineRule="auto" w:before="0" w:after="0"/>
            </w:pPr>
            <w:r/>
            <w:r>
              <w:rPr>
                <w:rFonts w:ascii="Figtree" w:hAnsi="Figtree"/>
                <w:b w:val="0"/>
                <w:i w:val="0"/>
                <w:sz w:val="20"/>
              </w:rPr>
              <w:t>DR site (Netherlands)</w:t>
            </w:r>
          </w:p>
        </w:tc>
        <w:tc>
          <w:tcPr>
            <w:tcW w:type="dxa" w:w="4873"/>
            <w:vAlign w:val="center"/>
          </w:tcPr>
          <w:p>
            <w:pPr>
              <w:spacing w:line="276" w:lineRule="auto" w:before="0" w:after="0"/>
            </w:pPr>
            <w:r/>
            <w:r>
              <w:rPr>
                <w:rFonts w:ascii="Figtree" w:hAnsi="Figtree"/>
                <w:b w:val="0"/>
                <w:i w:val="0"/>
                <w:sz w:val="20"/>
              </w:rPr>
              <w:t>EUR 3,000-5,000</w:t>
            </w:r>
          </w:p>
        </w:tc>
      </w:tr>
      <w:tr>
        <w:trPr>
          <w:trHeight w:val="425" w:hRule="atLeast"/>
        </w:trPr>
        <w:tc>
          <w:tcPr>
            <w:tcW w:type="dxa" w:w="4873"/>
            <w:vAlign w:val="center"/>
          </w:tcPr>
          <w:p>
            <w:pPr>
              <w:spacing w:line="276" w:lineRule="auto" w:before="0" w:after="0"/>
            </w:pPr>
            <w:r/>
            <w:r>
              <w:rPr>
                <w:rFonts w:ascii="Figtree" w:hAnsi="Figtree"/>
                <w:b/>
                <w:i w:val="0"/>
                <w:sz w:val="20"/>
              </w:rPr>
              <w:t>Total</w:t>
            </w:r>
          </w:p>
        </w:tc>
        <w:tc>
          <w:tcPr>
            <w:tcW w:type="dxa" w:w="4873"/>
            <w:vAlign w:val="center"/>
          </w:tcPr>
          <w:p>
            <w:pPr>
              <w:spacing w:line="276" w:lineRule="auto" w:before="0" w:after="0"/>
            </w:pPr>
            <w:r/>
            <w:r>
              <w:rPr>
                <w:rFonts w:ascii="Figtree" w:hAnsi="Figtree"/>
                <w:b/>
                <w:i w:val="0"/>
                <w:sz w:val="20"/>
              </w:rPr>
              <w:t>EUR 13,000-25,000/month</w:t>
            </w:r>
          </w:p>
        </w:tc>
      </w:tr>
    </w:tbl>
    <w:p>
      <w:pPr>
        <w:spacing w:before="0" w:after="0" w:line="120" w:lineRule="exact"/>
      </w:pPr>
    </w:p>
    <w:p>
      <w:r>
        <w:br w:type="page"/>
      </w:r>
    </w:p>
    <w:p>
      <w:pPr>
        <w:pStyle w:val="H2"/>
        <w:numPr>
          <w:ilvl w:val="1"/>
          <w:numId w:val="1"/>
        </w:numPr>
      </w:pPr>
      <w:r>
        <w:t>5. Support and SLA Framework</w:t>
      </w:r>
    </w:p>
    <w:p>
      <w:pPr>
        <w:pStyle w:val="H3"/>
        <w:numPr>
          <w:ilvl w:val="2"/>
          <w:numId w:val="1"/>
        </w:numPr>
      </w:pPr>
      <w:r>
        <w:t>5.1 Enterprise Support (Recommended)</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454"/>
        <w:gridCol w:w="1600"/>
        <w:gridCol w:w="1600"/>
        <w:gridCol w:w="3415"/>
      </w:tblGrid>
      <w:tr>
        <w:trPr>
          <w:trHeight w:val="425" w:hRule="atLeast"/>
        </w:trPr>
        <w:tc>
          <w:tcPr>
            <w:tcW w:type="dxa" w:w="2436"/>
            <w:vAlign w:val="center"/>
            <w:shd w:fill="E8E0F0" w:val="clear"/>
          </w:tcPr>
          <w:p>
            <w:pPr>
              <w:spacing w:line="276" w:lineRule="auto" w:before="0" w:after="0"/>
              <w:jc w:val="left"/>
            </w:pPr>
            <w:r>
              <w:rPr>
                <w:b/>
                <w:color w:val="2D1A8C"/>
              </w:rPr>
            </w:r>
            <w:r>
              <w:rPr>
                <w:rFonts w:ascii="Figtree" w:hAnsi="Figtree"/>
                <w:b/>
                <w:i w:val="0"/>
                <w:color w:val="2D1A8C"/>
                <w:sz w:val="20"/>
              </w:rPr>
              <w:t>Capability</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Standard</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Premium</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Enterprise</w:t>
            </w:r>
          </w:p>
        </w:tc>
      </w:tr>
      <w:tr>
        <w:trPr>
          <w:trHeight w:val="425" w:hRule="atLeast"/>
        </w:trPr>
        <w:tc>
          <w:tcPr>
            <w:tcW w:type="dxa" w:w="2436"/>
            <w:vAlign w:val="center"/>
          </w:tcPr>
          <w:p>
            <w:pPr>
              <w:spacing w:line="276" w:lineRule="auto" w:before="0" w:after="0"/>
            </w:pPr>
            <w:r/>
            <w:r>
              <w:rPr>
                <w:rFonts w:ascii="Figtree" w:hAnsi="Figtree"/>
                <w:b w:val="0"/>
                <w:i w:val="0"/>
                <w:sz w:val="20"/>
              </w:rPr>
              <w:t>Coverage</w:t>
            </w:r>
          </w:p>
        </w:tc>
        <w:tc>
          <w:tcPr>
            <w:tcW w:type="dxa" w:w="2436"/>
            <w:vAlign w:val="center"/>
          </w:tcPr>
          <w:p>
            <w:pPr>
              <w:spacing w:line="276" w:lineRule="auto" w:before="0" w:after="0"/>
            </w:pPr>
            <w:r/>
            <w:r>
              <w:rPr>
                <w:rFonts w:ascii="Figtree" w:hAnsi="Figtree"/>
                <w:b w:val="0"/>
                <w:i w:val="0"/>
                <w:sz w:val="20"/>
              </w:rPr>
              <w:t>09:00-18:00 CET</w:t>
            </w:r>
          </w:p>
        </w:tc>
        <w:tc>
          <w:tcPr>
            <w:tcW w:type="dxa" w:w="2436"/>
            <w:vAlign w:val="center"/>
          </w:tcPr>
          <w:p>
            <w:pPr>
              <w:spacing w:line="276" w:lineRule="auto" w:before="0" w:after="0"/>
            </w:pPr>
            <w:r/>
            <w:r>
              <w:rPr>
                <w:rFonts w:ascii="Figtree" w:hAnsi="Figtree"/>
                <w:b w:val="0"/>
                <w:i w:val="0"/>
                <w:sz w:val="20"/>
              </w:rPr>
              <w:t>07:00-22:00 CET</w:t>
            </w:r>
          </w:p>
        </w:tc>
        <w:tc>
          <w:tcPr>
            <w:tcW w:type="dxa" w:w="2436"/>
            <w:vAlign w:val="center"/>
          </w:tcPr>
          <w:p>
            <w:pPr>
              <w:spacing w:line="276" w:lineRule="auto" w:before="0" w:after="0"/>
            </w:pPr>
            <w:r/>
            <w:r>
              <w:rPr>
                <w:rFonts w:ascii="Figtree" w:hAnsi="Figtree"/>
                <w:b w:val="0"/>
                <w:i w:val="0"/>
                <w:sz w:val="20"/>
              </w:rPr>
              <w:t>24/7</w:t>
            </w:r>
          </w:p>
        </w:tc>
      </w:tr>
      <w:tr>
        <w:trPr>
          <w:trHeight w:val="425" w:hRule="atLeast"/>
        </w:trPr>
        <w:tc>
          <w:tcPr>
            <w:tcW w:type="dxa" w:w="2436"/>
            <w:vAlign w:val="center"/>
          </w:tcPr>
          <w:p>
            <w:pPr>
              <w:spacing w:line="276" w:lineRule="auto" w:before="0" w:after="0"/>
            </w:pPr>
            <w:r/>
            <w:r>
              <w:rPr>
                <w:rFonts w:ascii="Figtree" w:hAnsi="Figtree"/>
                <w:b w:val="0"/>
                <w:i w:val="0"/>
                <w:sz w:val="20"/>
              </w:rPr>
              <w:t>P1 Response</w:t>
            </w:r>
          </w:p>
        </w:tc>
        <w:tc>
          <w:tcPr>
            <w:tcW w:type="dxa" w:w="2436"/>
            <w:vAlign w:val="center"/>
          </w:tcPr>
          <w:p>
            <w:pPr>
              <w:spacing w:line="276" w:lineRule="auto" w:before="0" w:after="0"/>
            </w:pPr>
            <w:r/>
            <w:r>
              <w:rPr>
                <w:rFonts w:ascii="Figtree" w:hAnsi="Figtree"/>
                <w:b w:val="0"/>
                <w:i w:val="0"/>
                <w:sz w:val="20"/>
              </w:rPr>
              <w:t>4 hours</w:t>
            </w:r>
          </w:p>
        </w:tc>
        <w:tc>
          <w:tcPr>
            <w:tcW w:type="dxa" w:w="2436"/>
            <w:vAlign w:val="center"/>
          </w:tcPr>
          <w:p>
            <w:pPr>
              <w:spacing w:line="276" w:lineRule="auto" w:before="0" w:after="0"/>
            </w:pPr>
            <w:r/>
            <w:r>
              <w:rPr>
                <w:rFonts w:ascii="Figtree" w:hAnsi="Figtree"/>
                <w:b w:val="0"/>
                <w:i w:val="0"/>
                <w:sz w:val="20"/>
              </w:rPr>
              <w:t>1 hour</w:t>
            </w:r>
          </w:p>
        </w:tc>
        <w:tc>
          <w:tcPr>
            <w:tcW w:type="dxa" w:w="2436"/>
            <w:vAlign w:val="center"/>
          </w:tcPr>
          <w:p>
            <w:pPr>
              <w:spacing w:line="276" w:lineRule="auto" w:before="0" w:after="0"/>
            </w:pPr>
            <w:r/>
            <w:r>
              <w:rPr>
                <w:rFonts w:ascii="Figtree" w:hAnsi="Figtree"/>
                <w:b w:val="0"/>
                <w:i w:val="0"/>
                <w:sz w:val="20"/>
              </w:rPr>
              <w:t>15 minutes</w:t>
            </w:r>
          </w:p>
        </w:tc>
      </w:tr>
      <w:tr>
        <w:trPr>
          <w:trHeight w:val="425" w:hRule="atLeast"/>
        </w:trPr>
        <w:tc>
          <w:tcPr>
            <w:tcW w:type="dxa" w:w="2436"/>
            <w:vAlign w:val="center"/>
          </w:tcPr>
          <w:p>
            <w:pPr>
              <w:spacing w:line="276" w:lineRule="auto" w:before="0" w:after="0"/>
            </w:pPr>
            <w:r/>
            <w:r>
              <w:rPr>
                <w:rFonts w:ascii="Figtree" w:hAnsi="Figtree"/>
                <w:b w:val="0"/>
                <w:i w:val="0"/>
                <w:sz w:val="20"/>
              </w:rPr>
              <w:t>P1 Resolution</w:t>
            </w:r>
          </w:p>
        </w:tc>
        <w:tc>
          <w:tcPr>
            <w:tcW w:type="dxa" w:w="2436"/>
            <w:vAlign w:val="center"/>
          </w:tcPr>
          <w:p>
            <w:pPr>
              <w:spacing w:line="276" w:lineRule="auto" w:before="0" w:after="0"/>
            </w:pPr>
            <w:r/>
            <w:r>
              <w:rPr>
                <w:rFonts w:ascii="Figtree" w:hAnsi="Figtree"/>
                <w:b w:val="0"/>
                <w:i w:val="0"/>
                <w:sz w:val="20"/>
              </w:rPr>
              <w:t>8 hours</w:t>
            </w:r>
          </w:p>
        </w:tc>
        <w:tc>
          <w:tcPr>
            <w:tcW w:type="dxa" w:w="2436"/>
            <w:vAlign w:val="center"/>
          </w:tcPr>
          <w:p>
            <w:pPr>
              <w:spacing w:line="276" w:lineRule="auto" w:before="0" w:after="0"/>
            </w:pPr>
            <w:r/>
            <w:r>
              <w:rPr>
                <w:rFonts w:ascii="Figtree" w:hAnsi="Figtree"/>
                <w:b w:val="0"/>
                <w:i w:val="0"/>
                <w:sz w:val="20"/>
              </w:rPr>
              <w:t>4 hours</w:t>
            </w:r>
          </w:p>
        </w:tc>
        <w:tc>
          <w:tcPr>
            <w:tcW w:type="dxa" w:w="2436"/>
            <w:vAlign w:val="center"/>
          </w:tcPr>
          <w:p>
            <w:pPr>
              <w:spacing w:line="276" w:lineRule="auto" w:before="0" w:after="0"/>
            </w:pPr>
            <w:r/>
            <w:r>
              <w:rPr>
                <w:rFonts w:ascii="Figtree" w:hAnsi="Figtree"/>
                <w:b w:val="0"/>
                <w:i w:val="0"/>
                <w:sz w:val="20"/>
              </w:rPr>
              <w:t>2 hours</w:t>
            </w:r>
          </w:p>
        </w:tc>
      </w:tr>
      <w:tr>
        <w:trPr>
          <w:trHeight w:val="425" w:hRule="atLeast"/>
        </w:trPr>
        <w:tc>
          <w:tcPr>
            <w:tcW w:type="dxa" w:w="2436"/>
            <w:vAlign w:val="center"/>
          </w:tcPr>
          <w:p>
            <w:pPr>
              <w:spacing w:line="276" w:lineRule="auto" w:before="0" w:after="0"/>
            </w:pPr>
            <w:r/>
            <w:r>
              <w:rPr>
                <w:rFonts w:ascii="Figtree" w:hAnsi="Figtree"/>
                <w:b w:val="0"/>
                <w:i w:val="0"/>
                <w:sz w:val="20"/>
              </w:rPr>
              <w:t>Uptime SLA</w:t>
            </w:r>
          </w:p>
        </w:tc>
        <w:tc>
          <w:tcPr>
            <w:tcW w:type="dxa" w:w="2436"/>
            <w:vAlign w:val="center"/>
          </w:tcPr>
          <w:p>
            <w:pPr>
              <w:spacing w:line="276" w:lineRule="auto" w:before="0" w:after="0"/>
            </w:pPr>
            <w:r/>
            <w:r>
              <w:rPr>
                <w:rFonts w:ascii="Figtree" w:hAnsi="Figtree"/>
                <w:b w:val="0"/>
                <w:i w:val="0"/>
                <w:sz w:val="20"/>
              </w:rPr>
              <w:t>99.9%</w:t>
            </w:r>
          </w:p>
        </w:tc>
        <w:tc>
          <w:tcPr>
            <w:tcW w:type="dxa" w:w="2436"/>
            <w:vAlign w:val="center"/>
          </w:tcPr>
          <w:p>
            <w:pPr>
              <w:spacing w:line="276" w:lineRule="auto" w:before="0" w:after="0"/>
            </w:pPr>
            <w:r/>
            <w:r>
              <w:rPr>
                <w:rFonts w:ascii="Figtree" w:hAnsi="Figtree"/>
                <w:b w:val="0"/>
                <w:i w:val="0"/>
                <w:sz w:val="20"/>
              </w:rPr>
              <w:t>99.95%</w:t>
            </w:r>
          </w:p>
        </w:tc>
        <w:tc>
          <w:tcPr>
            <w:tcW w:type="dxa" w:w="2436"/>
            <w:vAlign w:val="center"/>
          </w:tcPr>
          <w:p>
            <w:pPr>
              <w:spacing w:line="276" w:lineRule="auto" w:before="0" w:after="0"/>
            </w:pPr>
            <w:r/>
            <w:r>
              <w:rPr>
                <w:rFonts w:ascii="Figtree" w:hAnsi="Figtree"/>
                <w:b w:val="0"/>
                <w:i w:val="0"/>
                <w:sz w:val="20"/>
              </w:rPr>
              <w:t>99.99%</w:t>
            </w:r>
          </w:p>
        </w:tc>
      </w:tr>
      <w:tr>
        <w:trPr>
          <w:trHeight w:val="425" w:hRule="atLeast"/>
        </w:trPr>
        <w:tc>
          <w:tcPr>
            <w:tcW w:type="dxa" w:w="2436"/>
            <w:vAlign w:val="center"/>
          </w:tcPr>
          <w:p>
            <w:pPr>
              <w:spacing w:line="276" w:lineRule="auto" w:before="0" w:after="0"/>
            </w:pPr>
            <w:r/>
            <w:r>
              <w:rPr>
                <w:rFonts w:ascii="Figtree" w:hAnsi="Figtree"/>
                <w:b w:val="0"/>
                <w:i w:val="0"/>
                <w:sz w:val="20"/>
              </w:rPr>
              <w:t>CSDR penalty protection</w:t>
            </w:r>
          </w:p>
        </w:tc>
        <w:tc>
          <w:tcPr>
            <w:tcW w:type="dxa" w:w="2436"/>
            <w:vAlign w:val="center"/>
          </w:tcPr>
          <w:p>
            <w:pPr>
              <w:spacing w:line="276" w:lineRule="auto" w:before="0" w:after="0"/>
            </w:pPr>
            <w:r/>
            <w:r>
              <w:rPr>
                <w:rFonts w:ascii="Figtree" w:hAnsi="Figtree"/>
                <w:b w:val="0"/>
                <w:i w:val="0"/>
                <w:sz w:val="20"/>
              </w:rPr>
              <w:t>Standard</w:t>
            </w:r>
          </w:p>
        </w:tc>
        <w:tc>
          <w:tcPr>
            <w:tcW w:type="dxa" w:w="2436"/>
            <w:vAlign w:val="center"/>
          </w:tcPr>
          <w:p>
            <w:pPr>
              <w:spacing w:line="276" w:lineRule="auto" w:before="0" w:after="0"/>
            </w:pPr>
            <w:r/>
            <w:r>
              <w:rPr>
                <w:rFonts w:ascii="Figtree" w:hAnsi="Figtree"/>
                <w:b w:val="0"/>
                <w:i w:val="0"/>
                <w:sz w:val="20"/>
              </w:rPr>
              <w:t>Enhanced</w:t>
            </w:r>
          </w:p>
        </w:tc>
        <w:tc>
          <w:tcPr>
            <w:tcW w:type="dxa" w:w="2436"/>
            <w:vAlign w:val="center"/>
          </w:tcPr>
          <w:p>
            <w:pPr>
              <w:spacing w:line="276" w:lineRule="auto" w:before="0" w:after="0"/>
            </w:pPr>
            <w:r/>
            <w:r>
              <w:rPr>
                <w:rFonts w:ascii="Figtree" w:hAnsi="Figtree"/>
                <w:b w:val="0"/>
                <w:i w:val="0"/>
                <w:sz w:val="20"/>
              </w:rPr>
              <w:t>Full settlement failure protocol</w:t>
            </w:r>
          </w:p>
        </w:tc>
      </w:tr>
      <w:tr>
        <w:trPr>
          <w:trHeight w:val="425" w:hRule="atLeast"/>
        </w:trPr>
        <w:tc>
          <w:tcPr>
            <w:tcW w:type="dxa" w:w="2436"/>
            <w:vAlign w:val="center"/>
          </w:tcPr>
          <w:p>
            <w:pPr>
              <w:spacing w:line="276" w:lineRule="auto" w:before="0" w:after="0"/>
            </w:pPr>
            <w:r/>
            <w:r>
              <w:rPr>
                <w:rFonts w:ascii="Figtree" w:hAnsi="Figtree"/>
                <w:b w:val="0"/>
                <w:i w:val="0"/>
                <w:sz w:val="20"/>
              </w:rPr>
              <w:t>Dedicated SRE</w:t>
            </w:r>
          </w:p>
        </w:tc>
        <w:tc>
          <w:tcPr>
            <w:tcW w:type="dxa" w:w="2436"/>
            <w:vAlign w:val="center"/>
          </w:tcPr>
          <w:p>
            <w:pPr>
              <w:spacing w:line="276" w:lineRule="auto" w:before="0" w:after="0"/>
            </w:pPr>
            <w:r/>
            <w:r>
              <w:rPr>
                <w:rFonts w:ascii="Figtree" w:hAnsi="Figtree"/>
                <w:b w:val="0"/>
                <w:i w:val="0"/>
                <w:sz w:val="20"/>
              </w:rPr>
              <w:t>Shared</w:t>
            </w:r>
          </w:p>
        </w:tc>
        <w:tc>
          <w:tcPr>
            <w:tcW w:type="dxa" w:w="2436"/>
            <w:vAlign w:val="center"/>
          </w:tcPr>
          <w:p>
            <w:pPr>
              <w:spacing w:line="276" w:lineRule="auto" w:before="0" w:after="0"/>
            </w:pPr>
            <w:r/>
            <w:r>
              <w:rPr>
                <w:rFonts w:ascii="Figtree" w:hAnsi="Figtree"/>
                <w:b w:val="0"/>
                <w:i w:val="0"/>
                <w:sz w:val="20"/>
              </w:rPr>
              <w:t>Designated</w:t>
            </w:r>
          </w:p>
        </w:tc>
        <w:tc>
          <w:tcPr>
            <w:tcW w:type="dxa" w:w="2436"/>
            <w:vAlign w:val="center"/>
          </w:tcPr>
          <w:p>
            <w:pPr>
              <w:spacing w:line="276" w:lineRule="auto" w:before="0" w:after="0"/>
            </w:pPr>
            <w:r/>
            <w:r>
              <w:rPr>
                <w:rFonts w:ascii="Figtree" w:hAnsi="Figtree"/>
                <w:b w:val="0"/>
                <w:i w:val="0"/>
                <w:sz w:val="20"/>
              </w:rPr>
              <w:t>Named</w:t>
            </w:r>
          </w:p>
        </w:tc>
      </w:tr>
    </w:tbl>
    <w:p>
      <w:pPr>
        <w:spacing w:before="0" w:after="0" w:line="120" w:lineRule="exact"/>
      </w:pPr>
    </w:p>
    <w:p>
      <w:pPr>
        <w:pStyle w:val="H3"/>
        <w:numPr>
          <w:ilvl w:val="2"/>
          <w:numId w:val="1"/>
        </w:numPr>
      </w:pPr>
      <w:r>
        <w:t>5.2 Severity Levels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736"/>
        <w:gridCol w:w="5524"/>
        <w:gridCol w:w="1356"/>
        <w:gridCol w:w="1453"/>
      </w:tblGrid>
      <w:tr>
        <w:trPr>
          <w:trHeight w:val="425" w:hRule="atLeast"/>
        </w:trPr>
        <w:tc>
          <w:tcPr>
            <w:tcW w:type="dxa" w:w="2436"/>
            <w:vAlign w:val="center"/>
            <w:shd w:fill="E8E0F0" w:val="clear"/>
          </w:tcPr>
          <w:p>
            <w:pPr>
              <w:spacing w:line="276" w:lineRule="auto" w:before="0" w:after="0"/>
              <w:jc w:val="left"/>
            </w:pPr>
            <w:r>
              <w:rPr>
                <w:b/>
                <w:color w:val="2D1A8C"/>
              </w:rPr>
            </w:r>
            <w:r>
              <w:rPr>
                <w:rFonts w:ascii="Figtree" w:hAnsi="Figtree"/>
                <w:b/>
                <w:i w:val="0"/>
                <w:color w:val="2D1A8C"/>
                <w:sz w:val="20"/>
              </w:rPr>
              <w:t>Level</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Definition</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Response</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Resolution</w:t>
            </w:r>
          </w:p>
        </w:tc>
      </w:tr>
      <w:tr>
        <w:trPr>
          <w:trHeight w:val="425" w:hRule="atLeast"/>
        </w:trPr>
        <w:tc>
          <w:tcPr>
            <w:tcW w:type="dxa" w:w="2436"/>
            <w:vAlign w:val="center"/>
          </w:tcPr>
          <w:p>
            <w:pPr>
              <w:spacing w:line="276" w:lineRule="auto" w:before="0" w:after="0"/>
            </w:pPr>
            <w:r/>
            <w:r>
              <w:rPr>
                <w:rFonts w:ascii="Figtree" w:hAnsi="Figtree"/>
                <w:b w:val="0"/>
                <w:i w:val="0"/>
                <w:sz w:val="20"/>
              </w:rPr>
              <w:t>P1</w:t>
            </w:r>
          </w:p>
        </w:tc>
        <w:tc>
          <w:tcPr>
            <w:tcW w:type="dxa" w:w="2436"/>
            <w:vAlign w:val="center"/>
          </w:tcPr>
          <w:p>
            <w:pPr>
              <w:spacing w:line="276" w:lineRule="auto" w:before="0" w:after="0"/>
            </w:pPr>
            <w:r/>
            <w:r>
              <w:rPr>
                <w:rFonts w:ascii="Figtree" w:hAnsi="Figtree"/>
                <w:b w:val="0"/>
                <w:i w:val="0"/>
                <w:sz w:val="20"/>
              </w:rPr>
              <w:t>Settlement blocked; XvP unavailable; finality engine down</w:t>
            </w:r>
          </w:p>
        </w:tc>
        <w:tc>
          <w:tcPr>
            <w:tcW w:type="dxa" w:w="2436"/>
            <w:vAlign w:val="center"/>
          </w:tcPr>
          <w:p>
            <w:pPr>
              <w:spacing w:line="276" w:lineRule="auto" w:before="0" w:after="0"/>
            </w:pPr>
            <w:r/>
            <w:r>
              <w:rPr>
                <w:rFonts w:ascii="Figtree" w:hAnsi="Figtree"/>
                <w:b w:val="0"/>
                <w:i w:val="0"/>
                <w:sz w:val="20"/>
              </w:rPr>
              <w:t>15 min</w:t>
            </w:r>
          </w:p>
        </w:tc>
        <w:tc>
          <w:tcPr>
            <w:tcW w:type="dxa" w:w="2436"/>
            <w:vAlign w:val="center"/>
          </w:tcPr>
          <w:p>
            <w:pPr>
              <w:spacing w:line="276" w:lineRule="auto" w:before="0" w:after="0"/>
            </w:pPr>
            <w:r/>
            <w:r>
              <w:rPr>
                <w:rFonts w:ascii="Figtree" w:hAnsi="Figtree"/>
                <w:b w:val="0"/>
                <w:i w:val="0"/>
                <w:sz w:val="20"/>
              </w:rPr>
              <w:t>2 hours</w:t>
            </w:r>
          </w:p>
        </w:tc>
      </w:tr>
      <w:tr>
        <w:trPr>
          <w:trHeight w:val="425" w:hRule="atLeast"/>
        </w:trPr>
        <w:tc>
          <w:tcPr>
            <w:tcW w:type="dxa" w:w="2436"/>
            <w:vAlign w:val="center"/>
          </w:tcPr>
          <w:p>
            <w:pPr>
              <w:spacing w:line="276" w:lineRule="auto" w:before="0" w:after="0"/>
            </w:pPr>
            <w:r/>
            <w:r>
              <w:rPr>
                <w:rFonts w:ascii="Figtree" w:hAnsi="Figtree"/>
                <w:b w:val="0"/>
                <w:i w:val="0"/>
                <w:sz w:val="20"/>
              </w:rPr>
              <w:t>P2</w:t>
            </w:r>
          </w:p>
        </w:tc>
        <w:tc>
          <w:tcPr>
            <w:tcW w:type="dxa" w:w="2436"/>
            <w:vAlign w:val="center"/>
          </w:tcPr>
          <w:p>
            <w:pPr>
              <w:spacing w:line="276" w:lineRule="auto" w:before="0" w:after="0"/>
            </w:pPr>
            <w:r/>
            <w:r>
              <w:rPr>
                <w:rFonts w:ascii="Figtree" w:hAnsi="Figtree"/>
                <w:b w:val="0"/>
                <w:i w:val="0"/>
                <w:sz w:val="20"/>
              </w:rPr>
              <w:t>Major function impaired; settlement continues with workaround</w:t>
            </w:r>
          </w:p>
        </w:tc>
        <w:tc>
          <w:tcPr>
            <w:tcW w:type="dxa" w:w="2436"/>
            <w:vAlign w:val="center"/>
          </w:tcPr>
          <w:p>
            <w:pPr>
              <w:spacing w:line="276" w:lineRule="auto" w:before="0" w:after="0"/>
            </w:pPr>
            <w:r/>
            <w:r>
              <w:rPr>
                <w:rFonts w:ascii="Figtree" w:hAnsi="Figtree"/>
                <w:b w:val="0"/>
                <w:i w:val="0"/>
                <w:sz w:val="20"/>
              </w:rPr>
              <w:t>1 hour</w:t>
            </w:r>
          </w:p>
        </w:tc>
        <w:tc>
          <w:tcPr>
            <w:tcW w:type="dxa" w:w="2436"/>
            <w:vAlign w:val="center"/>
          </w:tcPr>
          <w:p>
            <w:pPr>
              <w:spacing w:line="276" w:lineRule="auto" w:before="0" w:after="0"/>
            </w:pPr>
            <w:r/>
            <w:r>
              <w:rPr>
                <w:rFonts w:ascii="Figtree" w:hAnsi="Figtree"/>
                <w:b w:val="0"/>
                <w:i w:val="0"/>
                <w:sz w:val="20"/>
              </w:rPr>
              <w:t>4 hours</w:t>
            </w:r>
          </w:p>
        </w:tc>
      </w:tr>
      <w:tr>
        <w:trPr>
          <w:trHeight w:val="425" w:hRule="atLeast"/>
        </w:trPr>
        <w:tc>
          <w:tcPr>
            <w:tcW w:type="dxa" w:w="2436"/>
            <w:vAlign w:val="center"/>
          </w:tcPr>
          <w:p>
            <w:pPr>
              <w:spacing w:line="276" w:lineRule="auto" w:before="0" w:after="0"/>
            </w:pPr>
            <w:r/>
            <w:r>
              <w:rPr>
                <w:rFonts w:ascii="Figtree" w:hAnsi="Figtree"/>
                <w:b w:val="0"/>
                <w:i w:val="0"/>
                <w:sz w:val="20"/>
              </w:rPr>
              <w:t>P3</w:t>
            </w:r>
          </w:p>
        </w:tc>
        <w:tc>
          <w:tcPr>
            <w:tcW w:type="dxa" w:w="2436"/>
            <w:vAlign w:val="center"/>
          </w:tcPr>
          <w:p>
            <w:pPr>
              <w:spacing w:line="276" w:lineRule="auto" w:before="0" w:after="0"/>
            </w:pPr>
            <w:r/>
            <w:r>
              <w:rPr>
                <w:rFonts w:ascii="Figtree" w:hAnsi="Figtree"/>
                <w:b w:val="0"/>
                <w:i w:val="0"/>
                <w:sz w:val="20"/>
              </w:rPr>
              <w:t>Non-critical</w:t>
            </w:r>
          </w:p>
        </w:tc>
        <w:tc>
          <w:tcPr>
            <w:tcW w:type="dxa" w:w="2436"/>
            <w:vAlign w:val="center"/>
          </w:tcPr>
          <w:p>
            <w:pPr>
              <w:spacing w:line="276" w:lineRule="auto" w:before="0" w:after="0"/>
            </w:pPr>
            <w:r/>
            <w:r>
              <w:rPr>
                <w:rFonts w:ascii="Figtree" w:hAnsi="Figtree"/>
                <w:b w:val="0"/>
                <w:i w:val="0"/>
                <w:sz w:val="20"/>
              </w:rPr>
              <w:t>4 hours</w:t>
            </w:r>
          </w:p>
        </w:tc>
        <w:tc>
          <w:tcPr>
            <w:tcW w:type="dxa" w:w="2436"/>
            <w:vAlign w:val="center"/>
          </w:tcPr>
          <w:p>
            <w:pPr>
              <w:spacing w:line="276" w:lineRule="auto" w:before="0" w:after="0"/>
            </w:pPr>
            <w:r/>
            <w:r>
              <w:rPr>
                <w:rFonts w:ascii="Figtree" w:hAnsi="Figtree"/>
                <w:b w:val="0"/>
                <w:i w:val="0"/>
                <w:sz w:val="20"/>
              </w:rPr>
              <w:t>2 business days</w:t>
            </w:r>
          </w:p>
        </w:tc>
      </w:tr>
      <w:tr>
        <w:trPr>
          <w:trHeight w:val="425" w:hRule="atLeast"/>
        </w:trPr>
        <w:tc>
          <w:tcPr>
            <w:tcW w:type="dxa" w:w="2436"/>
            <w:vAlign w:val="center"/>
          </w:tcPr>
          <w:p>
            <w:pPr>
              <w:spacing w:line="276" w:lineRule="auto" w:before="0" w:after="0"/>
            </w:pPr>
            <w:r/>
            <w:r>
              <w:rPr>
                <w:rFonts w:ascii="Figtree" w:hAnsi="Figtree"/>
                <w:b w:val="0"/>
                <w:i w:val="0"/>
                <w:sz w:val="20"/>
              </w:rPr>
              <w:t>P4</w:t>
            </w:r>
          </w:p>
        </w:tc>
        <w:tc>
          <w:tcPr>
            <w:tcW w:type="dxa" w:w="2436"/>
            <w:vAlign w:val="center"/>
          </w:tcPr>
          <w:p>
            <w:pPr>
              <w:spacing w:line="276" w:lineRule="auto" w:before="0" w:after="0"/>
            </w:pPr>
            <w:r/>
            <w:r>
              <w:rPr>
                <w:rFonts w:ascii="Figtree" w:hAnsi="Figtree"/>
                <w:b w:val="0"/>
                <w:i w:val="0"/>
                <w:sz w:val="20"/>
              </w:rPr>
              <w:t>General</w:t>
            </w:r>
          </w:p>
        </w:tc>
        <w:tc>
          <w:tcPr>
            <w:tcW w:type="dxa" w:w="2436"/>
            <w:vAlign w:val="center"/>
          </w:tcPr>
          <w:p>
            <w:pPr>
              <w:spacing w:line="276" w:lineRule="auto" w:before="0" w:after="0"/>
            </w:pPr>
            <w:r/>
            <w:r>
              <w:rPr>
                <w:rFonts w:ascii="Figtree" w:hAnsi="Figtree"/>
                <w:b w:val="0"/>
                <w:i w:val="0"/>
                <w:sz w:val="20"/>
              </w:rPr>
              <w:t>1 business day</w:t>
            </w:r>
          </w:p>
        </w:tc>
        <w:tc>
          <w:tcPr>
            <w:tcW w:type="dxa" w:w="2436"/>
            <w:vAlign w:val="center"/>
          </w:tcPr>
          <w:p>
            <w:pPr>
              <w:spacing w:line="276" w:lineRule="auto" w:before="0" w:after="0"/>
            </w:pPr>
            <w:r/>
            <w:r>
              <w:rPr>
                <w:rFonts w:ascii="Figtree" w:hAnsi="Figtree"/>
                <w:b w:val="0"/>
                <w:i w:val="0"/>
                <w:sz w:val="20"/>
              </w:rPr>
              <w:t>Next cycle</w:t>
            </w:r>
          </w:p>
        </w:tc>
      </w:tr>
    </w:tbl>
    <w:p>
      <w:pPr>
        <w:spacing w:before="0" w:after="0" w:line="120" w:lineRule="exact"/>
      </w:pPr>
    </w:p>
    <w:p>
      <w:r>
        <w:rPr>
          <w:rFonts w:ascii="Figtree" w:hAnsi="Figtree"/>
          <w:b w:val="0"/>
          <w:i w:val="0"/>
          <w:sz w:val="22"/>
        </w:rPr>
        <w:t>NBB/FSMA incident notification within 4 hours for P1. DORA and CSDR incident classification applied.</w:t>
      </w:r>
    </w:p>
    <w:p>
      <w:r>
        <w:br w:type="page"/>
      </w:r>
    </w:p>
    <w:p>
      <w:pPr>
        <w:pStyle w:val="H2"/>
        <w:numPr>
          <w:ilvl w:val="1"/>
          <w:numId w:val="1"/>
        </w:numPr>
      </w:pPr>
      <w:r>
        <w:t>6. Implementation Investment</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1774"/>
        <w:gridCol w:w="788"/>
        <w:gridCol w:w="4075"/>
        <w:gridCol w:w="2432"/>
      </w:tblGrid>
      <w:tr>
        <w:trPr>
          <w:trHeight w:val="425" w:hRule="atLeast"/>
        </w:trPr>
        <w:tc>
          <w:tcPr>
            <w:tcW w:type="dxa" w:w="2436"/>
            <w:vAlign w:val="center"/>
            <w:shd w:fill="E8E0F0" w:val="clear"/>
          </w:tcPr>
          <w:p>
            <w:pPr>
              <w:spacing w:line="276" w:lineRule="auto" w:before="0" w:after="0"/>
              <w:jc w:val="left"/>
            </w:pPr>
            <w:r>
              <w:rPr>
                <w:b/>
                <w:color w:val="2D1A8C"/>
              </w:rPr>
            </w:r>
            <w:r>
              <w:rPr>
                <w:rFonts w:ascii="Figtree" w:hAnsi="Figtree"/>
                <w:b/>
                <w:i w:val="0"/>
                <w:color w:val="2D1A8C"/>
                <w:sz w:val="20"/>
              </w:rPr>
              <w:t>Phase</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Duration</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Deliverables</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Investment</w:t>
            </w:r>
          </w:p>
        </w:tc>
      </w:tr>
      <w:tr>
        <w:trPr>
          <w:trHeight w:val="425" w:hRule="atLeast"/>
        </w:trPr>
        <w:tc>
          <w:tcPr>
            <w:tcW w:type="dxa" w:w="2436"/>
            <w:vAlign w:val="center"/>
          </w:tcPr>
          <w:p>
            <w:pPr>
              <w:spacing w:line="276" w:lineRule="auto" w:before="0" w:after="0"/>
            </w:pPr>
            <w:r/>
            <w:r>
              <w:rPr>
                <w:rFonts w:ascii="Figtree" w:hAnsi="Figtree"/>
                <w:b w:val="0"/>
                <w:i w:val="0"/>
                <w:sz w:val="20"/>
              </w:rPr>
              <w:t>Discovery</w:t>
            </w:r>
          </w:p>
        </w:tc>
        <w:tc>
          <w:tcPr>
            <w:tcW w:type="dxa" w:w="2436"/>
            <w:vAlign w:val="center"/>
          </w:tcPr>
          <w:p>
            <w:pPr>
              <w:spacing w:line="276" w:lineRule="auto" w:before="0" w:after="0"/>
            </w:pPr>
            <w:r/>
            <w:r>
              <w:rPr>
                <w:rFonts w:ascii="Figtree" w:hAnsi="Figtree"/>
                <w:b w:val="0"/>
                <w:i w:val="0"/>
                <w:sz w:val="20"/>
              </w:rPr>
              <w:t>3 weeks</w:t>
            </w:r>
          </w:p>
        </w:tc>
        <w:tc>
          <w:tcPr>
            <w:tcW w:type="dxa" w:w="2436"/>
            <w:vAlign w:val="center"/>
          </w:tcPr>
          <w:p>
            <w:pPr>
              <w:spacing w:line="276" w:lineRule="auto" w:before="0" w:after="0"/>
            </w:pPr>
            <w:r/>
            <w:r>
              <w:rPr>
                <w:rFonts w:ascii="Figtree" w:hAnsi="Figtree"/>
                <w:b w:val="0"/>
                <w:i w:val="0"/>
                <w:sz w:val="20"/>
              </w:rPr>
              <w:t>Settlement architecture, TARGET2 design, NBB planning</w:t>
            </w:r>
          </w:p>
        </w:tc>
        <w:tc>
          <w:tcPr>
            <w:tcW w:type="dxa" w:w="2436"/>
            <w:vAlign w:val="center"/>
          </w:tcPr>
          <w:p>
            <w:pPr>
              <w:spacing w:line="276" w:lineRule="auto" w:before="0" w:after="0"/>
            </w:pPr>
            <w:r/>
            <w:r>
              <w:rPr>
                <w:rFonts w:ascii="Figtree" w:hAnsi="Figtree"/>
                <w:b w:val="0"/>
                <w:i w:val="0"/>
                <w:sz w:val="20"/>
              </w:rPr>
              <w:t>EUR [CLIENT-SPECIFIC: ~180K-280K]</w:t>
            </w:r>
          </w:p>
        </w:tc>
      </w:tr>
      <w:tr>
        <w:trPr>
          <w:trHeight w:val="425" w:hRule="atLeast"/>
        </w:trPr>
        <w:tc>
          <w:tcPr>
            <w:tcW w:type="dxa" w:w="2436"/>
            <w:vAlign w:val="center"/>
          </w:tcPr>
          <w:p>
            <w:pPr>
              <w:spacing w:line="276" w:lineRule="auto" w:before="0" w:after="0"/>
            </w:pPr>
            <w:r/>
            <w:r>
              <w:rPr>
                <w:rFonts w:ascii="Figtree" w:hAnsi="Figtree"/>
                <w:b w:val="0"/>
                <w:i w:val="0"/>
                <w:sz w:val="20"/>
              </w:rPr>
              <w:t>Foundation</w:t>
            </w:r>
          </w:p>
        </w:tc>
        <w:tc>
          <w:tcPr>
            <w:tcW w:type="dxa" w:w="2436"/>
            <w:vAlign w:val="center"/>
          </w:tcPr>
          <w:p>
            <w:pPr>
              <w:spacing w:line="276" w:lineRule="auto" w:before="0" w:after="0"/>
            </w:pPr>
            <w:r/>
            <w:r>
              <w:rPr>
                <w:rFonts w:ascii="Figtree" w:hAnsi="Figtree"/>
                <w:b w:val="0"/>
                <w:i w:val="0"/>
                <w:sz w:val="20"/>
              </w:rPr>
              <w:t>4 weeks</w:t>
            </w:r>
          </w:p>
        </w:tc>
        <w:tc>
          <w:tcPr>
            <w:tcW w:type="dxa" w:w="2436"/>
            <w:vAlign w:val="center"/>
          </w:tcPr>
          <w:p>
            <w:pPr>
              <w:spacing w:line="276" w:lineRule="auto" w:before="0" w:after="0"/>
            </w:pPr>
            <w:r/>
            <w:r>
              <w:rPr>
                <w:rFonts w:ascii="Figtree" w:hAnsi="Figtree"/>
                <w:b w:val="0"/>
                <w:i w:val="0"/>
                <w:sz w:val="20"/>
              </w:rPr>
              <w:t>Environments, Besu Belgium, HSM, participant identity</w:t>
            </w:r>
          </w:p>
        </w:tc>
        <w:tc>
          <w:tcPr>
            <w:tcW w:type="dxa" w:w="2436"/>
            <w:vAlign w:val="center"/>
          </w:tcPr>
          <w:p>
            <w:pPr>
              <w:spacing w:line="276" w:lineRule="auto" w:before="0" w:after="0"/>
            </w:pPr>
            <w:r/>
            <w:r>
              <w:rPr>
                <w:rFonts w:ascii="Figtree" w:hAnsi="Figtree"/>
                <w:b w:val="0"/>
                <w:i w:val="0"/>
                <w:sz w:val="20"/>
              </w:rPr>
              <w:t>EUR [CLIENT-SPECIFIC: ~220K-380K]</w:t>
            </w:r>
          </w:p>
        </w:tc>
      </w:tr>
      <w:tr>
        <w:trPr>
          <w:trHeight w:val="425" w:hRule="atLeast"/>
        </w:trPr>
        <w:tc>
          <w:tcPr>
            <w:tcW w:type="dxa" w:w="2436"/>
            <w:vAlign w:val="center"/>
          </w:tcPr>
          <w:p>
            <w:pPr>
              <w:spacing w:line="276" w:lineRule="auto" w:before="0" w:after="0"/>
            </w:pPr>
            <w:r/>
            <w:r>
              <w:rPr>
                <w:rFonts w:ascii="Figtree" w:hAnsi="Figtree"/>
                <w:b w:val="0"/>
                <w:i w:val="0"/>
                <w:sz w:val="20"/>
              </w:rPr>
              <w:t>Configuration</w:t>
            </w:r>
          </w:p>
        </w:tc>
        <w:tc>
          <w:tcPr>
            <w:tcW w:type="dxa" w:w="2436"/>
            <w:vAlign w:val="center"/>
          </w:tcPr>
          <w:p>
            <w:pPr>
              <w:spacing w:line="276" w:lineRule="auto" w:before="0" w:after="0"/>
            </w:pPr>
            <w:r/>
            <w:r>
              <w:rPr>
                <w:rFonts w:ascii="Figtree" w:hAnsi="Figtree"/>
                <w:b w:val="0"/>
                <w:i w:val="0"/>
                <w:sz w:val="20"/>
              </w:rPr>
              <w:t>6 weeks</w:t>
            </w:r>
          </w:p>
        </w:tc>
        <w:tc>
          <w:tcPr>
            <w:tcW w:type="dxa" w:w="2436"/>
            <w:vAlign w:val="center"/>
          </w:tcPr>
          <w:p>
            <w:pPr>
              <w:spacing w:line="276" w:lineRule="auto" w:before="0" w:after="0"/>
            </w:pPr>
            <w:r/>
            <w:r>
              <w:rPr>
                <w:rFonts w:ascii="Figtree" w:hAnsi="Figtree"/>
                <w:b w:val="0"/>
                <w:i w:val="0"/>
                <w:sz w:val="20"/>
              </w:rPr>
              <w:t>Settlement workflow, XvP, cut-off/calendar, TARGET2 spec</w:t>
            </w:r>
          </w:p>
        </w:tc>
        <w:tc>
          <w:tcPr>
            <w:tcW w:type="dxa" w:w="2436"/>
            <w:vAlign w:val="center"/>
          </w:tcPr>
          <w:p>
            <w:pPr>
              <w:spacing w:line="276" w:lineRule="auto" w:before="0" w:after="0"/>
            </w:pPr>
            <w:r/>
            <w:r>
              <w:rPr>
                <w:rFonts w:ascii="Figtree" w:hAnsi="Figtree"/>
                <w:b w:val="0"/>
                <w:i w:val="0"/>
                <w:sz w:val="20"/>
              </w:rPr>
              <w:t>EUR [CLIENT-SPECIFIC: ~280K-450K]</w:t>
            </w:r>
          </w:p>
        </w:tc>
      </w:tr>
      <w:tr>
        <w:trPr>
          <w:trHeight w:val="425" w:hRule="atLeast"/>
        </w:trPr>
        <w:tc>
          <w:tcPr>
            <w:tcW w:type="dxa" w:w="2436"/>
            <w:vAlign w:val="center"/>
          </w:tcPr>
          <w:p>
            <w:pPr>
              <w:spacing w:line="276" w:lineRule="auto" w:before="0" w:after="0"/>
            </w:pPr>
            <w:r/>
            <w:r>
              <w:rPr>
                <w:rFonts w:ascii="Figtree" w:hAnsi="Figtree"/>
                <w:b w:val="0"/>
                <w:i w:val="0"/>
                <w:sz w:val="20"/>
              </w:rPr>
              <w:t>Integration and Testing</w:t>
            </w:r>
          </w:p>
        </w:tc>
        <w:tc>
          <w:tcPr>
            <w:tcW w:type="dxa" w:w="2436"/>
            <w:vAlign w:val="center"/>
          </w:tcPr>
          <w:p>
            <w:pPr>
              <w:spacing w:line="276" w:lineRule="auto" w:before="0" w:after="0"/>
            </w:pPr>
            <w:r/>
            <w:r>
              <w:rPr>
                <w:rFonts w:ascii="Figtree" w:hAnsi="Figtree"/>
                <w:b w:val="0"/>
                <w:i w:val="0"/>
                <w:sz w:val="20"/>
              </w:rPr>
              <w:t>11 weeks</w:t>
            </w:r>
          </w:p>
        </w:tc>
        <w:tc>
          <w:tcPr>
            <w:tcW w:type="dxa" w:w="2436"/>
            <w:vAlign w:val="center"/>
          </w:tcPr>
          <w:p>
            <w:pPr>
              <w:spacing w:line="276" w:lineRule="auto" w:before="0" w:after="0"/>
            </w:pPr>
            <w:r/>
            <w:r>
              <w:rPr>
                <w:rFonts w:ascii="Figtree" w:hAnsi="Figtree"/>
                <w:b w:val="0"/>
                <w:i w:val="0"/>
                <w:sz w:val="20"/>
              </w:rPr>
              <w:t>TARGET2 integration, CSDR reporting, settlement scenarios, UAT</w:t>
            </w:r>
          </w:p>
        </w:tc>
        <w:tc>
          <w:tcPr>
            <w:tcW w:type="dxa" w:w="2436"/>
            <w:vAlign w:val="center"/>
          </w:tcPr>
          <w:p>
            <w:pPr>
              <w:spacing w:line="276" w:lineRule="auto" w:before="0" w:after="0"/>
            </w:pPr>
            <w:r/>
            <w:r>
              <w:rPr>
                <w:rFonts w:ascii="Figtree" w:hAnsi="Figtree"/>
                <w:b w:val="0"/>
                <w:i w:val="0"/>
                <w:sz w:val="20"/>
              </w:rPr>
              <w:t>EUR [CLIENT-SPECIFIC: ~450K-700K]</w:t>
            </w:r>
          </w:p>
        </w:tc>
      </w:tr>
      <w:tr>
        <w:trPr>
          <w:trHeight w:val="425" w:hRule="atLeast"/>
        </w:trPr>
        <w:tc>
          <w:tcPr>
            <w:tcW w:type="dxa" w:w="2436"/>
            <w:vAlign w:val="center"/>
          </w:tcPr>
          <w:p>
            <w:pPr>
              <w:spacing w:line="276" w:lineRule="auto" w:before="0" w:after="0"/>
            </w:pPr>
            <w:r/>
            <w:r>
              <w:rPr>
                <w:rFonts w:ascii="Figtree" w:hAnsi="Figtree"/>
                <w:b w:val="0"/>
                <w:i w:val="0"/>
                <w:sz w:val="20"/>
              </w:rPr>
              <w:t>Production and Parallel Run</w:t>
            </w:r>
          </w:p>
        </w:tc>
        <w:tc>
          <w:tcPr>
            <w:tcW w:type="dxa" w:w="2436"/>
            <w:vAlign w:val="center"/>
          </w:tcPr>
          <w:p>
            <w:pPr>
              <w:spacing w:line="276" w:lineRule="auto" w:before="0" w:after="0"/>
            </w:pPr>
            <w:r/>
            <w:r>
              <w:rPr>
                <w:rFonts w:ascii="Figtree" w:hAnsi="Figtree"/>
                <w:b w:val="0"/>
                <w:i w:val="0"/>
                <w:sz w:val="20"/>
              </w:rPr>
              <w:t>5 weeks</w:t>
            </w:r>
          </w:p>
        </w:tc>
        <w:tc>
          <w:tcPr>
            <w:tcW w:type="dxa" w:w="2436"/>
            <w:vAlign w:val="center"/>
          </w:tcPr>
          <w:p>
            <w:pPr>
              <w:spacing w:line="276" w:lineRule="auto" w:before="0" w:after="0"/>
            </w:pPr>
            <w:r/>
            <w:r>
              <w:rPr>
                <w:rFonts w:ascii="Figtree" w:hAnsi="Figtree"/>
                <w:b w:val="0"/>
                <w:i w:val="0"/>
                <w:sz w:val="20"/>
              </w:rPr>
              <w:t>Production deployment, parallel run vs legacy book-entry</w:t>
            </w:r>
          </w:p>
        </w:tc>
        <w:tc>
          <w:tcPr>
            <w:tcW w:type="dxa" w:w="2436"/>
            <w:vAlign w:val="center"/>
          </w:tcPr>
          <w:p>
            <w:pPr>
              <w:spacing w:line="276" w:lineRule="auto" w:before="0" w:after="0"/>
            </w:pPr>
            <w:r/>
            <w:r>
              <w:rPr>
                <w:rFonts w:ascii="Figtree" w:hAnsi="Figtree"/>
                <w:b w:val="0"/>
                <w:i w:val="0"/>
                <w:sz w:val="20"/>
              </w:rPr>
              <w:t>EUR [CLIENT-SPECIFIC: ~200K-300K]</w:t>
            </w:r>
          </w:p>
        </w:tc>
      </w:tr>
      <w:tr>
        <w:trPr>
          <w:trHeight w:val="425" w:hRule="atLeast"/>
        </w:trPr>
        <w:tc>
          <w:tcPr>
            <w:tcW w:type="dxa" w:w="2436"/>
            <w:vAlign w:val="center"/>
          </w:tcPr>
          <w:p>
            <w:pPr>
              <w:spacing w:line="276" w:lineRule="auto" w:before="0" w:after="0"/>
            </w:pPr>
            <w:r/>
            <w:r>
              <w:rPr>
                <w:rFonts w:ascii="Figtree" w:hAnsi="Figtree"/>
                <w:b w:val="0"/>
                <w:i w:val="0"/>
                <w:sz w:val="20"/>
              </w:rPr>
              <w:t>Hypercare</w:t>
            </w:r>
          </w:p>
        </w:tc>
        <w:tc>
          <w:tcPr>
            <w:tcW w:type="dxa" w:w="2436"/>
            <w:vAlign w:val="center"/>
          </w:tcPr>
          <w:p>
            <w:pPr>
              <w:spacing w:line="276" w:lineRule="auto" w:before="0" w:after="0"/>
            </w:pPr>
            <w:r/>
            <w:r>
              <w:rPr>
                <w:rFonts w:ascii="Figtree" w:hAnsi="Figtree"/>
                <w:b w:val="0"/>
                <w:i w:val="0"/>
                <w:sz w:val="20"/>
              </w:rPr>
              <w:t>3 weeks</w:t>
            </w:r>
          </w:p>
        </w:tc>
        <w:tc>
          <w:tcPr>
            <w:tcW w:type="dxa" w:w="2436"/>
            <w:vAlign w:val="center"/>
          </w:tcPr>
          <w:p>
            <w:pPr>
              <w:spacing w:line="276" w:lineRule="auto" w:before="0" w:after="0"/>
            </w:pPr>
            <w:r/>
            <w:r>
              <w:rPr>
                <w:rFonts w:ascii="Figtree" w:hAnsi="Figtree"/>
                <w:b w:val="0"/>
                <w:i w:val="0"/>
                <w:sz w:val="20"/>
              </w:rPr>
              <w:t>Hypercare, documentation, training, transition</w:t>
            </w:r>
          </w:p>
        </w:tc>
        <w:tc>
          <w:tcPr>
            <w:tcW w:type="dxa" w:w="2436"/>
            <w:vAlign w:val="center"/>
          </w:tcPr>
          <w:p>
            <w:pPr>
              <w:spacing w:line="276" w:lineRule="auto" w:before="0" w:after="0"/>
            </w:pPr>
            <w:r/>
            <w:r>
              <w:rPr>
                <w:rFonts w:ascii="Figtree" w:hAnsi="Figtree"/>
                <w:b w:val="0"/>
                <w:i w:val="0"/>
                <w:sz w:val="20"/>
              </w:rPr>
              <w:t>EUR [CLIENT-SPECIFIC: ~120K-220K]</w:t>
            </w:r>
          </w:p>
        </w:tc>
      </w:tr>
      <w:tr>
        <w:trPr>
          <w:trHeight w:val="425" w:hRule="atLeast"/>
        </w:trPr>
        <w:tc>
          <w:tcPr>
            <w:tcW w:type="dxa" w:w="2436"/>
            <w:vAlign w:val="center"/>
          </w:tcPr>
          <w:p>
            <w:pPr>
              <w:spacing w:line="276" w:lineRule="auto" w:before="0" w:after="0"/>
            </w:pPr>
            <w:r/>
            <w:r>
              <w:rPr>
                <w:rFonts w:ascii="Figtree" w:hAnsi="Figtree"/>
                <w:b/>
                <w:i w:val="0"/>
                <w:sz w:val="20"/>
              </w:rPr>
              <w:t>Total</w:t>
            </w:r>
          </w:p>
        </w:tc>
        <w:tc>
          <w:tcPr>
            <w:tcW w:type="dxa" w:w="2436"/>
            <w:vAlign w:val="center"/>
          </w:tcPr>
          <w:p>
            <w:pPr>
              <w:spacing w:line="276" w:lineRule="auto" w:before="0" w:after="0"/>
            </w:pPr>
            <w:r/>
            <w:r>
              <w:rPr>
                <w:rFonts w:ascii="Figtree" w:hAnsi="Figtree"/>
                <w:b/>
                <w:i w:val="0"/>
                <w:sz w:val="20"/>
              </w:rPr>
              <w:t>32 weeks</w:t>
            </w:r>
          </w:p>
        </w:tc>
        <w:tc>
          <w:tcPr>
            <w:tcW w:type="dxa" w:w="2436"/>
            <w:vAlign w:val="center"/>
          </w:tcPr>
          <w:p>
            <w:pPr>
              <w:spacing w:line="276" w:lineRule="auto" w:before="0" w:after="0"/>
            </w:pPr>
            <w:r/>
          </w:p>
        </w:tc>
        <w:tc>
          <w:tcPr>
            <w:tcW w:type="dxa" w:w="2436"/>
            <w:vAlign w:val="center"/>
          </w:tcPr>
          <w:p>
            <w:pPr>
              <w:spacing w:line="276" w:lineRule="auto" w:before="0" w:after="0"/>
            </w:pPr>
            <w:r/>
            <w:r>
              <w:rPr>
                <w:rFonts w:ascii="Figtree" w:hAnsi="Figtree"/>
                <w:b/>
                <w:i w:val="0"/>
                <w:sz w:val="20"/>
              </w:rPr>
              <w:t>EUR [CLIENT-SPECIFIC: ~1.5M-2.3M]</w:t>
            </w:r>
          </w:p>
        </w:tc>
      </w:tr>
    </w:tbl>
    <w:p>
      <w:pPr>
        <w:spacing w:before="0" w:after="0" w:line="120" w:lineRule="exact"/>
      </w:pPr>
    </w:p>
    <w:p>
      <w:r>
        <w:rPr>
          <w:rFonts w:ascii="Figtree" w:hAnsi="Figtree"/>
          <w:b/>
          <w:i w:val="0"/>
          <w:sz w:val="22"/>
        </w:rPr>
        <w:t>Key: Parallel run with legacy book-entry is a Phase 5 contractual requirement.</w:t>
      </w:r>
      <w:r>
        <w:rPr>
          <w:rFonts w:ascii="Figtree" w:hAnsi="Figtree"/>
          <w:b w:val="0"/>
          <w:i w:val="0"/>
          <w:sz w:val="22"/>
        </w:rPr>
        <w:t xml:space="preserve"> Zero-tolerance position reconciliation is the acceptance criterion. Timing divergences above 1-hour threshold are escalation triggers, not tolerances.</w:t>
      </w:r>
    </w:p>
    <w:p>
      <w:r>
        <w:br w:type="page"/>
      </w:r>
    </w:p>
    <w:p>
      <w:pPr>
        <w:pStyle w:val="H2"/>
        <w:numPr>
          <w:ilvl w:val="1"/>
          <w:numId w:val="1"/>
        </w:numPr>
      </w:pPr>
      <w:r>
        <w:t>7. Total Cost of Ownership</w:t>
      </w:r>
    </w:p>
    <w:p>
      <w:pPr>
        <w:pStyle w:val="H3"/>
        <w:numPr>
          <w:ilvl w:val="2"/>
          <w:numId w:val="1"/>
        </w:numPr>
      </w:pPr>
      <w:r>
        <w:t>7.1 Three-Year TCO</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912"/>
        <w:gridCol w:w="1597"/>
        <w:gridCol w:w="1597"/>
        <w:gridCol w:w="1597"/>
        <w:gridCol w:w="1597"/>
        <w:gridCol w:w="1768"/>
      </w:tblGrid>
      <w:tr>
        <w:trPr>
          <w:trHeight w:val="425" w:hRule="atLeast"/>
        </w:trPr>
        <w:tc>
          <w:tcPr>
            <w:tcW w:type="dxa" w:w="1624"/>
            <w:vAlign w:val="center"/>
            <w:shd w:fill="E8E0F0" w:val="clear"/>
          </w:tcPr>
          <w:p>
            <w:pPr>
              <w:spacing w:line="276" w:lineRule="auto" w:before="0" w:after="0"/>
              <w:jc w:val="left"/>
            </w:pPr>
            <w:r>
              <w:rPr>
                <w:b/>
                <w:color w:val="2D1A8C"/>
              </w:rPr>
            </w:r>
            <w:r>
              <w:rPr>
                <w:rFonts w:ascii="Figtree" w:hAnsi="Figtree"/>
                <w:b/>
                <w:i w:val="0"/>
                <w:color w:val="2D1A8C"/>
                <w:sz w:val="20"/>
              </w:rPr>
              <w:t>Year</w:t>
            </w:r>
          </w:p>
        </w:tc>
        <w:tc>
          <w:tcPr>
            <w:tcW w:type="dxa" w:w="1624"/>
            <w:vAlign w:val="center"/>
            <w:shd w:fill="E8E0F0" w:val="clear"/>
          </w:tcPr>
          <w:p>
            <w:pPr>
              <w:spacing w:line="276" w:lineRule="auto" w:before="0" w:after="0"/>
              <w:jc w:val="center"/>
            </w:pPr>
            <w:r>
              <w:rPr>
                <w:b/>
                <w:color w:val="2D1A8C"/>
              </w:rPr>
            </w:r>
            <w:r>
              <w:rPr>
                <w:rFonts w:ascii="Figtree" w:hAnsi="Figtree"/>
                <w:b/>
                <w:i w:val="0"/>
                <w:color w:val="2D1A8C"/>
                <w:sz w:val="20"/>
              </w:rPr>
              <w:t>License</w:t>
            </w:r>
          </w:p>
        </w:tc>
        <w:tc>
          <w:tcPr>
            <w:tcW w:type="dxa" w:w="1624"/>
            <w:vAlign w:val="center"/>
            <w:shd w:fill="E8E0F0" w:val="clear"/>
          </w:tcPr>
          <w:p>
            <w:pPr>
              <w:spacing w:line="276" w:lineRule="auto" w:before="0" w:after="0"/>
              <w:jc w:val="center"/>
            </w:pPr>
            <w:r>
              <w:rPr>
                <w:b/>
                <w:color w:val="2D1A8C"/>
              </w:rPr>
            </w:r>
            <w:r>
              <w:rPr>
                <w:rFonts w:ascii="Figtree" w:hAnsi="Figtree"/>
                <w:b/>
                <w:i w:val="0"/>
                <w:color w:val="2D1A8C"/>
                <w:sz w:val="20"/>
              </w:rPr>
              <w:t>Implementation</w:t>
            </w:r>
          </w:p>
        </w:tc>
        <w:tc>
          <w:tcPr>
            <w:tcW w:type="dxa" w:w="1624"/>
            <w:vAlign w:val="center"/>
            <w:shd w:fill="E8E0F0" w:val="clear"/>
          </w:tcPr>
          <w:p>
            <w:pPr>
              <w:spacing w:line="276" w:lineRule="auto" w:before="0" w:after="0"/>
              <w:jc w:val="center"/>
            </w:pPr>
            <w:r>
              <w:rPr>
                <w:b/>
                <w:color w:val="2D1A8C"/>
              </w:rPr>
            </w:r>
            <w:r>
              <w:rPr>
                <w:rFonts w:ascii="Figtree" w:hAnsi="Figtree"/>
                <w:b/>
                <w:i w:val="0"/>
                <w:color w:val="2D1A8C"/>
                <w:sz w:val="20"/>
              </w:rPr>
              <w:t>Support</w:t>
            </w:r>
          </w:p>
        </w:tc>
        <w:tc>
          <w:tcPr>
            <w:tcW w:type="dxa" w:w="1624"/>
            <w:vAlign w:val="center"/>
            <w:shd w:fill="E8E0F0" w:val="clear"/>
          </w:tcPr>
          <w:p>
            <w:pPr>
              <w:spacing w:line="276" w:lineRule="auto" w:before="0" w:after="0"/>
              <w:jc w:val="center"/>
            </w:pPr>
            <w:r>
              <w:rPr>
                <w:b/>
                <w:color w:val="2D1A8C"/>
              </w:rPr>
            </w:r>
            <w:r>
              <w:rPr>
                <w:rFonts w:ascii="Figtree" w:hAnsi="Figtree"/>
                <w:b/>
                <w:i w:val="0"/>
                <w:color w:val="2D1A8C"/>
                <w:sz w:val="20"/>
              </w:rPr>
              <w:t>Infrastructure</w:t>
            </w:r>
          </w:p>
        </w:tc>
        <w:tc>
          <w:tcPr>
            <w:tcW w:type="dxa" w:w="1624"/>
            <w:vAlign w:val="center"/>
            <w:shd w:fill="E8E0F0" w:val="clear"/>
          </w:tcPr>
          <w:p>
            <w:pPr>
              <w:spacing w:line="276" w:lineRule="auto" w:before="0" w:after="0"/>
              <w:jc w:val="center"/>
            </w:pPr>
            <w:r>
              <w:rPr>
                <w:b/>
                <w:color w:val="2D1A8C"/>
              </w:rPr>
            </w:r>
            <w:r>
              <w:rPr>
                <w:rFonts w:ascii="Figtree" w:hAnsi="Figtree"/>
                <w:b/>
                <w:i w:val="0"/>
                <w:color w:val="2D1A8C"/>
                <w:sz w:val="20"/>
              </w:rPr>
              <w:t>Total</w:t>
            </w:r>
          </w:p>
        </w:tc>
      </w:tr>
      <w:tr>
        <w:trPr>
          <w:trHeight w:val="425" w:hRule="atLeast"/>
        </w:trPr>
        <w:tc>
          <w:tcPr>
            <w:tcW w:type="dxa" w:w="1624"/>
            <w:vAlign w:val="center"/>
          </w:tcPr>
          <w:p>
            <w:pPr>
              <w:spacing w:line="276" w:lineRule="auto" w:before="0" w:after="0"/>
            </w:pPr>
            <w:r/>
            <w:r>
              <w:rPr>
                <w:rFonts w:ascii="Figtree" w:hAnsi="Figtree"/>
                <w:b w:val="0"/>
                <w:i w:val="0"/>
                <w:sz w:val="20"/>
              </w:rPr>
              <w:t>Year 1</w:t>
            </w:r>
          </w:p>
        </w:tc>
        <w:tc>
          <w:tcPr>
            <w:tcW w:type="dxa" w:w="1624"/>
            <w:vAlign w:val="center"/>
          </w:tcPr>
          <w:p>
            <w:pPr>
              <w:spacing w:line="276" w:lineRule="auto" w:before="0" w:after="0"/>
            </w:pPr>
            <w:r/>
            <w:r>
              <w:rPr>
                <w:rFonts w:ascii="Figtree" w:hAnsi="Figtree"/>
                <w:b w:val="0"/>
                <w:i w:val="0"/>
                <w:sz w:val="20"/>
              </w:rPr>
              <w:t>EUR [CLIENT-SPECIFIC: ~2.3M]</w:t>
            </w:r>
          </w:p>
        </w:tc>
        <w:tc>
          <w:tcPr>
            <w:tcW w:type="dxa" w:w="1624"/>
            <w:vAlign w:val="center"/>
          </w:tcPr>
          <w:p>
            <w:pPr>
              <w:spacing w:line="276" w:lineRule="auto" w:before="0" w:after="0"/>
            </w:pPr>
            <w:r/>
            <w:r>
              <w:rPr>
                <w:rFonts w:ascii="Figtree" w:hAnsi="Figtree"/>
                <w:b w:val="0"/>
                <w:i w:val="0"/>
                <w:sz w:val="20"/>
              </w:rPr>
              <w:t>EUR [CLIENT-SPECIFIC: ~1.9M]</w:t>
            </w:r>
          </w:p>
        </w:tc>
        <w:tc>
          <w:tcPr>
            <w:tcW w:type="dxa" w:w="1624"/>
            <w:vAlign w:val="center"/>
          </w:tcPr>
          <w:p>
            <w:pPr>
              <w:spacing w:line="276" w:lineRule="auto" w:before="0" w:after="0"/>
            </w:pPr>
            <w:r/>
            <w:r>
              <w:rPr>
                <w:rFonts w:ascii="Figtree" w:hAnsi="Figtree"/>
                <w:b w:val="0"/>
                <w:i w:val="0"/>
                <w:sz w:val="20"/>
              </w:rPr>
              <w:t>EUR [CLIENT-SPECIFIC: ~450K]</w:t>
            </w:r>
          </w:p>
        </w:tc>
        <w:tc>
          <w:tcPr>
            <w:tcW w:type="dxa" w:w="1624"/>
            <w:vAlign w:val="center"/>
          </w:tcPr>
          <w:p>
            <w:pPr>
              <w:spacing w:line="276" w:lineRule="auto" w:before="0" w:after="0"/>
            </w:pPr>
            <w:r/>
            <w:r>
              <w:rPr>
                <w:rFonts w:ascii="Figtree" w:hAnsi="Figtree"/>
                <w:b w:val="0"/>
                <w:i w:val="0"/>
                <w:sz w:val="20"/>
              </w:rPr>
              <w:t>EUR [CLIENT-SPECIFIC: ~250K]</w:t>
            </w:r>
          </w:p>
        </w:tc>
        <w:tc>
          <w:tcPr>
            <w:tcW w:type="dxa" w:w="1624"/>
            <w:vAlign w:val="center"/>
          </w:tcPr>
          <w:p>
            <w:pPr>
              <w:spacing w:line="276" w:lineRule="auto" w:before="0" w:after="0"/>
            </w:pPr>
            <w:r/>
            <w:r>
              <w:rPr>
                <w:rFonts w:ascii="Figtree" w:hAnsi="Figtree"/>
                <w:b w:val="0"/>
                <w:i w:val="0"/>
                <w:sz w:val="20"/>
              </w:rPr>
              <w:t>EUR [CLIENT-SPECIFIC: ~4.9M]</w:t>
            </w:r>
          </w:p>
        </w:tc>
      </w:tr>
      <w:tr>
        <w:trPr>
          <w:trHeight w:val="425" w:hRule="atLeast"/>
        </w:trPr>
        <w:tc>
          <w:tcPr>
            <w:tcW w:type="dxa" w:w="1624"/>
            <w:vAlign w:val="center"/>
          </w:tcPr>
          <w:p>
            <w:pPr>
              <w:spacing w:line="276" w:lineRule="auto" w:before="0" w:after="0"/>
            </w:pPr>
            <w:r/>
            <w:r>
              <w:rPr>
                <w:rFonts w:ascii="Figtree" w:hAnsi="Figtree"/>
                <w:b w:val="0"/>
                <w:i w:val="0"/>
                <w:sz w:val="20"/>
              </w:rPr>
              <w:t>Year 2</w:t>
            </w:r>
          </w:p>
        </w:tc>
        <w:tc>
          <w:tcPr>
            <w:tcW w:type="dxa" w:w="1624"/>
            <w:vAlign w:val="center"/>
          </w:tcPr>
          <w:p>
            <w:pPr>
              <w:spacing w:line="276" w:lineRule="auto" w:before="0" w:after="0"/>
            </w:pPr>
            <w:r/>
            <w:r>
              <w:rPr>
                <w:rFonts w:ascii="Figtree" w:hAnsi="Figtree"/>
                <w:b w:val="0"/>
                <w:i w:val="0"/>
                <w:sz w:val="20"/>
              </w:rPr>
              <w:t>EUR [CLIENT-SPECIFIC: ~2.3M]</w:t>
            </w:r>
          </w:p>
        </w:tc>
        <w:tc>
          <w:tcPr>
            <w:tcW w:type="dxa" w:w="1624"/>
            <w:vAlign w:val="center"/>
          </w:tcPr>
          <w:p>
            <w:pPr>
              <w:spacing w:line="276" w:lineRule="auto" w:before="0" w:after="0"/>
            </w:pPr>
            <w:r/>
            <w:r>
              <w:rPr>
                <w:rFonts w:ascii="Figtree" w:hAnsi="Figtree"/>
                <w:b w:val="0"/>
                <w:i w:val="0"/>
                <w:sz w:val="20"/>
              </w:rPr>
              <w:t>0</w:t>
            </w:r>
          </w:p>
        </w:tc>
        <w:tc>
          <w:tcPr>
            <w:tcW w:type="dxa" w:w="1624"/>
            <w:vAlign w:val="center"/>
          </w:tcPr>
          <w:p>
            <w:pPr>
              <w:spacing w:line="276" w:lineRule="auto" w:before="0" w:after="0"/>
            </w:pPr>
            <w:r/>
            <w:r>
              <w:rPr>
                <w:rFonts w:ascii="Figtree" w:hAnsi="Figtree"/>
                <w:b w:val="0"/>
                <w:i w:val="0"/>
                <w:sz w:val="20"/>
              </w:rPr>
              <w:t>EUR [CLIENT-SPECIFIC: ~450K]</w:t>
            </w:r>
          </w:p>
        </w:tc>
        <w:tc>
          <w:tcPr>
            <w:tcW w:type="dxa" w:w="1624"/>
            <w:vAlign w:val="center"/>
          </w:tcPr>
          <w:p>
            <w:pPr>
              <w:spacing w:line="276" w:lineRule="auto" w:before="0" w:after="0"/>
            </w:pPr>
            <w:r/>
            <w:r>
              <w:rPr>
                <w:rFonts w:ascii="Figtree" w:hAnsi="Figtree"/>
                <w:b w:val="0"/>
                <w:i w:val="0"/>
                <w:sz w:val="20"/>
              </w:rPr>
              <w:t>EUR [CLIENT-SPECIFIC: ~300K]</w:t>
            </w:r>
          </w:p>
        </w:tc>
        <w:tc>
          <w:tcPr>
            <w:tcW w:type="dxa" w:w="1624"/>
            <w:vAlign w:val="center"/>
          </w:tcPr>
          <w:p>
            <w:pPr>
              <w:spacing w:line="276" w:lineRule="auto" w:before="0" w:after="0"/>
            </w:pPr>
            <w:r/>
            <w:r>
              <w:rPr>
                <w:rFonts w:ascii="Figtree" w:hAnsi="Figtree"/>
                <w:b w:val="0"/>
                <w:i w:val="0"/>
                <w:sz w:val="20"/>
              </w:rPr>
              <w:t>EUR [CLIENT-SPECIFIC: ~3.05M]</w:t>
            </w:r>
          </w:p>
        </w:tc>
      </w:tr>
      <w:tr>
        <w:trPr>
          <w:trHeight w:val="425" w:hRule="atLeast"/>
        </w:trPr>
        <w:tc>
          <w:tcPr>
            <w:tcW w:type="dxa" w:w="1624"/>
            <w:vAlign w:val="center"/>
          </w:tcPr>
          <w:p>
            <w:pPr>
              <w:spacing w:line="276" w:lineRule="auto" w:before="0" w:after="0"/>
            </w:pPr>
            <w:r/>
            <w:r>
              <w:rPr>
                <w:rFonts w:ascii="Figtree" w:hAnsi="Figtree"/>
                <w:b w:val="0"/>
                <w:i w:val="0"/>
                <w:sz w:val="20"/>
              </w:rPr>
              <w:t>Year 3</w:t>
            </w:r>
          </w:p>
        </w:tc>
        <w:tc>
          <w:tcPr>
            <w:tcW w:type="dxa" w:w="1624"/>
            <w:vAlign w:val="center"/>
          </w:tcPr>
          <w:p>
            <w:pPr>
              <w:spacing w:line="276" w:lineRule="auto" w:before="0" w:after="0"/>
            </w:pPr>
            <w:r/>
            <w:r>
              <w:rPr>
                <w:rFonts w:ascii="Figtree" w:hAnsi="Figtree"/>
                <w:b w:val="0"/>
                <w:i w:val="0"/>
                <w:sz w:val="20"/>
              </w:rPr>
              <w:t>EUR [CLIENT-SPECIFIC: ~2.3M]</w:t>
            </w:r>
          </w:p>
        </w:tc>
        <w:tc>
          <w:tcPr>
            <w:tcW w:type="dxa" w:w="1624"/>
            <w:vAlign w:val="center"/>
          </w:tcPr>
          <w:p>
            <w:pPr>
              <w:spacing w:line="276" w:lineRule="auto" w:before="0" w:after="0"/>
            </w:pPr>
            <w:r/>
            <w:r>
              <w:rPr>
                <w:rFonts w:ascii="Figtree" w:hAnsi="Figtree"/>
                <w:b w:val="0"/>
                <w:i w:val="0"/>
                <w:sz w:val="20"/>
              </w:rPr>
              <w:t>0</w:t>
            </w:r>
          </w:p>
        </w:tc>
        <w:tc>
          <w:tcPr>
            <w:tcW w:type="dxa" w:w="1624"/>
            <w:vAlign w:val="center"/>
          </w:tcPr>
          <w:p>
            <w:pPr>
              <w:spacing w:line="276" w:lineRule="auto" w:before="0" w:after="0"/>
            </w:pPr>
            <w:r/>
            <w:r>
              <w:rPr>
                <w:rFonts w:ascii="Figtree" w:hAnsi="Figtree"/>
                <w:b w:val="0"/>
                <w:i w:val="0"/>
                <w:sz w:val="20"/>
              </w:rPr>
              <w:t>EUR [CLIENT-SPECIFIC: ~450K]</w:t>
            </w:r>
          </w:p>
        </w:tc>
        <w:tc>
          <w:tcPr>
            <w:tcW w:type="dxa" w:w="1624"/>
            <w:vAlign w:val="center"/>
          </w:tcPr>
          <w:p>
            <w:pPr>
              <w:spacing w:line="276" w:lineRule="auto" w:before="0" w:after="0"/>
            </w:pPr>
            <w:r/>
            <w:r>
              <w:rPr>
                <w:rFonts w:ascii="Figtree" w:hAnsi="Figtree"/>
                <w:b w:val="0"/>
                <w:i w:val="0"/>
                <w:sz w:val="20"/>
              </w:rPr>
              <w:t>EUR [CLIENT-SPECIFIC: ~300K]</w:t>
            </w:r>
          </w:p>
        </w:tc>
        <w:tc>
          <w:tcPr>
            <w:tcW w:type="dxa" w:w="1624"/>
            <w:vAlign w:val="center"/>
          </w:tcPr>
          <w:p>
            <w:pPr>
              <w:spacing w:line="276" w:lineRule="auto" w:before="0" w:after="0"/>
            </w:pPr>
            <w:r/>
            <w:r>
              <w:rPr>
                <w:rFonts w:ascii="Figtree" w:hAnsi="Figtree"/>
                <w:b w:val="0"/>
                <w:i w:val="0"/>
                <w:sz w:val="20"/>
              </w:rPr>
              <w:t>EUR [CLIENT-SPECIFIC: ~3.05M]</w:t>
            </w:r>
          </w:p>
        </w:tc>
      </w:tr>
      <w:tr>
        <w:trPr>
          <w:trHeight w:val="425" w:hRule="atLeast"/>
        </w:trPr>
        <w:tc>
          <w:tcPr>
            <w:tcW w:type="dxa" w:w="1624"/>
            <w:vAlign w:val="center"/>
          </w:tcPr>
          <w:p>
            <w:pPr>
              <w:spacing w:line="276" w:lineRule="auto" w:before="0" w:after="0"/>
            </w:pPr>
            <w:r/>
            <w:r>
              <w:rPr>
                <w:rFonts w:ascii="Figtree" w:hAnsi="Figtree"/>
                <w:b/>
                <w:i w:val="0"/>
                <w:sz w:val="20"/>
              </w:rPr>
              <w:t>3-Year Total</w:t>
            </w:r>
          </w:p>
        </w:tc>
        <w:tc>
          <w:tcPr>
            <w:tcW w:type="dxa" w:w="1624"/>
            <w:vAlign w:val="center"/>
          </w:tcPr>
          <w:p>
            <w:pPr>
              <w:spacing w:line="276" w:lineRule="auto" w:before="0" w:after="0"/>
            </w:pPr>
            <w:r/>
          </w:p>
        </w:tc>
        <w:tc>
          <w:tcPr>
            <w:tcW w:type="dxa" w:w="1624"/>
            <w:vAlign w:val="center"/>
          </w:tcPr>
          <w:p>
            <w:pPr>
              <w:spacing w:line="276" w:lineRule="auto" w:before="0" w:after="0"/>
            </w:pPr>
            <w:r/>
          </w:p>
        </w:tc>
        <w:tc>
          <w:tcPr>
            <w:tcW w:type="dxa" w:w="1624"/>
            <w:vAlign w:val="center"/>
          </w:tcPr>
          <w:p>
            <w:pPr>
              <w:spacing w:line="276" w:lineRule="auto" w:before="0" w:after="0"/>
            </w:pPr>
            <w:r/>
          </w:p>
        </w:tc>
        <w:tc>
          <w:tcPr>
            <w:tcW w:type="dxa" w:w="1624"/>
            <w:vAlign w:val="center"/>
          </w:tcPr>
          <w:p>
            <w:pPr>
              <w:spacing w:line="276" w:lineRule="auto" w:before="0" w:after="0"/>
            </w:pPr>
            <w:r/>
          </w:p>
        </w:tc>
        <w:tc>
          <w:tcPr>
            <w:tcW w:type="dxa" w:w="1624"/>
            <w:vAlign w:val="center"/>
          </w:tcPr>
          <w:p>
            <w:pPr>
              <w:spacing w:line="276" w:lineRule="auto" w:before="0" w:after="0"/>
            </w:pPr>
            <w:r/>
            <w:r>
              <w:rPr>
                <w:rFonts w:ascii="Figtree" w:hAnsi="Figtree"/>
                <w:b/>
                <w:i w:val="0"/>
                <w:sz w:val="20"/>
              </w:rPr>
              <w:t>EUR [CLIENT-SPECIFIC: ~11M]</w:t>
            </w:r>
          </w:p>
        </w:tc>
      </w:tr>
    </w:tbl>
    <w:p>
      <w:pPr>
        <w:spacing w:before="0" w:after="0" w:line="120" w:lineRule="exact"/>
      </w:pPr>
    </w:p>
    <w:p>
      <w:pPr>
        <w:pStyle w:val="H3"/>
        <w:numPr>
          <w:ilvl w:val="2"/>
          <w:numId w:val="1"/>
        </w:numPr>
      </w:pPr>
      <w:r>
        <w:t>7.2 Five-Year Model</w:t>
      </w:r>
    </w:p>
    <w:p>
      <w:r>
        <w:rPr>
          <w:rFonts w:ascii="Figtree" w:hAnsi="Figtree"/>
          <w:b w:val="0"/>
          <w:i w:val="0"/>
          <w:sz w:val="22"/>
        </w:rPr>
        <w:t>Years 4-5 reflect steady-state operating cost. If Euroclear extends to additional entities (Euroclear Belgium, Euroclear France), the marginal cost per additional entity is significantly lower than Year 1 due to platform reuse.</w:t>
      </w:r>
    </w:p>
    <w:p>
      <w:pPr>
        <w:pStyle w:val="H3"/>
        <w:numPr>
          <w:ilvl w:val="2"/>
          <w:numId w:val="1"/>
        </w:numPr>
      </w:pPr>
      <w:r>
        <w:t>7.3 Build vs. DALP</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3852"/>
        <w:gridCol w:w="3355"/>
        <w:gridCol w:w="1864"/>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Criterion</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DALP</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Build</w:t>
            </w:r>
          </w:p>
        </w:tc>
      </w:tr>
      <w:tr>
        <w:trPr>
          <w:trHeight w:val="425" w:hRule="atLeast"/>
        </w:trPr>
        <w:tc>
          <w:tcPr>
            <w:tcW w:type="dxa" w:w="3249"/>
            <w:vAlign w:val="center"/>
          </w:tcPr>
          <w:p>
            <w:pPr>
              <w:spacing w:line="276" w:lineRule="auto" w:before="0" w:after="0"/>
            </w:pPr>
            <w:r/>
            <w:r>
              <w:rPr>
                <w:rFonts w:ascii="Figtree" w:hAnsi="Figtree"/>
                <w:b w:val="0"/>
                <w:i w:val="0"/>
                <w:sz w:val="20"/>
              </w:rPr>
              <w:t>3-year cost</w:t>
            </w:r>
          </w:p>
        </w:tc>
        <w:tc>
          <w:tcPr>
            <w:tcW w:type="dxa" w:w="3249"/>
            <w:vAlign w:val="center"/>
          </w:tcPr>
          <w:p>
            <w:pPr>
              <w:spacing w:line="276" w:lineRule="auto" w:before="0" w:after="0"/>
            </w:pPr>
            <w:r/>
            <w:r>
              <w:rPr>
                <w:rFonts w:ascii="Figtree" w:hAnsi="Figtree"/>
                <w:b w:val="0"/>
                <w:i w:val="0"/>
                <w:sz w:val="20"/>
              </w:rPr>
              <w:t>EUR ~11M</w:t>
            </w:r>
          </w:p>
        </w:tc>
        <w:tc>
          <w:tcPr>
            <w:tcW w:type="dxa" w:w="3249"/>
            <w:vAlign w:val="center"/>
          </w:tcPr>
          <w:p>
            <w:pPr>
              <w:spacing w:line="276" w:lineRule="auto" w:before="0" w:after="0"/>
            </w:pPr>
            <w:r/>
            <w:r>
              <w:rPr>
                <w:rFonts w:ascii="Figtree" w:hAnsi="Figtree"/>
                <w:b w:val="0"/>
                <w:i w:val="0"/>
                <w:sz w:val="20"/>
              </w:rPr>
              <w:t>EUR 22-40M+</w:t>
            </w:r>
          </w:p>
        </w:tc>
      </w:tr>
      <w:tr>
        <w:trPr>
          <w:trHeight w:val="425" w:hRule="atLeast"/>
        </w:trPr>
        <w:tc>
          <w:tcPr>
            <w:tcW w:type="dxa" w:w="3249"/>
            <w:vAlign w:val="center"/>
          </w:tcPr>
          <w:p>
            <w:pPr>
              <w:spacing w:line="276" w:lineRule="auto" w:before="0" w:after="0"/>
            </w:pPr>
            <w:r/>
            <w:r>
              <w:rPr>
                <w:rFonts w:ascii="Figtree" w:hAnsi="Figtree"/>
                <w:b w:val="0"/>
                <w:i w:val="0"/>
                <w:sz w:val="20"/>
              </w:rPr>
              <w:t>Time to production</w:t>
            </w:r>
          </w:p>
        </w:tc>
        <w:tc>
          <w:tcPr>
            <w:tcW w:type="dxa" w:w="3249"/>
            <w:vAlign w:val="center"/>
          </w:tcPr>
          <w:p>
            <w:pPr>
              <w:spacing w:line="276" w:lineRule="auto" w:before="0" w:after="0"/>
            </w:pPr>
            <w:r/>
            <w:r>
              <w:rPr>
                <w:rFonts w:ascii="Figtree" w:hAnsi="Figtree"/>
                <w:b w:val="0"/>
                <w:i w:val="0"/>
                <w:sz w:val="20"/>
              </w:rPr>
              <w:t>32 weeks</w:t>
            </w:r>
          </w:p>
        </w:tc>
        <w:tc>
          <w:tcPr>
            <w:tcW w:type="dxa" w:w="3249"/>
            <w:vAlign w:val="center"/>
          </w:tcPr>
          <w:p>
            <w:pPr>
              <w:spacing w:line="276" w:lineRule="auto" w:before="0" w:after="0"/>
            </w:pPr>
            <w:r/>
            <w:r>
              <w:rPr>
                <w:rFonts w:ascii="Figtree" w:hAnsi="Figtree"/>
                <w:b w:val="0"/>
                <w:i w:val="0"/>
                <w:sz w:val="20"/>
              </w:rPr>
              <w:t>30-36 months</w:t>
            </w:r>
          </w:p>
        </w:tc>
      </w:tr>
      <w:tr>
        <w:trPr>
          <w:trHeight w:val="425" w:hRule="atLeast"/>
        </w:trPr>
        <w:tc>
          <w:tcPr>
            <w:tcW w:type="dxa" w:w="3249"/>
            <w:vAlign w:val="center"/>
          </w:tcPr>
          <w:p>
            <w:pPr>
              <w:spacing w:line="276" w:lineRule="auto" w:before="0" w:after="0"/>
            </w:pPr>
            <w:r/>
            <w:r>
              <w:rPr>
                <w:rFonts w:ascii="Figtree" w:hAnsi="Figtree"/>
                <w:b w:val="0"/>
                <w:i w:val="0"/>
                <w:sz w:val="20"/>
              </w:rPr>
              <w:t>Settlement finality validation</w:t>
            </w:r>
          </w:p>
        </w:tc>
        <w:tc>
          <w:tcPr>
            <w:tcW w:type="dxa" w:w="3249"/>
            <w:vAlign w:val="center"/>
          </w:tcPr>
          <w:p>
            <w:pPr>
              <w:spacing w:line="276" w:lineRule="auto" w:before="0" w:after="0"/>
            </w:pPr>
            <w:r/>
            <w:r>
              <w:rPr>
                <w:rFonts w:ascii="Figtree" w:hAnsi="Figtree"/>
                <w:b w:val="0"/>
                <w:i w:val="0"/>
                <w:sz w:val="20"/>
              </w:rPr>
              <w:t>7+ years production</w:t>
            </w:r>
          </w:p>
        </w:tc>
        <w:tc>
          <w:tcPr>
            <w:tcW w:type="dxa" w:w="3249"/>
            <w:vAlign w:val="center"/>
          </w:tcPr>
          <w:p>
            <w:pPr>
              <w:spacing w:line="276" w:lineRule="auto" w:before="0" w:after="0"/>
            </w:pPr>
            <w:r/>
            <w:r>
              <w:rPr>
                <w:rFonts w:ascii="Figtree" w:hAnsi="Figtree"/>
                <w:b w:val="0"/>
                <w:i w:val="0"/>
                <w:sz w:val="20"/>
              </w:rPr>
              <w:t>None at launch</w:t>
            </w:r>
          </w:p>
        </w:tc>
      </w:tr>
      <w:tr>
        <w:trPr>
          <w:trHeight w:val="425" w:hRule="atLeast"/>
        </w:trPr>
        <w:tc>
          <w:tcPr>
            <w:tcW w:type="dxa" w:w="3249"/>
            <w:vAlign w:val="center"/>
          </w:tcPr>
          <w:p>
            <w:pPr>
              <w:spacing w:line="276" w:lineRule="auto" w:before="0" w:after="0"/>
            </w:pPr>
            <w:r/>
            <w:r>
              <w:rPr>
                <w:rFonts w:ascii="Figtree" w:hAnsi="Figtree"/>
                <w:b w:val="0"/>
                <w:i w:val="0"/>
                <w:sz w:val="20"/>
              </w:rPr>
              <w:t>TARGET2 integration</w:t>
            </w:r>
          </w:p>
        </w:tc>
        <w:tc>
          <w:tcPr>
            <w:tcW w:type="dxa" w:w="3249"/>
            <w:vAlign w:val="center"/>
          </w:tcPr>
          <w:p>
            <w:pPr>
              <w:spacing w:line="276" w:lineRule="auto" w:before="0" w:after="0"/>
            </w:pPr>
            <w:r/>
            <w:r>
              <w:rPr>
                <w:rFonts w:ascii="Figtree" w:hAnsi="Figtree"/>
                <w:b w:val="0"/>
                <w:i w:val="0"/>
                <w:sz w:val="20"/>
              </w:rPr>
              <w:t>REST API framework</w:t>
            </w:r>
          </w:p>
        </w:tc>
        <w:tc>
          <w:tcPr>
            <w:tcW w:type="dxa" w:w="3249"/>
            <w:vAlign w:val="center"/>
          </w:tcPr>
          <w:p>
            <w:pPr>
              <w:spacing w:line="276" w:lineRule="auto" w:before="0" w:after="0"/>
            </w:pPr>
            <w:r/>
            <w:r>
              <w:rPr>
                <w:rFonts w:ascii="Figtree" w:hAnsi="Figtree"/>
                <w:b w:val="0"/>
                <w:i w:val="0"/>
                <w:sz w:val="20"/>
              </w:rPr>
              <w:t>Custom build</w:t>
            </w:r>
          </w:p>
        </w:tc>
      </w:tr>
      <w:tr>
        <w:trPr>
          <w:trHeight w:val="425" w:hRule="atLeast"/>
        </w:trPr>
        <w:tc>
          <w:tcPr>
            <w:tcW w:type="dxa" w:w="3249"/>
            <w:vAlign w:val="center"/>
          </w:tcPr>
          <w:p>
            <w:pPr>
              <w:spacing w:line="276" w:lineRule="auto" w:before="0" w:after="0"/>
            </w:pPr>
            <w:r/>
            <w:r>
              <w:rPr>
                <w:rFonts w:ascii="Figtree" w:hAnsi="Figtree"/>
                <w:b w:val="0"/>
                <w:i w:val="0"/>
                <w:sz w:val="20"/>
              </w:rPr>
              <w:t>CSDR penalty exposure at launch</w:t>
            </w:r>
          </w:p>
        </w:tc>
        <w:tc>
          <w:tcPr>
            <w:tcW w:type="dxa" w:w="3249"/>
            <w:vAlign w:val="center"/>
          </w:tcPr>
          <w:p>
            <w:pPr>
              <w:spacing w:line="276" w:lineRule="auto" w:before="0" w:after="0"/>
            </w:pPr>
            <w:r/>
            <w:r>
              <w:rPr>
                <w:rFonts w:ascii="Figtree" w:hAnsi="Figtree"/>
                <w:b w:val="0"/>
                <w:i w:val="0"/>
                <w:sz w:val="20"/>
              </w:rPr>
              <w:t>Minimal (production-proven)</w:t>
            </w:r>
          </w:p>
        </w:tc>
        <w:tc>
          <w:tcPr>
            <w:tcW w:type="dxa" w:w="3249"/>
            <w:vAlign w:val="center"/>
          </w:tcPr>
          <w:p>
            <w:pPr>
              <w:spacing w:line="276" w:lineRule="auto" w:before="0" w:after="0"/>
            </w:pPr>
            <w:r/>
            <w:r>
              <w:rPr>
                <w:rFonts w:ascii="Figtree" w:hAnsi="Figtree"/>
                <w:b w:val="0"/>
                <w:i w:val="0"/>
                <w:sz w:val="20"/>
              </w:rPr>
              <w:t>High (untested)</w:t>
            </w:r>
          </w:p>
        </w:tc>
      </w:tr>
    </w:tbl>
    <w:p>
      <w:pPr>
        <w:spacing w:before="0" w:after="0" w:line="120" w:lineRule="exact"/>
      </w:pPr>
    </w:p>
    <w:p>
      <w:r>
        <w:br w:type="page"/>
      </w:r>
    </w:p>
    <w:p>
      <w:pPr>
        <w:pStyle w:val="H2"/>
        <w:numPr>
          <w:ilvl w:val="1"/>
          <w:numId w:val="1"/>
        </w:numPr>
      </w:pPr>
      <w:r>
        <w:t>8. Commercial Terms</w:t>
      </w:r>
    </w:p>
    <w:p>
      <w:pPr>
        <w:pStyle w:val="H3"/>
        <w:numPr>
          <w:ilvl w:val="2"/>
          <w:numId w:val="1"/>
        </w:numPr>
      </w:pPr>
      <w:r>
        <w:t>8.1 Contract Structure</w:t>
      </w:r>
    </w:p>
    <w:p>
      <w:r>
        <w:rPr>
          <w:rFonts w:ascii="Figtree" w:hAnsi="Figtree"/>
          <w:b w:val="0"/>
          <w:i w:val="0"/>
          <w:sz w:val="22"/>
        </w:rPr>
        <w:t>Sovereign Platform License Agreement (3-year initial term with multi-entity extension option), Fixed-Price Implementation Agreement (parallel run with book-entry reconciliation as contractual go-live criterion), Enterprise Support Agreement (co-terminus).</w:t>
      </w:r>
    </w:p>
    <w:p>
      <w:pPr>
        <w:pStyle w:val="H3"/>
        <w:numPr>
          <w:ilvl w:val="2"/>
          <w:numId w:val="1"/>
        </w:numPr>
      </w:pPr>
      <w:r>
        <w:t>8.2 Payment Schedule</w:t>
      </w:r>
    </w:p>
    <w:p>
      <w:r>
        <w:rPr>
          <w:rFonts w:ascii="Figtree" w:hAnsi="Figtree"/>
          <w:b w:val="0"/>
          <w:i w:val="0"/>
          <w:sz w:val="22"/>
        </w:rPr>
        <w:t>Implementation: 20% at signing, 15% per phase gate, 10% at go-live (parallel run acceptance required). License and support: Annual in advance.</w:t>
      </w:r>
    </w:p>
    <w:p>
      <w:pPr>
        <w:pStyle w:val="H3"/>
        <w:numPr>
          <w:ilvl w:val="2"/>
          <w:numId w:val="1"/>
        </w:numPr>
      </w:pPr>
      <w:r>
        <w:t>8.3 Multi-Entity Extension</w:t>
      </w:r>
    </w:p>
    <w:p>
      <w:r>
        <w:rPr>
          <w:rFonts w:ascii="Figtree" w:hAnsi="Figtree"/>
          <w:b w:val="0"/>
          <w:i w:val="0"/>
          <w:sz w:val="22"/>
        </w:rPr>
        <w:t>The Sovereign tier includes a pre-negotiated extension path for additional Euroclear entities (Euroclear Belgium, Euroclear France, etc.) at reduced license increment per additional entity. Extension scope and pricing to be confirmed during initial commercial discussions.</w:t>
      </w:r>
    </w:p>
    <w:p>
      <w:pPr>
        <w:pStyle w:val="H3"/>
        <w:numPr>
          <w:ilvl w:val="2"/>
          <w:numId w:val="1"/>
        </w:numPr>
      </w:pPr>
      <w:r>
        <w:t>8.4 IP and Data</w:t>
      </w:r>
    </w:p>
    <w:p>
      <w:r>
        <w:rPr>
          <w:rFonts w:ascii="Figtree" w:hAnsi="Figtree"/>
          <w:b w:val="0"/>
          <w:i w:val="0"/>
          <w:sz w:val="22"/>
        </w:rPr>
        <w:t>DALP platform IP: SettleMint. Settlement records, participant data, positions: Euroclear. TARGET2 integration adapter: Euroclear on delivery. Configurations: Euroclear.</w:t>
      </w:r>
    </w:p>
    <w:p>
      <w:pPr>
        <w:pStyle w:val="H3"/>
        <w:numPr>
          <w:ilvl w:val="2"/>
          <w:numId w:val="1"/>
        </w:numPr>
      </w:pPr>
      <w:r>
        <w:t>8.5 Exit</w:t>
      </w:r>
    </w:p>
    <w:p>
      <w:r>
        <w:rPr>
          <w:rFonts w:ascii="Figtree" w:hAnsi="Figtree"/>
          <w:b w:val="0"/>
          <w:i w:val="0"/>
          <w:sz w:val="22"/>
        </w:rPr>
        <w:t>90-day transition assistance. Full data export. CSDR 5-year+ audit record preservation. On-chain state on Euroclear's Besu network accessible independently. NBB notification of any exit within agreed timeline.</w:t>
      </w:r>
    </w:p>
    <w:p>
      <w:r>
        <w:br w:type="page"/>
      </w:r>
    </w:p>
    <w:p>
      <w:pPr>
        <w:pStyle w:val="H2"/>
        <w:numPr>
          <w:ilvl w:val="1"/>
          <w:numId w:val="1"/>
        </w:numPr>
      </w:pPr>
      <w:r>
        <w:t>9. Reference Clients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1786"/>
        <w:gridCol w:w="718"/>
        <w:gridCol w:w="2626"/>
        <w:gridCol w:w="893"/>
        <w:gridCol w:w="3047"/>
      </w:tblGrid>
      <w:tr>
        <w:trPr>
          <w:trHeight w:val="425" w:hRule="atLeast"/>
        </w:trPr>
        <w:tc>
          <w:tcPr>
            <w:tcW w:type="dxa" w:w="1949"/>
            <w:vAlign w:val="center"/>
            <w:shd w:fill="E8E0F0" w:val="clear"/>
          </w:tcPr>
          <w:p>
            <w:pPr>
              <w:spacing w:line="276" w:lineRule="auto" w:before="0" w:after="0"/>
              <w:jc w:val="left"/>
            </w:pPr>
            <w:r>
              <w:rPr>
                <w:b/>
                <w:color w:val="2D1A8C"/>
              </w:rPr>
            </w:r>
            <w:r>
              <w:rPr>
                <w:rFonts w:ascii="Figtree" w:hAnsi="Figtree"/>
                <w:b/>
                <w:i w:val="0"/>
                <w:color w:val="2D1A8C"/>
                <w:sz w:val="20"/>
              </w:rPr>
              <w:t>Client</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Geography</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Use Case</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Scale</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Relevance</w:t>
            </w:r>
          </w:p>
        </w:tc>
      </w:tr>
      <w:tr>
        <w:trPr>
          <w:trHeight w:val="425" w:hRule="atLeast"/>
        </w:trPr>
        <w:tc>
          <w:tcPr>
            <w:tcW w:type="dxa" w:w="1949"/>
            <w:vAlign w:val="center"/>
          </w:tcPr>
          <w:p>
            <w:pPr>
              <w:spacing w:line="276" w:lineRule="auto" w:before="0" w:after="0"/>
            </w:pPr>
            <w:r/>
            <w:r>
              <w:rPr>
                <w:rFonts w:ascii="Figtree" w:hAnsi="Figtree"/>
                <w:b w:val="0"/>
                <w:i w:val="0"/>
                <w:sz w:val="20"/>
              </w:rPr>
              <w:t>Clearstream</w:t>
            </w:r>
          </w:p>
        </w:tc>
        <w:tc>
          <w:tcPr>
            <w:tcW w:type="dxa" w:w="1949"/>
            <w:vAlign w:val="center"/>
          </w:tcPr>
          <w:p>
            <w:pPr>
              <w:spacing w:line="276" w:lineRule="auto" w:before="0" w:after="0"/>
            </w:pPr>
            <w:r/>
            <w:r>
              <w:rPr>
                <w:rFonts w:ascii="Figtree" w:hAnsi="Figtree"/>
                <w:b w:val="0"/>
                <w:i w:val="0"/>
                <w:sz w:val="20"/>
              </w:rPr>
              <w:t>Luxembourg</w:t>
            </w:r>
          </w:p>
        </w:tc>
        <w:tc>
          <w:tcPr>
            <w:tcW w:type="dxa" w:w="1949"/>
            <w:vAlign w:val="center"/>
          </w:tcPr>
          <w:p>
            <w:pPr>
              <w:spacing w:line="276" w:lineRule="auto" w:before="0" w:after="0"/>
            </w:pPr>
            <w:r/>
            <w:r>
              <w:rPr>
                <w:rFonts w:ascii="Figtree" w:hAnsi="Figtree"/>
                <w:b w:val="0"/>
                <w:i w:val="0"/>
                <w:sz w:val="20"/>
              </w:rPr>
              <w:t>Tokenized collateral (XvP settlement, eligibility)</w:t>
            </w:r>
          </w:p>
        </w:tc>
        <w:tc>
          <w:tcPr>
            <w:tcW w:type="dxa" w:w="1949"/>
            <w:vAlign w:val="center"/>
          </w:tcPr>
          <w:p>
            <w:pPr>
              <w:spacing w:line="276" w:lineRule="auto" w:before="0" w:after="0"/>
            </w:pPr>
            <w:r/>
            <w:r>
              <w:rPr>
                <w:rFonts w:ascii="Figtree" w:hAnsi="Figtree"/>
                <w:b w:val="0"/>
                <w:i w:val="0"/>
                <w:sz w:val="20"/>
              </w:rPr>
              <w:t>International CSD</w:t>
            </w:r>
          </w:p>
        </w:tc>
        <w:tc>
          <w:tcPr>
            <w:tcW w:type="dxa" w:w="1949"/>
            <w:vAlign w:val="center"/>
          </w:tcPr>
          <w:p>
            <w:pPr>
              <w:spacing w:line="276" w:lineRule="auto" w:before="0" w:after="0"/>
            </w:pPr>
            <w:r/>
            <w:r>
              <w:rPr>
                <w:rFonts w:ascii="Figtree" w:hAnsi="Figtree"/>
                <w:b w:val="0"/>
                <w:i w:val="0"/>
                <w:sz w:val="20"/>
              </w:rPr>
              <w:t>Most comparable: ICSD scale; CSDR alignment; XvP atomicity</w:t>
            </w:r>
          </w:p>
        </w:tc>
      </w:tr>
      <w:tr>
        <w:trPr>
          <w:trHeight w:val="425" w:hRule="atLeast"/>
        </w:trPr>
        <w:tc>
          <w:tcPr>
            <w:tcW w:type="dxa" w:w="1949"/>
            <w:vAlign w:val="center"/>
          </w:tcPr>
          <w:p>
            <w:pPr>
              <w:spacing w:line="276" w:lineRule="auto" w:before="0" w:after="0"/>
            </w:pPr>
            <w:r/>
            <w:r>
              <w:rPr>
                <w:rFonts w:ascii="Figtree" w:hAnsi="Figtree"/>
                <w:b w:val="0"/>
                <w:i w:val="0"/>
                <w:sz w:val="20"/>
              </w:rPr>
              <w:t>Bank of England</w:t>
            </w:r>
          </w:p>
        </w:tc>
        <w:tc>
          <w:tcPr>
            <w:tcW w:type="dxa" w:w="1949"/>
            <w:vAlign w:val="center"/>
          </w:tcPr>
          <w:p>
            <w:pPr>
              <w:spacing w:line="276" w:lineRule="auto" w:before="0" w:after="0"/>
            </w:pPr>
            <w:r/>
            <w:r>
              <w:rPr>
                <w:rFonts w:ascii="Figtree" w:hAnsi="Figtree"/>
                <w:b w:val="0"/>
                <w:i w:val="0"/>
                <w:sz w:val="20"/>
              </w:rPr>
              <w:t>UK</w:t>
            </w:r>
          </w:p>
        </w:tc>
        <w:tc>
          <w:tcPr>
            <w:tcW w:type="dxa" w:w="1949"/>
            <w:vAlign w:val="center"/>
          </w:tcPr>
          <w:p>
            <w:pPr>
              <w:spacing w:line="276" w:lineRule="auto" w:before="0" w:after="0"/>
            </w:pPr>
            <w:r/>
            <w:r>
              <w:rPr>
                <w:rFonts w:ascii="Figtree" w:hAnsi="Figtree"/>
                <w:b w:val="0"/>
                <w:i w:val="0"/>
                <w:sz w:val="20"/>
              </w:rPr>
              <w:t>CBDC pilot (settlement finality, FMI governance)</w:t>
            </w:r>
          </w:p>
        </w:tc>
        <w:tc>
          <w:tcPr>
            <w:tcW w:type="dxa" w:w="1949"/>
            <w:vAlign w:val="center"/>
          </w:tcPr>
          <w:p>
            <w:pPr>
              <w:spacing w:line="276" w:lineRule="auto" w:before="0" w:after="0"/>
            </w:pPr>
            <w:r/>
            <w:r>
              <w:rPr>
                <w:rFonts w:ascii="Figtree" w:hAnsi="Figtree"/>
                <w:b w:val="0"/>
                <w:i w:val="0"/>
                <w:sz w:val="20"/>
              </w:rPr>
              <w:t>Central bank FMI</w:t>
            </w:r>
          </w:p>
        </w:tc>
        <w:tc>
          <w:tcPr>
            <w:tcW w:type="dxa" w:w="1949"/>
            <w:vAlign w:val="center"/>
          </w:tcPr>
          <w:p>
            <w:pPr>
              <w:spacing w:line="276" w:lineRule="auto" w:before="0" w:after="0"/>
            </w:pPr>
            <w:r/>
            <w:r>
              <w:rPr>
                <w:rFonts w:ascii="Figtree" w:hAnsi="Figtree"/>
                <w:b w:val="0"/>
                <w:i w:val="0"/>
                <w:sz w:val="20"/>
              </w:rPr>
              <w:t>Settlement architecture; operational resilience</w:t>
            </w:r>
          </w:p>
        </w:tc>
      </w:tr>
      <w:tr>
        <w:trPr>
          <w:trHeight w:val="425" w:hRule="atLeast"/>
        </w:trPr>
        <w:tc>
          <w:tcPr>
            <w:tcW w:type="dxa" w:w="1949"/>
            <w:vAlign w:val="center"/>
          </w:tcPr>
          <w:p>
            <w:pPr>
              <w:spacing w:line="276" w:lineRule="auto" w:before="0" w:after="0"/>
            </w:pPr>
            <w:r/>
            <w:r>
              <w:rPr>
                <w:rFonts w:ascii="Figtree" w:hAnsi="Figtree"/>
                <w:b w:val="0"/>
                <w:i w:val="0"/>
                <w:sz w:val="20"/>
              </w:rPr>
              <w:t>JSE</w:t>
            </w:r>
          </w:p>
        </w:tc>
        <w:tc>
          <w:tcPr>
            <w:tcW w:type="dxa" w:w="1949"/>
            <w:vAlign w:val="center"/>
          </w:tcPr>
          <w:p>
            <w:pPr>
              <w:spacing w:line="276" w:lineRule="auto" w:before="0" w:after="0"/>
            </w:pPr>
            <w:r/>
            <w:r>
              <w:rPr>
                <w:rFonts w:ascii="Figtree" w:hAnsi="Figtree"/>
                <w:b w:val="0"/>
                <w:i w:val="0"/>
                <w:sz w:val="20"/>
              </w:rPr>
              <w:t>South Africa</w:t>
            </w:r>
          </w:p>
        </w:tc>
        <w:tc>
          <w:tcPr>
            <w:tcW w:type="dxa" w:w="1949"/>
            <w:vAlign w:val="center"/>
          </w:tcPr>
          <w:p>
            <w:pPr>
              <w:spacing w:line="276" w:lineRule="auto" w:before="0" w:after="0"/>
            </w:pPr>
            <w:r/>
            <w:r>
              <w:rPr>
                <w:rFonts w:ascii="Figtree" w:hAnsi="Figtree"/>
                <w:b w:val="0"/>
                <w:i w:val="0"/>
                <w:sz w:val="20"/>
              </w:rPr>
              <w:t>Digital securities settlement</w:t>
            </w:r>
          </w:p>
        </w:tc>
        <w:tc>
          <w:tcPr>
            <w:tcW w:type="dxa" w:w="1949"/>
            <w:vAlign w:val="center"/>
          </w:tcPr>
          <w:p>
            <w:pPr>
              <w:spacing w:line="276" w:lineRule="auto" w:before="0" w:after="0"/>
            </w:pPr>
            <w:r/>
            <w:r>
              <w:rPr>
                <w:rFonts w:ascii="Figtree" w:hAnsi="Figtree"/>
                <w:b w:val="0"/>
                <w:i w:val="0"/>
                <w:sz w:val="20"/>
              </w:rPr>
              <w:t>CSD</w:t>
            </w:r>
          </w:p>
        </w:tc>
        <w:tc>
          <w:tcPr>
            <w:tcW w:type="dxa" w:w="1949"/>
            <w:vAlign w:val="center"/>
          </w:tcPr>
          <w:p>
            <w:pPr>
              <w:spacing w:line="276" w:lineRule="auto" w:before="0" w:after="0"/>
            </w:pPr>
            <w:r/>
            <w:r>
              <w:rPr>
                <w:rFonts w:ascii="Figtree" w:hAnsi="Figtree"/>
                <w:b w:val="0"/>
                <w:i w:val="0"/>
                <w:sz w:val="20"/>
              </w:rPr>
              <w:t>DvP settlement; post-trade architecture</w:t>
            </w:r>
          </w:p>
        </w:tc>
      </w:tr>
      <w:tr>
        <w:trPr>
          <w:trHeight w:val="425" w:hRule="atLeast"/>
        </w:trPr>
        <w:tc>
          <w:tcPr>
            <w:tcW w:type="dxa" w:w="1949"/>
            <w:vAlign w:val="center"/>
          </w:tcPr>
          <w:p>
            <w:pPr>
              <w:spacing w:line="276" w:lineRule="auto" w:before="0" w:after="0"/>
            </w:pPr>
            <w:r/>
            <w:r>
              <w:rPr>
                <w:rFonts w:ascii="Figtree" w:hAnsi="Figtree"/>
                <w:b w:val="0"/>
                <w:i w:val="0"/>
                <w:sz w:val="20"/>
              </w:rPr>
              <w:t>Euroclear Bank (analogous context)</w:t>
            </w:r>
          </w:p>
        </w:tc>
        <w:tc>
          <w:tcPr>
            <w:tcW w:type="dxa" w:w="1949"/>
            <w:vAlign w:val="center"/>
          </w:tcPr>
          <w:p>
            <w:pPr>
              <w:spacing w:line="276" w:lineRule="auto" w:before="0" w:after="0"/>
            </w:pPr>
            <w:r/>
            <w:r>
              <w:rPr>
                <w:rFonts w:ascii="Figtree" w:hAnsi="Figtree"/>
                <w:b w:val="0"/>
                <w:i w:val="0"/>
                <w:sz w:val="20"/>
              </w:rPr>
              <w:t>Belgium</w:t>
            </w:r>
          </w:p>
        </w:tc>
        <w:tc>
          <w:tcPr>
            <w:tcW w:type="dxa" w:w="1949"/>
            <w:vAlign w:val="center"/>
          </w:tcPr>
          <w:p>
            <w:pPr>
              <w:spacing w:line="276" w:lineRule="auto" w:before="0" w:after="0"/>
            </w:pPr>
            <w:r/>
            <w:r>
              <w:rPr>
                <w:rFonts w:ascii="Figtree" w:hAnsi="Figtree"/>
                <w:b w:val="0"/>
                <w:i w:val="0"/>
                <w:sz w:val="20"/>
              </w:rPr>
              <w:t>Settlement infrastructure</w:t>
            </w:r>
          </w:p>
        </w:tc>
        <w:tc>
          <w:tcPr>
            <w:tcW w:type="dxa" w:w="1949"/>
            <w:vAlign w:val="center"/>
          </w:tcPr>
          <w:p>
            <w:pPr>
              <w:spacing w:line="276" w:lineRule="auto" w:before="0" w:after="0"/>
            </w:pPr>
            <w:r/>
            <w:r>
              <w:rPr>
                <w:rFonts w:ascii="Figtree" w:hAnsi="Figtree"/>
                <w:b w:val="0"/>
                <w:i w:val="0"/>
                <w:sz w:val="20"/>
              </w:rPr>
              <w:t>ICSD</w:t>
            </w:r>
          </w:p>
        </w:tc>
        <w:tc>
          <w:tcPr>
            <w:tcW w:type="dxa" w:w="1949"/>
            <w:vAlign w:val="center"/>
          </w:tcPr>
          <w:p>
            <w:pPr>
              <w:spacing w:line="276" w:lineRule="auto" w:before="0" w:after="0"/>
            </w:pPr>
            <w:r/>
            <w:r>
              <w:rPr>
                <w:rFonts w:ascii="Figtree" w:hAnsi="Figtree"/>
                <w:b w:val="0"/>
                <w:i w:val="0"/>
                <w:sz w:val="20"/>
              </w:rPr>
              <w:t>Direct institutional context</w:t>
            </w:r>
          </w:p>
        </w:tc>
      </w:tr>
    </w:tbl>
    <w:p>
      <w:pPr>
        <w:spacing w:before="0" w:after="0" w:line="120" w:lineRule="exact"/>
      </w:pPr>
    </w:p>
    <w:p>
      <w:r>
        <w:rPr>
          <w:rFonts w:ascii="Figtree" w:hAnsi="Figtree"/>
          <w:b/>
          <w:i w:val="0"/>
          <w:sz w:val="22"/>
        </w:rPr>
        <w:t>Key case study: Clearstream</w:t>
      </w:r>
    </w:p>
    <w:p>
      <w:r>
        <w:rPr>
          <w:rFonts w:ascii="Figtree" w:hAnsi="Figtree"/>
          <w:b w:val="0"/>
          <w:i w:val="0"/>
          <w:sz w:val="22"/>
        </w:rPr>
        <w:t>Clearstream's tokenized collateral programme is the closest production reference. The programme deployed XvP atomic settlement, on-chain eligibility enforcement, CSDR/DORA alignment, and real-time position management at ICSD operational scale. Settlement certainty was the non-negotiable design constraint. This mirrors Euroclear's requirements directly.</w:t>
      </w:r>
    </w:p>
    <w:p>
      <w:r>
        <w:br w:type="page"/>
      </w:r>
    </w:p>
    <w:p>
      <w:pPr>
        <w:pStyle w:val="H2"/>
        <w:numPr>
          <w:ilvl w:val="1"/>
          <w:numId w:val="1"/>
        </w:numPr>
      </w:pPr>
      <w:r>
        <w:t>10. Next Steps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6334"/>
        <w:gridCol w:w="2737"/>
      </w:tblGrid>
      <w:tr>
        <w:trPr>
          <w:trHeight w:val="425" w:hRule="atLeast"/>
        </w:trPr>
        <w:tc>
          <w:tcPr>
            <w:tcW w:type="dxa" w:w="4873"/>
            <w:vAlign w:val="center"/>
            <w:shd w:fill="E8E0F0" w:val="clear"/>
          </w:tcPr>
          <w:p>
            <w:pPr>
              <w:spacing w:line="276" w:lineRule="auto" w:before="0" w:after="0"/>
              <w:jc w:val="left"/>
            </w:pPr>
            <w:r>
              <w:rPr>
                <w:b/>
                <w:color w:val="2D1A8C"/>
              </w:rPr>
            </w:r>
            <w:r>
              <w:rPr>
                <w:rFonts w:ascii="Figtree" w:hAnsi="Figtree"/>
                <w:b/>
                <w:i w:val="0"/>
                <w:color w:val="2D1A8C"/>
                <w:sz w:val="20"/>
              </w:rPr>
              <w:t>Step</w:t>
            </w:r>
          </w:p>
        </w:tc>
        <w:tc>
          <w:tcPr>
            <w:tcW w:type="dxa" w:w="4873"/>
            <w:vAlign w:val="center"/>
            <w:shd w:fill="E8E0F0" w:val="clear"/>
          </w:tcPr>
          <w:p>
            <w:pPr>
              <w:spacing w:line="276" w:lineRule="auto" w:before="0" w:after="0"/>
              <w:jc w:val="center"/>
            </w:pPr>
            <w:r>
              <w:rPr>
                <w:b/>
                <w:color w:val="2D1A8C"/>
              </w:rPr>
            </w:r>
            <w:r>
              <w:rPr>
                <w:rFonts w:ascii="Figtree" w:hAnsi="Figtree"/>
                <w:b/>
                <w:i w:val="0"/>
                <w:color w:val="2D1A8C"/>
                <w:sz w:val="20"/>
              </w:rPr>
              <w:t>Timing</w:t>
            </w:r>
          </w:p>
        </w:tc>
      </w:tr>
      <w:tr>
        <w:trPr>
          <w:trHeight w:val="425" w:hRule="atLeast"/>
        </w:trPr>
        <w:tc>
          <w:tcPr>
            <w:tcW w:type="dxa" w:w="4873"/>
            <w:vAlign w:val="center"/>
          </w:tcPr>
          <w:p>
            <w:pPr>
              <w:spacing w:line="276" w:lineRule="auto" w:before="0" w:after="0"/>
            </w:pPr>
            <w:r/>
            <w:r>
              <w:rPr>
                <w:rFonts w:ascii="Figtree" w:hAnsi="Figtree"/>
                <w:b w:val="0"/>
                <w:i w:val="0"/>
                <w:sz w:val="20"/>
              </w:rPr>
              <w:t>Commercial Q&amp;A</w:t>
            </w:r>
          </w:p>
        </w:tc>
        <w:tc>
          <w:tcPr>
            <w:tcW w:type="dxa" w:w="4873"/>
            <w:vAlign w:val="center"/>
          </w:tcPr>
          <w:p>
            <w:pPr>
              <w:spacing w:line="276" w:lineRule="auto" w:before="0" w:after="0"/>
            </w:pPr>
            <w:r/>
            <w:r>
              <w:rPr>
                <w:rFonts w:ascii="Figtree" w:hAnsi="Figtree"/>
                <w:b w:val="0"/>
                <w:i w:val="0"/>
                <w:sz w:val="20"/>
              </w:rPr>
              <w:t>Within 2 weeks</w:t>
            </w:r>
          </w:p>
        </w:tc>
      </w:tr>
      <w:tr>
        <w:trPr>
          <w:trHeight w:val="425" w:hRule="atLeast"/>
        </w:trPr>
        <w:tc>
          <w:tcPr>
            <w:tcW w:type="dxa" w:w="4873"/>
            <w:vAlign w:val="center"/>
          </w:tcPr>
          <w:p>
            <w:pPr>
              <w:spacing w:line="276" w:lineRule="auto" w:before="0" w:after="0"/>
            </w:pPr>
            <w:r/>
            <w:r>
              <w:rPr>
                <w:rFonts w:ascii="Figtree" w:hAnsi="Figtree"/>
                <w:b w:val="0"/>
                <w:i w:val="0"/>
                <w:sz w:val="20"/>
              </w:rPr>
              <w:t>Settlement architecture scoping workshop</w:t>
            </w:r>
          </w:p>
        </w:tc>
        <w:tc>
          <w:tcPr>
            <w:tcW w:type="dxa" w:w="4873"/>
            <w:vAlign w:val="center"/>
          </w:tcPr>
          <w:p>
            <w:pPr>
              <w:spacing w:line="276" w:lineRule="auto" w:before="0" w:after="0"/>
            </w:pPr>
            <w:r/>
            <w:r>
              <w:rPr>
                <w:rFonts w:ascii="Figtree" w:hAnsi="Figtree"/>
                <w:b w:val="0"/>
                <w:i w:val="0"/>
                <w:sz w:val="20"/>
              </w:rPr>
              <w:t>Week 3-4</w:t>
            </w:r>
          </w:p>
        </w:tc>
      </w:tr>
      <w:tr>
        <w:trPr>
          <w:trHeight w:val="425" w:hRule="atLeast"/>
        </w:trPr>
        <w:tc>
          <w:tcPr>
            <w:tcW w:type="dxa" w:w="4873"/>
            <w:vAlign w:val="center"/>
          </w:tcPr>
          <w:p>
            <w:pPr>
              <w:spacing w:line="276" w:lineRule="auto" w:before="0" w:after="0"/>
            </w:pPr>
            <w:r/>
            <w:r>
              <w:rPr>
                <w:rFonts w:ascii="Figtree" w:hAnsi="Figtree"/>
                <w:b w:val="0"/>
                <w:i w:val="0"/>
                <w:sz w:val="20"/>
              </w:rPr>
              <w:t>TARGET2 integration design session</w:t>
            </w:r>
          </w:p>
        </w:tc>
        <w:tc>
          <w:tcPr>
            <w:tcW w:type="dxa" w:w="4873"/>
            <w:vAlign w:val="center"/>
          </w:tcPr>
          <w:p>
            <w:pPr>
              <w:spacing w:line="276" w:lineRule="auto" w:before="0" w:after="0"/>
            </w:pPr>
            <w:r/>
            <w:r>
              <w:rPr>
                <w:rFonts w:ascii="Figtree" w:hAnsi="Figtree"/>
                <w:b w:val="0"/>
                <w:i w:val="0"/>
                <w:sz w:val="20"/>
              </w:rPr>
              <w:t>Week 4-5</w:t>
            </w:r>
          </w:p>
        </w:tc>
      </w:tr>
      <w:tr>
        <w:trPr>
          <w:trHeight w:val="425" w:hRule="atLeast"/>
        </w:trPr>
        <w:tc>
          <w:tcPr>
            <w:tcW w:type="dxa" w:w="4873"/>
            <w:vAlign w:val="center"/>
          </w:tcPr>
          <w:p>
            <w:pPr>
              <w:spacing w:line="276" w:lineRule="auto" w:before="0" w:after="0"/>
            </w:pPr>
            <w:r/>
            <w:r>
              <w:rPr>
                <w:rFonts w:ascii="Figtree" w:hAnsi="Figtree"/>
                <w:b w:val="0"/>
                <w:i w:val="0"/>
                <w:sz w:val="20"/>
              </w:rPr>
              <w:t>NBB notification strategy</w:t>
            </w:r>
          </w:p>
        </w:tc>
        <w:tc>
          <w:tcPr>
            <w:tcW w:type="dxa" w:w="4873"/>
            <w:vAlign w:val="center"/>
          </w:tcPr>
          <w:p>
            <w:pPr>
              <w:spacing w:line="276" w:lineRule="auto" w:before="0" w:after="0"/>
            </w:pPr>
            <w:r/>
            <w:r>
              <w:rPr>
                <w:rFonts w:ascii="Figtree" w:hAnsi="Figtree"/>
                <w:b w:val="0"/>
                <w:i w:val="0"/>
                <w:sz w:val="20"/>
              </w:rPr>
              <w:t>Week 4-5</w:t>
            </w:r>
          </w:p>
        </w:tc>
      </w:tr>
      <w:tr>
        <w:trPr>
          <w:trHeight w:val="425" w:hRule="atLeast"/>
        </w:trPr>
        <w:tc>
          <w:tcPr>
            <w:tcW w:type="dxa" w:w="4873"/>
            <w:vAlign w:val="center"/>
          </w:tcPr>
          <w:p>
            <w:pPr>
              <w:spacing w:line="276" w:lineRule="auto" w:before="0" w:after="0"/>
            </w:pPr>
            <w:r/>
            <w:r>
              <w:rPr>
                <w:rFonts w:ascii="Figtree" w:hAnsi="Figtree"/>
                <w:b w:val="0"/>
                <w:i w:val="0"/>
                <w:sz w:val="20"/>
              </w:rPr>
              <w:t>Technical due diligence</w:t>
            </w:r>
          </w:p>
        </w:tc>
        <w:tc>
          <w:tcPr>
            <w:tcW w:type="dxa" w:w="4873"/>
            <w:vAlign w:val="center"/>
          </w:tcPr>
          <w:p>
            <w:pPr>
              <w:spacing w:line="276" w:lineRule="auto" w:before="0" w:after="0"/>
            </w:pPr>
            <w:r/>
            <w:r>
              <w:rPr>
                <w:rFonts w:ascii="Figtree" w:hAnsi="Figtree"/>
                <w:b w:val="0"/>
                <w:i w:val="0"/>
                <w:sz w:val="20"/>
              </w:rPr>
              <w:t>Week 4-6</w:t>
            </w:r>
          </w:p>
        </w:tc>
      </w:tr>
      <w:tr>
        <w:trPr>
          <w:trHeight w:val="425" w:hRule="atLeast"/>
        </w:trPr>
        <w:tc>
          <w:tcPr>
            <w:tcW w:type="dxa" w:w="4873"/>
            <w:vAlign w:val="center"/>
          </w:tcPr>
          <w:p>
            <w:pPr>
              <w:spacing w:line="276" w:lineRule="auto" w:before="0" w:after="0"/>
            </w:pPr>
            <w:r/>
            <w:r>
              <w:rPr>
                <w:rFonts w:ascii="Figtree" w:hAnsi="Figtree"/>
                <w:b w:val="0"/>
                <w:i w:val="0"/>
                <w:sz w:val="20"/>
              </w:rPr>
              <w:t>Firm commercial proposal</w:t>
            </w:r>
          </w:p>
        </w:tc>
        <w:tc>
          <w:tcPr>
            <w:tcW w:type="dxa" w:w="4873"/>
            <w:vAlign w:val="center"/>
          </w:tcPr>
          <w:p>
            <w:pPr>
              <w:spacing w:line="276" w:lineRule="auto" w:before="0" w:after="0"/>
            </w:pPr>
            <w:r/>
            <w:r>
              <w:rPr>
                <w:rFonts w:ascii="Figtree" w:hAnsi="Figtree"/>
                <w:b w:val="0"/>
                <w:i w:val="0"/>
                <w:sz w:val="20"/>
              </w:rPr>
              <w:t>Week 5-7</w:t>
            </w:r>
          </w:p>
        </w:tc>
      </w:tr>
      <w:tr>
        <w:trPr>
          <w:trHeight w:val="425" w:hRule="atLeast"/>
        </w:trPr>
        <w:tc>
          <w:tcPr>
            <w:tcW w:type="dxa" w:w="4873"/>
            <w:vAlign w:val="center"/>
          </w:tcPr>
          <w:p>
            <w:pPr>
              <w:spacing w:line="276" w:lineRule="auto" w:before="0" w:after="0"/>
            </w:pPr>
            <w:r/>
            <w:r>
              <w:rPr>
                <w:rFonts w:ascii="Figtree" w:hAnsi="Figtree"/>
                <w:b w:val="0"/>
                <w:i w:val="0"/>
                <w:sz w:val="20"/>
              </w:rPr>
              <w:t>Multi-entity extension discussion</w:t>
            </w:r>
          </w:p>
        </w:tc>
        <w:tc>
          <w:tcPr>
            <w:tcW w:type="dxa" w:w="4873"/>
            <w:vAlign w:val="center"/>
          </w:tcPr>
          <w:p>
            <w:pPr>
              <w:spacing w:line="276" w:lineRule="auto" w:before="0" w:after="0"/>
            </w:pPr>
            <w:r/>
            <w:r>
              <w:rPr>
                <w:rFonts w:ascii="Figtree" w:hAnsi="Figtree"/>
                <w:b w:val="0"/>
                <w:i w:val="0"/>
                <w:sz w:val="20"/>
              </w:rPr>
              <w:t>Week 6-8</w:t>
            </w:r>
          </w:p>
        </w:tc>
      </w:tr>
      <w:tr>
        <w:trPr>
          <w:trHeight w:val="425" w:hRule="atLeast"/>
        </w:trPr>
        <w:tc>
          <w:tcPr>
            <w:tcW w:type="dxa" w:w="4873"/>
            <w:vAlign w:val="center"/>
          </w:tcPr>
          <w:p>
            <w:pPr>
              <w:spacing w:line="276" w:lineRule="auto" w:before="0" w:after="0"/>
            </w:pPr>
            <w:r/>
            <w:r>
              <w:rPr>
                <w:rFonts w:ascii="Figtree" w:hAnsi="Figtree"/>
                <w:b w:val="0"/>
                <w:i w:val="0"/>
                <w:sz w:val="20"/>
              </w:rPr>
              <w:t>Contract negotiation</w:t>
            </w:r>
          </w:p>
        </w:tc>
        <w:tc>
          <w:tcPr>
            <w:tcW w:type="dxa" w:w="4873"/>
            <w:vAlign w:val="center"/>
          </w:tcPr>
          <w:p>
            <w:pPr>
              <w:spacing w:line="276" w:lineRule="auto" w:before="0" w:after="0"/>
            </w:pPr>
            <w:r/>
            <w:r>
              <w:rPr>
                <w:rFonts w:ascii="Figtree" w:hAnsi="Figtree"/>
                <w:b w:val="0"/>
                <w:i w:val="0"/>
                <w:sz w:val="20"/>
              </w:rPr>
              <w:t>Week 8-12</w:t>
            </w:r>
          </w:p>
        </w:tc>
      </w:tr>
    </w:tbl>
    <w:p>
      <w:pPr>
        <w:spacing w:before="0" w:after="0" w:line="120" w:lineRule="exact"/>
      </w:pPr>
    </w:p>
    <w:p>
      <w:r>
        <w:br w:type="page"/>
      </w:r>
    </w:p>
    <w:p>
      <w:r>
        <w:rPr>
          <w:rFonts w:ascii="Figtree" w:hAnsi="Figtree"/>
          <w:b w:val="0"/>
          <w:i/>
          <w:sz w:val="22"/>
        </w:rPr>
        <w:t>Document Classification: SettleMint Confidential</w:t>
      </w:r>
    </w:p>
    <w:p>
      <w:r>
        <w:rPr>
          <w:rFonts w:ascii="Figtree" w:hAnsi="Figtree"/>
          <w:b w:val="0"/>
          <w:i/>
          <w:sz w:val="22"/>
        </w:rPr>
        <w:t>Version 1.0 Draft — March 2026</w:t>
      </w:r>
    </w:p>
    <w:sectPr w:rsidR="00D852BB" w:rsidRPr="00A9690B" w:rsidSect="001F6184">
      <w:headerReference w:type="default" r:id="rId8"/>
      <w:footerReference w:type="default" r:id="rId9"/>
      <w:pgSz w:w="11906" w:h="16838"/>
      <w:pgMar w:top="1440" w:right="1080" w:bottom="1440" w:left="108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6AE061" w14:textId="77777777" w:rsidR="009F4DB8" w:rsidRDefault="009F4DB8" w:rsidP="00D852BB">
      <w:pPr>
        <w:spacing w:after="0" w:line="240" w:lineRule="auto"/>
      </w:pPr>
      <w:r>
        <w:separator/>
      </w:r>
    </w:p>
  </w:endnote>
  <w:endnote w:type="continuationSeparator" w:id="0">
    <w:p w14:paraId="429347AA" w14:textId="77777777" w:rsidR="009F4DB8" w:rsidRDefault="009F4DB8" w:rsidP="00D852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Figtree">
    <w:altName w:val="Calibri"/>
    <w:panose1 w:val="00000000000000000000"/>
    <w:charset w:val="00"/>
    <w:family w:val="auto"/>
    <w:notTrueType/>
    <w:pitch w:val="variable"/>
    <w:sig w:usb0="A000006F" w:usb1="0000007B" w:usb2="00000000" w:usb3="00000000" w:csb0="00000093"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6AAF02" w14:textId="0BD27254" w:rsidR="00E32BFB" w:rsidRPr="0093551D" w:rsidRDefault="00E32BFB" w:rsidP="00E32BFB">
    <w:pPr>
      <w:pStyle w:val="Footer"/>
      <w:tabs>
        <w:tab w:val="clear" w:pos="4513"/>
        <w:tab w:val="clear" w:pos="9026"/>
        <w:tab w:val="center" w:pos="4873"/>
      </w:tabs>
      <w:rPr>
        <w:color w:val="000099"/>
        <w:sz w:val="20"/>
        <w:szCs w:val="20"/>
      </w:rPr>
    </w:pPr>
    <w:r>
      <w:rPr>
        <w:noProof/>
      </w:rPr>
      <mc:AlternateContent>
        <mc:Choice Requires="wps">
          <w:drawing>
            <wp:anchor distT="0" distB="0" distL="114300" distR="114300" simplePos="0" relativeHeight="251663360" behindDoc="0" locked="0" layoutInCell="1" allowOverlap="1" wp14:anchorId="1073185A" wp14:editId="2A79EDDE">
              <wp:simplePos x="0" y="0"/>
              <wp:positionH relativeFrom="page">
                <wp:posOffset>-66675</wp:posOffset>
              </wp:positionH>
              <wp:positionV relativeFrom="paragraph">
                <wp:posOffset>-181610</wp:posOffset>
              </wp:positionV>
              <wp:extent cx="7884000" cy="0"/>
              <wp:effectExtent l="0" t="0" r="0" b="0"/>
              <wp:wrapNone/>
              <wp:docPr id="885456621" name="Straight Connector 9"/>
              <wp:cNvGraphicFramePr/>
              <a:graphic xmlns:a="http://schemas.openxmlformats.org/drawingml/2006/main">
                <a:graphicData uri="http://schemas.microsoft.com/office/word/2010/wordprocessingShape">
                  <wps:wsp>
                    <wps:cNvCnPr/>
                    <wps:spPr>
                      <a:xfrm flipV="1">
                        <a:off x="0" y="0"/>
                        <a:ext cx="7884000" cy="0"/>
                      </a:xfrm>
                      <a:prstGeom prst="line">
                        <a:avLst/>
                      </a:prstGeom>
                      <a:ln>
                        <a:solidFill>
                          <a:srgbClr val="003399"/>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FBE3D7E" id="Straight Connector 9" o:spid="_x0000_s1026" style="position:absolute;flip:y;z-index:25166336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 from="-5.25pt,-14.3pt" to="615.55pt,-14.3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AXe11vwEAAN8DAAAOAAAAZHJzL2Uyb0RvYy54bWysU02P0zAQvSPxHyzfqdNdBN2o6R52tVwQ&#13;&#10;rPi6u864sWR7LNs06b9n7LTZFSAkEBcrY897M+/NZHs7OcuOEJNB3/H1quEMvMLe+EPHv355eLXh&#13;&#10;LGXpe2nRQ8dPkPjt7uWL7RhauMIBbQ+REYlP7Rg6PuQcWiGSGsDJtMIAnh41RiczhfEg+ihHYndW&#13;&#10;XDXNGzFi7ENEBSnR7f38yHeVX2tQ+aPWCTKzHafecj1jPfflFLutbA9RhsGocxvyH7pw0ngqulDd&#13;&#10;yyzZ92h+oXJGRUyo80qhE6i1UVA1kJp185Oaz4MMULWQOSksNqX/R6s+HO/8YyQbxpDaFB5jUTHp&#13;&#10;6Ji2JnyjmVZd1Cmbqm2nxTaYMlN0+Xazed005K66vImZolCFmPI7QMfKR8et8UWRbOXxfcpUllIv&#13;&#10;KeXa+nImtKZ/MNbWIB72dzayoywzbK6vb27K2Aj4LI2iAhVPKupXPlmYaT+BZqanbmc9dcFgoZVK&#13;&#10;gc/rM6/1lF1gmlpYgE3t+4/Ac36BQl2+vwEviFoZfV7AzniMv6uep0vLes6/ODDrLhbssT/V+VZr&#13;&#10;aIuqc+eNL2v6PK7wp/9y9wMAAP//AwBQSwMEFAAGAAgAAAAhAFJf1ujgAAAAEQEAAA8AAABkcnMv&#13;&#10;ZG93bnJldi54bWxMT8lOwzAQvSPxD9YgcWudBBpVaZyKshxBouED3HhIosTjyHbbwNczlZDgMprl&#13;&#10;zVvK7WxHcUIfekcK0mUCAqlxpqdWwUf9sliDCFGT0aMjVPCFAbbV9VWpC+PO9I6nfWwFk1AotIIu&#13;&#10;xqmQMjQdWh2WbkLi26fzVkcefSuN12cmt6PMkiSXVvfECp2e8LHDZtgfrYLnnXkzuzzrPXbfTf1q&#13;&#10;h/tVPSh1ezM/bbg8bEBEnOPfB1wysH+o2NjBHckEMSpYpMmKodxk6xzEBZHdpSmIw+9KVqX8n6T6&#13;&#10;AQAA//8DAFBLAQItABQABgAIAAAAIQC2gziS/gAAAOEBAAATAAAAAAAAAAAAAAAAAAAAAABbQ29u&#13;&#10;dGVudF9UeXBlc10ueG1sUEsBAi0AFAAGAAgAAAAhADj9If/WAAAAlAEAAAsAAAAAAAAAAAAAAAAA&#13;&#10;LwEAAF9yZWxzLy5yZWxzUEsBAi0AFAAGAAgAAAAhAEBd7XW/AQAA3wMAAA4AAAAAAAAAAAAAAAAA&#13;&#10;LgIAAGRycy9lMm9Eb2MueG1sUEsBAi0AFAAGAAgAAAAhAFJf1ujgAAAAEQEAAA8AAAAAAAAAAAAA&#13;&#10;AAAAGQQAAGRycy9kb3ducmV2LnhtbFBLBQYAAAAABAAEAPMAAAAmBQAAAAA=&#13;&#10;" strokecolor="#039" strokeweight=".5pt">
              <v:stroke joinstyle="miter"/>
              <w10:wrap anchorx="page"/>
            </v:line>
          </w:pict>
        </mc:Fallback>
      </mc:AlternateContent>
    </w:r>
    <w:r w:rsidRPr="00E32BFB">
      <w:rPr>
        <w:sz w:val="20"/>
        <w:szCs w:val="20"/>
      </w:rPr>
      <w:ptab w:relativeTo="margin" w:alignment="center" w:leader="none"/>
    </w:r>
    <w:r w:rsidRPr="0093551D">
      <w:rPr>
        <w:color w:val="0E2841" w:themeColor="text2"/>
        <w:sz w:val="20"/>
        <w:szCs w:val="20"/>
      </w:rPr>
      <w:t>SettleMint Confidential, All Rights Reserved</w:t>
    </w:r>
    <w:r w:rsidRPr="0093551D">
      <w:rPr>
        <w:color w:val="0E2841" w:themeColor="text2"/>
        <w:sz w:val="20"/>
        <w:szCs w:val="20"/>
      </w:rPr>
      <w:ptab w:relativeTo="margin" w:alignment="right" w:leader="none"/>
    </w:r>
    <w:r w:rsidRPr="0093551D">
      <w:rPr>
        <w:color w:val="0E2841" w:themeColor="text2"/>
        <w:sz w:val="20"/>
        <w:szCs w:val="20"/>
      </w:rPr>
      <w:fldChar w:fldCharType="begin"/>
    </w:r>
    <w:r w:rsidRPr="0093551D">
      <w:rPr>
        <w:color w:val="0E2841" w:themeColor="text2"/>
        <w:sz w:val="20"/>
        <w:szCs w:val="20"/>
      </w:rPr>
      <w:instrText xml:space="preserve"> PAGE   \* MERGEFORMAT </w:instrText>
    </w:r>
    <w:r w:rsidRPr="0093551D">
      <w:rPr>
        <w:color w:val="0E2841" w:themeColor="text2"/>
        <w:sz w:val="20"/>
        <w:szCs w:val="20"/>
      </w:rPr>
      <w:fldChar w:fldCharType="separate"/>
    </w:r>
    <w:r w:rsidRPr="0093551D">
      <w:rPr>
        <w:noProof/>
        <w:color w:val="0E2841" w:themeColor="text2"/>
        <w:sz w:val="20"/>
        <w:szCs w:val="20"/>
      </w:rPr>
      <w:t>1</w:t>
    </w:r>
    <w:r w:rsidRPr="0093551D">
      <w:rPr>
        <w:noProof/>
        <w:color w:val="0E2841" w:themeColor="text2"/>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CD5B74" w14:textId="77777777" w:rsidR="009F4DB8" w:rsidRDefault="009F4DB8" w:rsidP="00D852BB">
      <w:pPr>
        <w:spacing w:after="0" w:line="240" w:lineRule="auto"/>
      </w:pPr>
      <w:r>
        <w:separator/>
      </w:r>
    </w:p>
  </w:footnote>
  <w:footnote w:type="continuationSeparator" w:id="0">
    <w:p w14:paraId="62AEAD1A" w14:textId="77777777" w:rsidR="009F4DB8" w:rsidRDefault="009F4DB8" w:rsidP="00D852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B648D1" w14:textId="77777777" w:rsidR="00D852BB" w:rsidRDefault="00E32BFB">
    <w:pPr>
      <w:pStyle w:val="Header"/>
    </w:pPr>
    <w:r>
      <w:rPr>
        <w:noProof/>
      </w:rPr>
      <w:drawing>
        <wp:anchor distT="0" distB="0" distL="114300" distR="114300" simplePos="0" relativeHeight="251659264" behindDoc="0" locked="0" layoutInCell="1" allowOverlap="1" wp14:anchorId="633C2A67" wp14:editId="4494BAB8">
          <wp:simplePos x="0" y="0"/>
          <wp:positionH relativeFrom="margin">
            <wp:posOffset>5257165</wp:posOffset>
          </wp:positionH>
          <wp:positionV relativeFrom="paragraph">
            <wp:posOffset>-209550</wp:posOffset>
          </wp:positionV>
          <wp:extent cx="914400" cy="305435"/>
          <wp:effectExtent l="0" t="0" r="0" b="0"/>
          <wp:wrapSquare wrapText="bothSides"/>
          <wp:docPr id="1852263197" name="Picture 7" descr="A grey background with white 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2263197" name="Picture 7" descr="A grey background with white text"/>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14400" cy="305435"/>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0288" behindDoc="0" locked="0" layoutInCell="1" allowOverlap="1" wp14:anchorId="55A84FA9" wp14:editId="18CBED61">
          <wp:simplePos x="0" y="0"/>
          <wp:positionH relativeFrom="margin">
            <wp:posOffset>0</wp:posOffset>
          </wp:positionH>
          <wp:positionV relativeFrom="paragraph">
            <wp:posOffset>-259080</wp:posOffset>
          </wp:positionV>
          <wp:extent cx="1828800" cy="414551"/>
          <wp:effectExtent l="0" t="0" r="0" b="5080"/>
          <wp:wrapSquare wrapText="bothSides"/>
          <wp:docPr id="1471399059" name="Picture 8" descr="A black and gre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1399059" name="Picture 8" descr="A black and grey logo"/>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828800" cy="414551"/>
                  </a:xfrm>
                  <a:prstGeom prst="rect">
                    <a:avLst/>
                  </a:prstGeom>
                  <a:noFill/>
                  <a:ln>
                    <a:noFill/>
                  </a:ln>
                </pic:spPr>
              </pic:pic>
            </a:graphicData>
          </a:graphic>
        </wp:anchor>
      </w:drawing>
    </w:r>
    <w:r>
      <w:rPr>
        <w:noProof/>
      </w:rPr>
      <mc:AlternateContent>
        <mc:Choice Requires="wps">
          <w:drawing>
            <wp:anchor distT="0" distB="0" distL="114300" distR="114300" simplePos="0" relativeHeight="251661312" behindDoc="0" locked="0" layoutInCell="1" allowOverlap="1" wp14:anchorId="18A21DE2" wp14:editId="1E61291E">
              <wp:simplePos x="0" y="0"/>
              <wp:positionH relativeFrom="column">
                <wp:posOffset>-971550</wp:posOffset>
              </wp:positionH>
              <wp:positionV relativeFrom="paragraph">
                <wp:posOffset>283845</wp:posOffset>
              </wp:positionV>
              <wp:extent cx="7884000" cy="0"/>
              <wp:effectExtent l="0" t="0" r="0" b="0"/>
              <wp:wrapNone/>
              <wp:docPr id="588624232" name="Straight Connector 9"/>
              <wp:cNvGraphicFramePr/>
              <a:graphic xmlns:a="http://schemas.openxmlformats.org/drawingml/2006/main">
                <a:graphicData uri="http://schemas.microsoft.com/office/word/2010/wordprocessingShape">
                  <wps:wsp>
                    <wps:cNvCnPr/>
                    <wps:spPr>
                      <a:xfrm flipV="1">
                        <a:off x="0" y="0"/>
                        <a:ext cx="7884000" cy="0"/>
                      </a:xfrm>
                      <a:prstGeom prst="line">
                        <a:avLst/>
                      </a:prstGeom>
                      <a:ln>
                        <a:solidFill>
                          <a:srgbClr val="000099"/>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A7DB5CA" id="Straight Connector 9" o:spid="_x0000_s1026" style="position:absolute;flip:y;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76.5pt,22.35pt" to="544.3pt,22.3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rcRTAvgEAAN8DAAAOAAAAZHJzL2Uyb0RvYy54bWysU8tu2zAQvBfoPxC815SDoHUEyzkkSC9F&#13;&#10;G/R1p6mlRYAvLFlL/vsuKVsJ2qJAi+hA8LEzuzO72t5OzrIjYDLBd3y9ajgDr0Jv/KHj374+vNlw&#13;&#10;lrL0vbTBQ8dPkPjt7vWr7RhbuApDsD0gIxKf2jF2fMg5tkIkNYCTaRUieHrUAZ3MdMSD6FGOxO6s&#13;&#10;uGqat2IM2EcMClKi2/v5ke8qv9ag8ietE2RmO0615bpiXfdlFbutbA8o42DUuQz5H1U4aTwlXaju&#13;&#10;ZZbsB5rfqJxRGFLQeaWCE0Fro6BqIDXr5hc1XwYZoWohc1JcbEovR6s+Hu/8I5INY0xtio9YVEwa&#13;&#10;HdPWxO/U06qLKmVTte202AZTZoou3202101D7qrLm5gpClXElN9DcKxsOm6NL4pkK48fUqa0FHoJ&#13;&#10;KdfWlzUFa/oHY2094GF/Z5EdZekhfTc3pW0EfBZGpwIVTyrqLp8szLSfQTPTU7WznjpgsNBKpcDn&#13;&#10;9ZnXeoouME0lLMCm1v1X4Dm+QKEO37+AF0TNHHxewM74gH/KnqdLyXqOvzgw6y4W7EN/qv2t1tAU&#13;&#10;VefOE1/G9Pm5wp/+y91PAAAA//8DAFBLAwQUAAYACAAAACEAK6hJ9eMAAAAQAQAADwAAAGRycy9k&#13;&#10;b3ducmV2LnhtbEyPT2+CQBDF7yb9Dptp0psuUrWILIa04djGWuN5YadAys4SdhXsp3eNh/Yyyfx7&#13;&#10;7/2S7ahbdsbeNoYEzGcBMKTSqIYqAYevfBoBs06Skq0hFHBBC9v0YZLIWJmBPvG8dxXzImRjKaB2&#13;&#10;ros5t2WNWtqZ6ZD87tv0Wjrf9hVXvRy8uG55GAQrrmVD3qGWHb7WWP7sT1pAnn+o9zy7rItdRur3&#13;&#10;GIZlNRyFeHoc3za+ZBtgDkf39wE3Bp8fUh+sMCdSlrUCpvPlsydyAhaLF2C3iyCKVsCK+4SnCf8P&#13;&#10;kl4BAAD//wMAUEsBAi0AFAAGAAgAAAAhALaDOJL+AAAA4QEAABMAAAAAAAAAAAAAAAAAAAAAAFtD&#13;&#10;b250ZW50X1R5cGVzXS54bWxQSwECLQAUAAYACAAAACEAOP0h/9YAAACUAQAACwAAAAAAAAAAAAAA&#13;&#10;AAAvAQAAX3JlbHMvLnJlbHNQSwECLQAUAAYACAAAACEAK3EUwL4BAADfAwAADgAAAAAAAAAAAAAA&#13;&#10;AAAuAgAAZHJzL2Uyb0RvYy54bWxQSwECLQAUAAYACAAAACEAK6hJ9eMAAAAQAQAADwAAAAAAAAAA&#13;&#10;AAAAAAAYBAAAZHJzL2Rvd25yZXYueG1sUEsFBgAAAAAEAAQA8wAAACgFAAAAAA==&#13;&#10;" strokecolor="#009" strokeweight=".5pt">
              <v:stroke joinstyle="miter"/>
            </v:line>
          </w:pict>
        </mc:Fallback>
      </mc:AlternateContent>
    </w:r>
    <w:r w:rsidR="00D852BB">
      <w:rPr>
        <w:noProof/>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100D30"/>
    <w:multiLevelType w:val="multilevel"/>
    <w:tmpl w:val="E08E3C74"/>
    <w:name w:val="SettleMint"/>
    <w:lvl w:ilvl="0">
      <w:start w:val="1"/>
      <w:numFmt w:val="decimal"/>
      <w:pStyle w:val="Heading1"/>
      <w:suff w:val="space"/>
      <w:lvlText w:val="%1."/>
      <w:lvlJc w:val="left"/>
      <w:pPr>
        <w:ind w:left="0" w:firstLine="0"/>
      </w:pPr>
      <w:rPr>
        <w:rFonts w:ascii="Figtree" w:hAnsi="Figtree" w:hint="default"/>
        <w:b/>
        <w:i w:val="0"/>
        <w:color w:val="000099"/>
        <w:sz w:val="32"/>
      </w:rPr>
    </w:lvl>
    <w:lvl w:ilvl="1">
      <w:start w:val="1"/>
      <w:numFmt w:val="decimal"/>
      <w:pStyle w:val="Heading2"/>
      <w:suff w:val="space"/>
      <w:lvlText w:val="%1.%2"/>
      <w:lvlJc w:val="left"/>
      <w:pPr>
        <w:ind w:left="0" w:firstLine="0"/>
      </w:pPr>
      <w:rPr>
        <w:rFonts w:ascii="Figtree" w:hAnsi="Figtree" w:hint="default"/>
        <w:b/>
        <w:i w:val="0"/>
        <w:color w:val="000099"/>
        <w:sz w:val="28"/>
      </w:rPr>
    </w:lvl>
    <w:lvl w:ilvl="2">
      <w:start w:val="1"/>
      <w:numFmt w:val="decimal"/>
      <w:pStyle w:val="Heading3"/>
      <w:suff w:val="space"/>
      <w:lvlText w:val="%1.%2.%3"/>
      <w:lvlJc w:val="left"/>
      <w:pPr>
        <w:ind w:left="0" w:firstLine="0"/>
      </w:pPr>
      <w:rPr>
        <w:rFonts w:ascii="Figtree" w:hAnsi="Figtree" w:hint="default"/>
        <w:b/>
        <w:i w:val="0"/>
        <w:color w:val="000099"/>
        <w:sz w:val="24"/>
      </w:rPr>
      <w:lvlRestart w:val="1"/>
    </w:lvl>
    <w:lvl w:ilvl="3">
      <w:start w:val="1"/>
      <w:numFmt w:val="decimal"/>
      <w:pStyle w:val="Heading4"/>
      <w:suff w:val="space"/>
      <w:lvlText w:val="%1.%2.%3.%4"/>
      <w:lvlJc w:val="left"/>
      <w:pPr>
        <w:ind w:left="0" w:firstLine="0"/>
      </w:pPr>
      <w:rPr>
        <w:rFonts w:ascii="Figtree" w:hAnsi="Figtree" w:hint="default"/>
        <w:b/>
        <w:i w:val="0"/>
        <w:color w:val="000099"/>
        <w:sz w:val="24"/>
      </w:rPr>
      <w:lvlRestart w:val="2"/>
    </w:lvl>
    <w:lvl w:ilvl="4">
      <w:start w:val="1"/>
      <w:numFmt w:val="lowerLetter"/>
      <w:lvlText w:val="(%5)"/>
      <w:lvlJc w:val="left"/>
      <w:pPr>
        <w:ind w:left="0" w:firstLine="0"/>
      </w:pPr>
      <w:rPr>
        <w:rFonts w:hint="default"/>
      </w:rPr>
    </w:lvl>
    <w:lvl w:ilvl="5">
      <w:start w:val="1"/>
      <w:numFmt w:val="lowerRoman"/>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1" w15:restartNumberingAfterBreak="0">
    <w:nsid w:val="2B7555D5"/>
    <w:multiLevelType w:val="hybridMultilevel"/>
    <w:tmpl w:val="31C01D58"/>
    <w:name w:val="SettleMint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335E5549"/>
    <w:multiLevelType w:val="multilevel"/>
    <w:tmpl w:val="AA60BFE8"/>
    <w:lvl w:ilvl="0">
      <w:start w:val="1"/>
      <w:numFmt w:val="decimal"/>
      <w:suff w:val="space"/>
      <w:lvlText w:val="%1."/>
      <w:lvlJc w:val="left"/>
      <w:pPr>
        <w:ind w:left="0" w:firstLine="0"/>
      </w:pPr>
      <w:rPr>
        <w:rFonts w:ascii="Figtree" w:hAnsi="Figtree" w:hint="default"/>
        <w:b/>
        <w:i w:val="0"/>
        <w:color w:val="0070C0"/>
        <w:sz w:val="32"/>
      </w:rPr>
    </w:lvl>
    <w:lvl w:ilvl="1">
      <w:start w:val="1"/>
      <w:numFmt w:val="decimal"/>
      <w:suff w:val="space"/>
      <w:lvlText w:val="%1.%2"/>
      <w:lvlJc w:val="left"/>
      <w:pPr>
        <w:ind w:left="0" w:firstLine="0"/>
      </w:pPr>
      <w:rPr>
        <w:rFonts w:ascii="Figtree" w:hAnsi="Figtree" w:hint="default"/>
        <w:b/>
        <w:i w:val="0"/>
        <w:color w:val="0070C0"/>
        <w:sz w:val="28"/>
      </w:rPr>
    </w:lvl>
    <w:lvl w:ilvl="2">
      <w:start w:val="1"/>
      <w:numFmt w:val="decimal"/>
      <w:suff w:val="space"/>
      <w:lvlText w:val="%1.%2.%3"/>
      <w:lvlJc w:val="left"/>
      <w:pPr>
        <w:ind w:left="0" w:firstLine="0"/>
      </w:pPr>
      <w:rPr>
        <w:rFonts w:ascii="Figtree" w:hAnsi="Figtree" w:hint="default"/>
        <w:b/>
        <w:i w:val="0"/>
        <w:color w:val="0070C0"/>
        <w:sz w:val="24"/>
      </w:rPr>
    </w:lvl>
    <w:lvl w:ilvl="3">
      <w:start w:val="1"/>
      <w:numFmt w:val="decimal"/>
      <w:suff w:val="space"/>
      <w:lvlText w:val="%1.%2.%3.%4"/>
      <w:lvlJc w:val="left"/>
      <w:pPr>
        <w:ind w:left="0" w:firstLine="0"/>
      </w:pPr>
      <w:rPr>
        <w:rFonts w:ascii="Figtree" w:hAnsi="Figtree" w:hint="default"/>
        <w:b/>
        <w:i w:val="0"/>
        <w:color w:val="0070C0"/>
        <w:sz w:val="24"/>
      </w:rPr>
    </w:lvl>
    <w:lvl w:ilvl="4">
      <w:start w:val="1"/>
      <w:numFmt w:val="lowerLetter"/>
      <w:lvlText w:val="(%5)"/>
      <w:lvlJc w:val="left"/>
      <w:pPr>
        <w:ind w:left="0" w:firstLine="0"/>
      </w:pPr>
      <w:rPr>
        <w:rFonts w:hint="default"/>
      </w:rPr>
    </w:lvl>
    <w:lvl w:ilvl="5">
      <w:start w:val="1"/>
      <w:numFmt w:val="lowerRoman"/>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3">
    <w:multiLevelType w:val="hybridMultilevel"/>
    <w:lvl w:ilvl="0">
      <w:start w:val="1"/>
      <w:numFmt w:val="bullet"/>
      <w:lvlText w:val="•"/>
      <w:lvlJc w:val="left"/>
      <w:pPr>
        <w:ind w:left="720" w:hanging="360"/>
      </w:pPr>
      <w:rPr>
        <w:color w:val="000099"/>
      </w:rPr>
    </w:lvl>
    <w:lvl w:ilvl="1">
      <w:start w:val="1"/>
      <w:numFmt w:val="bullet"/>
      <w:lvlText w:val="•"/>
      <w:lvlJc w:val="left"/>
      <w:pPr>
        <w:ind w:left="1440" w:hanging="360"/>
      </w:pPr>
      <w:rPr>
        <w:color w:val="000099"/>
      </w:rPr>
    </w:lvl>
    <w:lvl w:ilvl="2">
      <w:start w:val="1"/>
      <w:numFmt w:val="bullet"/>
      <w:lvlText w:val="•"/>
      <w:lvlJc w:val="left"/>
      <w:pPr>
        <w:ind w:left="2160" w:hanging="360"/>
      </w:pPr>
      <w:rPr>
        <w:color w:val="000099"/>
      </w:rPr>
    </w:lvl>
  </w:abstractNum>
  <w:abstractNum w:abstractNumId="4">
    <w:multiLevelType w:val="hybridMultilevel"/>
    <w:lvl w:ilvl="0">
      <w:start w:val="1"/>
      <w:numFmt w:val="lowerRoman"/>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2160" w:hanging="360"/>
      </w:pPr>
    </w:lvl>
  </w:abstractNum>
  <w:num w:numId="1" w16cid:durableId="305939933">
    <w:abstractNumId w:val="0"/>
  </w:num>
  <w:num w:numId="2" w16cid:durableId="2016149747">
    <w:abstractNumId w:val="1"/>
  </w:num>
  <w:num w:numId="3" w16cid:durableId="1914775445">
    <w:abstractNumId w:val="2"/>
  </w:num>
  <w:num w:numId="4">
    <w:abstractNumId w:val="3"/>
  </w:num>
  <w:num w:numId="5">
    <w:abstractNumId w:val="4"/>
  </w:num>
  <w:num w:numId="6">
    <w:abstractNumId w:val="4"/>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7"/>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0879"/>
    <w:rsid w:val="000A6351"/>
    <w:rsid w:val="001279DF"/>
    <w:rsid w:val="0018162B"/>
    <w:rsid w:val="001F6184"/>
    <w:rsid w:val="00341B65"/>
    <w:rsid w:val="003E3C19"/>
    <w:rsid w:val="004056C9"/>
    <w:rsid w:val="004840D8"/>
    <w:rsid w:val="004962CD"/>
    <w:rsid w:val="005F2DC1"/>
    <w:rsid w:val="00647809"/>
    <w:rsid w:val="006B17EB"/>
    <w:rsid w:val="006B6750"/>
    <w:rsid w:val="006E1665"/>
    <w:rsid w:val="007B0879"/>
    <w:rsid w:val="00802738"/>
    <w:rsid w:val="008A14BF"/>
    <w:rsid w:val="0093551D"/>
    <w:rsid w:val="0096408F"/>
    <w:rsid w:val="0099373D"/>
    <w:rsid w:val="009F101E"/>
    <w:rsid w:val="009F4DB8"/>
    <w:rsid w:val="00A218FC"/>
    <w:rsid w:val="00A5624E"/>
    <w:rsid w:val="00A9690B"/>
    <w:rsid w:val="00AD0410"/>
    <w:rsid w:val="00AD4564"/>
    <w:rsid w:val="00B2009A"/>
    <w:rsid w:val="00B31896"/>
    <w:rsid w:val="00B47CD9"/>
    <w:rsid w:val="00B56DDB"/>
    <w:rsid w:val="00C51B52"/>
    <w:rsid w:val="00CF39A3"/>
    <w:rsid w:val="00D852BB"/>
    <w:rsid w:val="00E32BFB"/>
    <w:rsid w:val="00E86454"/>
    <w:rsid w:val="00E90D74"/>
    <w:rsid w:val="00ED206E"/>
    <w:rsid w:val="00F367C1"/>
    <w:rsid w:val="00F85425"/>
    <w:rsid w:val="00FB2FE9"/>
    <w:rsid w:val="00FD6333"/>
    <w:rsid w:val="00FF3CC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92407E5"/>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lsdException w:name="heading 2" w:semiHidden="1" w:uiPriority="9" w:unhideWhenUsed="1"/>
    <w:lsdException w:name="heading 3" w:semiHidden="1" w:uiPriority="9" w:unhideWhenUsed="1"/>
    <w:lsdException w:name="heading 4" w:semiHidden="1" w:uiPriority="9" w:unhideWhenUsed="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F39A3"/>
    <w:pPr>
      <w:jc w:val="both"/>
    </w:pPr>
    <w:rPr>
      <w:rFonts w:ascii="Figtree" w:hAnsi="Figtree"/>
      <w:sz w:val="22"/>
    </w:rPr>
  </w:style>
  <w:style w:type="paragraph" w:styleId="Heading1">
    <w:name w:val="heading 1"/>
    <w:basedOn w:val="Normal"/>
    <w:next w:val="Normal"/>
    <w:link w:val="Heading1Char"/>
    <w:uiPriority w:val="9"/>
    <w:rsid w:val="00FD6333"/>
    <w:pPr>
      <w:keepNext/>
      <w:keepLines/>
      <w:numPr>
        <w:numId w:val="1"/>
      </w:numPr>
      <w:spacing w:before="360" w:after="80"/>
      <w:outlineLvl w:val="0"/>
    </w:pPr>
    <w:rPr>
      <w:rFonts w:asciiTheme="majorHAnsi" w:eastAsiaTheme="majorEastAsia" w:hAnsiTheme="majorHAnsi" w:cstheme="majorBidi"/>
      <w:color w:val="000072" w:themeColor="accent1" w:themeShade="BF"/>
      <w:sz w:val="40"/>
      <w:szCs w:val="40"/>
    </w:rPr>
  </w:style>
  <w:style w:type="paragraph" w:styleId="Heading2">
    <w:name w:val="heading 2"/>
    <w:basedOn w:val="Normal"/>
    <w:next w:val="Normal"/>
    <w:link w:val="Heading2Char"/>
    <w:uiPriority w:val="9"/>
    <w:unhideWhenUsed/>
    <w:rsid w:val="00FD6333"/>
    <w:pPr>
      <w:keepNext/>
      <w:keepLines/>
      <w:numPr>
        <w:ilvl w:val="1"/>
        <w:numId w:val="1"/>
      </w:numPr>
      <w:spacing w:before="160" w:after="80"/>
      <w:outlineLvl w:val="1"/>
    </w:pPr>
    <w:rPr>
      <w:rFonts w:asciiTheme="majorHAnsi" w:eastAsiaTheme="majorEastAsia" w:hAnsiTheme="majorHAnsi" w:cstheme="majorBidi"/>
      <w:color w:val="000072" w:themeColor="accent1" w:themeShade="BF"/>
      <w:sz w:val="32"/>
      <w:szCs w:val="32"/>
    </w:rPr>
  </w:style>
  <w:style w:type="paragraph" w:styleId="Heading3">
    <w:name w:val="heading 3"/>
    <w:basedOn w:val="Normal"/>
    <w:next w:val="Normal"/>
    <w:link w:val="Heading3Char"/>
    <w:uiPriority w:val="9"/>
    <w:unhideWhenUsed/>
    <w:rsid w:val="00FD6333"/>
    <w:pPr>
      <w:keepNext/>
      <w:keepLines/>
      <w:numPr>
        <w:ilvl w:val="2"/>
        <w:numId w:val="1"/>
      </w:numPr>
      <w:spacing w:before="160" w:after="80"/>
      <w:outlineLvl w:val="2"/>
    </w:pPr>
    <w:rPr>
      <w:rFonts w:eastAsiaTheme="majorEastAsia" w:cstheme="majorBidi"/>
      <w:color w:val="000072" w:themeColor="accent1" w:themeShade="BF"/>
      <w:sz w:val="28"/>
      <w:szCs w:val="28"/>
    </w:rPr>
  </w:style>
  <w:style w:type="paragraph" w:styleId="Heading4">
    <w:name w:val="heading 4"/>
    <w:basedOn w:val="Normal"/>
    <w:next w:val="Normal"/>
    <w:link w:val="Heading4Char"/>
    <w:uiPriority w:val="9"/>
    <w:unhideWhenUsed/>
    <w:rsid w:val="00FD6333"/>
    <w:pPr>
      <w:keepNext/>
      <w:keepLines/>
      <w:numPr>
        <w:ilvl w:val="3"/>
        <w:numId w:val="1"/>
      </w:numPr>
      <w:spacing w:before="80" w:after="40"/>
      <w:outlineLvl w:val="3"/>
    </w:pPr>
    <w:rPr>
      <w:rFonts w:eastAsiaTheme="majorEastAsia" w:cstheme="majorBidi"/>
      <w:i/>
      <w:iCs/>
      <w:color w:val="000072" w:themeColor="accent1" w:themeShade="BF"/>
    </w:rPr>
  </w:style>
  <w:style w:type="paragraph" w:styleId="Heading5">
    <w:name w:val="heading 5"/>
    <w:basedOn w:val="Normal"/>
    <w:next w:val="Normal"/>
    <w:link w:val="Heading5Char"/>
    <w:uiPriority w:val="9"/>
    <w:semiHidden/>
    <w:unhideWhenUsed/>
    <w:rsid w:val="00FD6333"/>
    <w:pPr>
      <w:keepNext/>
      <w:keepLines/>
      <w:spacing w:before="80" w:after="40"/>
      <w:outlineLvl w:val="4"/>
    </w:pPr>
    <w:rPr>
      <w:rFonts w:eastAsiaTheme="majorEastAsia" w:cstheme="majorBidi"/>
      <w:color w:val="000072" w:themeColor="accent1" w:themeShade="BF"/>
    </w:rPr>
  </w:style>
  <w:style w:type="paragraph" w:styleId="Heading6">
    <w:name w:val="heading 6"/>
    <w:basedOn w:val="Normal"/>
    <w:next w:val="Normal"/>
    <w:link w:val="Heading6Char"/>
    <w:uiPriority w:val="9"/>
    <w:semiHidden/>
    <w:unhideWhenUsed/>
    <w:qFormat/>
    <w:rsid w:val="00FD633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D633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D633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D633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D6333"/>
    <w:rPr>
      <w:rFonts w:asciiTheme="majorHAnsi" w:eastAsiaTheme="majorEastAsia" w:hAnsiTheme="majorHAnsi" w:cstheme="majorBidi"/>
      <w:color w:val="000072" w:themeColor="accent1" w:themeShade="BF"/>
      <w:sz w:val="40"/>
      <w:szCs w:val="40"/>
    </w:rPr>
  </w:style>
  <w:style w:type="character" w:customStyle="1" w:styleId="Heading2Char">
    <w:name w:val="Heading 2 Char"/>
    <w:basedOn w:val="DefaultParagraphFont"/>
    <w:link w:val="Heading2"/>
    <w:uiPriority w:val="9"/>
    <w:rsid w:val="00FD6333"/>
    <w:rPr>
      <w:rFonts w:asciiTheme="majorHAnsi" w:eastAsiaTheme="majorEastAsia" w:hAnsiTheme="majorHAnsi" w:cstheme="majorBidi"/>
      <w:color w:val="000072" w:themeColor="accent1" w:themeShade="BF"/>
      <w:sz w:val="32"/>
      <w:szCs w:val="32"/>
    </w:rPr>
  </w:style>
  <w:style w:type="character" w:customStyle="1" w:styleId="Heading3Char">
    <w:name w:val="Heading 3 Char"/>
    <w:basedOn w:val="DefaultParagraphFont"/>
    <w:link w:val="Heading3"/>
    <w:uiPriority w:val="9"/>
    <w:rsid w:val="00FD6333"/>
    <w:rPr>
      <w:rFonts w:eastAsiaTheme="majorEastAsia" w:cstheme="majorBidi"/>
      <w:color w:val="000072" w:themeColor="accent1" w:themeShade="BF"/>
      <w:sz w:val="28"/>
      <w:szCs w:val="28"/>
    </w:rPr>
  </w:style>
  <w:style w:type="character" w:customStyle="1" w:styleId="Heading4Char">
    <w:name w:val="Heading 4 Char"/>
    <w:basedOn w:val="DefaultParagraphFont"/>
    <w:link w:val="Heading4"/>
    <w:uiPriority w:val="9"/>
    <w:rsid w:val="00FD6333"/>
    <w:rPr>
      <w:rFonts w:eastAsiaTheme="majorEastAsia" w:cstheme="majorBidi"/>
      <w:i/>
      <w:iCs/>
      <w:color w:val="000072" w:themeColor="accent1" w:themeShade="BF"/>
    </w:rPr>
  </w:style>
  <w:style w:type="character" w:customStyle="1" w:styleId="Heading5Char">
    <w:name w:val="Heading 5 Char"/>
    <w:basedOn w:val="DefaultParagraphFont"/>
    <w:link w:val="Heading5"/>
    <w:uiPriority w:val="9"/>
    <w:semiHidden/>
    <w:rsid w:val="00FD6333"/>
    <w:rPr>
      <w:rFonts w:eastAsiaTheme="majorEastAsia" w:cstheme="majorBidi"/>
      <w:color w:val="000072" w:themeColor="accent1" w:themeShade="BF"/>
    </w:rPr>
  </w:style>
  <w:style w:type="character" w:customStyle="1" w:styleId="Heading6Char">
    <w:name w:val="Heading 6 Char"/>
    <w:basedOn w:val="DefaultParagraphFont"/>
    <w:link w:val="Heading6"/>
    <w:uiPriority w:val="9"/>
    <w:semiHidden/>
    <w:rsid w:val="00FD633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D633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D633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D6333"/>
    <w:rPr>
      <w:rFonts w:eastAsiaTheme="majorEastAsia" w:cstheme="majorBidi"/>
      <w:color w:val="272727" w:themeColor="text1" w:themeTint="D8"/>
    </w:rPr>
  </w:style>
  <w:style w:type="paragraph" w:styleId="Title">
    <w:name w:val="Title"/>
    <w:basedOn w:val="Normal"/>
    <w:next w:val="Normal"/>
    <w:link w:val="TitleChar"/>
    <w:uiPriority w:val="10"/>
    <w:rsid w:val="00FD633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D633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rsid w:val="00FD633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D633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rsid w:val="00FD6333"/>
    <w:pPr>
      <w:spacing w:before="160"/>
      <w:jc w:val="center"/>
    </w:pPr>
    <w:rPr>
      <w:i/>
      <w:iCs/>
      <w:color w:val="404040" w:themeColor="text1" w:themeTint="BF"/>
    </w:rPr>
  </w:style>
  <w:style w:type="character" w:customStyle="1" w:styleId="QuoteChar">
    <w:name w:val="Quote Char"/>
    <w:basedOn w:val="DefaultParagraphFont"/>
    <w:link w:val="Quote"/>
    <w:uiPriority w:val="29"/>
    <w:rsid w:val="00FD6333"/>
    <w:rPr>
      <w:i/>
      <w:iCs/>
      <w:color w:val="404040" w:themeColor="text1" w:themeTint="BF"/>
    </w:rPr>
  </w:style>
  <w:style w:type="paragraph" w:styleId="ListParagraph">
    <w:name w:val="List Paragraph"/>
    <w:basedOn w:val="Normal"/>
    <w:uiPriority w:val="34"/>
    <w:rsid w:val="00FD6333"/>
    <w:pPr>
      <w:ind w:left="720"/>
      <w:contextualSpacing/>
    </w:pPr>
  </w:style>
  <w:style w:type="character" w:styleId="IntenseEmphasis">
    <w:name w:val="Intense Emphasis"/>
    <w:basedOn w:val="DefaultParagraphFont"/>
    <w:uiPriority w:val="21"/>
    <w:rsid w:val="00FD6333"/>
    <w:rPr>
      <w:i/>
      <w:iCs/>
      <w:color w:val="000072" w:themeColor="accent1" w:themeShade="BF"/>
    </w:rPr>
  </w:style>
  <w:style w:type="paragraph" w:styleId="IntenseQuote">
    <w:name w:val="Intense Quote"/>
    <w:basedOn w:val="Normal"/>
    <w:next w:val="Normal"/>
    <w:link w:val="IntenseQuoteChar"/>
    <w:uiPriority w:val="30"/>
    <w:rsid w:val="00FD6333"/>
    <w:pPr>
      <w:pBdr>
        <w:top w:val="single" w:sz="4" w:space="10" w:color="000072" w:themeColor="accent1" w:themeShade="BF"/>
        <w:bottom w:val="single" w:sz="4" w:space="10" w:color="000072" w:themeColor="accent1" w:themeShade="BF"/>
      </w:pBdr>
      <w:spacing w:before="360" w:after="360"/>
      <w:ind w:left="864" w:right="864"/>
      <w:jc w:val="center"/>
    </w:pPr>
    <w:rPr>
      <w:i/>
      <w:iCs/>
      <w:color w:val="000072" w:themeColor="accent1" w:themeShade="BF"/>
    </w:rPr>
  </w:style>
  <w:style w:type="character" w:customStyle="1" w:styleId="IntenseQuoteChar">
    <w:name w:val="Intense Quote Char"/>
    <w:basedOn w:val="DefaultParagraphFont"/>
    <w:link w:val="IntenseQuote"/>
    <w:uiPriority w:val="30"/>
    <w:rsid w:val="00FD6333"/>
    <w:rPr>
      <w:i/>
      <w:iCs/>
      <w:color w:val="000072" w:themeColor="accent1" w:themeShade="BF"/>
    </w:rPr>
  </w:style>
  <w:style w:type="character" w:styleId="IntenseReference">
    <w:name w:val="Intense Reference"/>
    <w:basedOn w:val="DefaultParagraphFont"/>
    <w:uiPriority w:val="32"/>
    <w:rsid w:val="00FD6333"/>
    <w:rPr>
      <w:b/>
      <w:bCs/>
      <w:smallCaps/>
      <w:color w:val="000072" w:themeColor="accent1" w:themeShade="BF"/>
      <w:spacing w:val="5"/>
    </w:rPr>
  </w:style>
  <w:style w:type="paragraph" w:styleId="Header">
    <w:name w:val="header"/>
    <w:basedOn w:val="Normal"/>
    <w:link w:val="HeaderChar"/>
    <w:uiPriority w:val="99"/>
    <w:unhideWhenUsed/>
    <w:rsid w:val="00D852BB"/>
    <w:pPr>
      <w:tabs>
        <w:tab w:val="center" w:pos="4513"/>
        <w:tab w:val="right" w:pos="9026"/>
      </w:tabs>
      <w:spacing w:after="0" w:line="240" w:lineRule="auto"/>
    </w:pPr>
  </w:style>
  <w:style w:type="character" w:customStyle="1" w:styleId="HeaderChar">
    <w:name w:val="Header Char"/>
    <w:basedOn w:val="DefaultParagraphFont"/>
    <w:link w:val="Header"/>
    <w:uiPriority w:val="99"/>
    <w:rsid w:val="00D852BB"/>
  </w:style>
  <w:style w:type="paragraph" w:styleId="Footer">
    <w:name w:val="footer"/>
    <w:basedOn w:val="Normal"/>
    <w:link w:val="FooterChar"/>
    <w:uiPriority w:val="99"/>
    <w:unhideWhenUsed/>
    <w:rsid w:val="00D852BB"/>
    <w:pPr>
      <w:tabs>
        <w:tab w:val="center" w:pos="4513"/>
        <w:tab w:val="right" w:pos="9026"/>
      </w:tabs>
      <w:spacing w:after="0" w:line="240" w:lineRule="auto"/>
    </w:pPr>
  </w:style>
  <w:style w:type="character" w:customStyle="1" w:styleId="FooterChar">
    <w:name w:val="Footer Char"/>
    <w:basedOn w:val="DefaultParagraphFont"/>
    <w:link w:val="Footer"/>
    <w:uiPriority w:val="99"/>
    <w:rsid w:val="00D852BB"/>
  </w:style>
  <w:style w:type="paragraph" w:styleId="NoSpacing">
    <w:name w:val="No Spacing"/>
    <w:link w:val="NoSpacingChar"/>
    <w:uiPriority w:val="1"/>
    <w:qFormat/>
    <w:rsid w:val="001F6184"/>
    <w:pPr>
      <w:spacing w:after="0" w:line="240" w:lineRule="auto"/>
    </w:pPr>
    <w:rPr>
      <w:rFonts w:eastAsiaTheme="minorEastAsia"/>
      <w:kern w:val="0"/>
      <w:sz w:val="22"/>
      <w:szCs w:val="22"/>
      <w:lang w:val="en-US"/>
      <w14:ligatures w14:val="none"/>
    </w:rPr>
  </w:style>
  <w:style w:type="character" w:customStyle="1" w:styleId="NoSpacingChar">
    <w:name w:val="No Spacing Char"/>
    <w:basedOn w:val="DefaultParagraphFont"/>
    <w:link w:val="NoSpacing"/>
    <w:uiPriority w:val="1"/>
    <w:rsid w:val="001F6184"/>
    <w:rPr>
      <w:rFonts w:eastAsiaTheme="minorEastAsia"/>
      <w:kern w:val="0"/>
      <w:sz w:val="22"/>
      <w:szCs w:val="22"/>
      <w:lang w:val="en-US"/>
      <w14:ligatures w14:val="none"/>
    </w:rPr>
  </w:style>
  <w:style w:type="paragraph" w:customStyle="1" w:styleId="H1">
    <w:name w:val="H1"/>
    <w:basedOn w:val="Heading1"/>
    <w:link w:val="H1Char"/>
    <w:autoRedefine/>
    <w:qFormat/>
    <w:rsid w:val="000A6351"/>
    <w:pPr>
      <w:ind w:left="0" w:firstLine="0"/>
      <w:jc w:val="left"/>
    </w:pPr>
    <w:rPr>
      <w:rFonts w:ascii="Figtree" w:hAnsi="Figtree"/>
      <w:b/>
      <w:color w:val="000099"/>
      <w:sz w:val="32"/>
    </w:rPr>
  </w:style>
  <w:style w:type="character" w:customStyle="1" w:styleId="H1Char">
    <w:name w:val="H1 Char"/>
    <w:basedOn w:val="Heading1Char"/>
    <w:link w:val="H1"/>
    <w:rsid w:val="000A6351"/>
    <w:rPr>
      <w:rFonts w:ascii="Figtree" w:eastAsiaTheme="majorEastAsia" w:hAnsi="Figtree" w:cstheme="majorBidi"/>
      <w:b/>
      <w:color w:val="000099"/>
      <w:sz w:val="32"/>
      <w:szCs w:val="40"/>
    </w:rPr>
  </w:style>
  <w:style w:type="paragraph" w:customStyle="1" w:styleId="H2">
    <w:name w:val="H2"/>
    <w:basedOn w:val="Heading2"/>
    <w:link w:val="H2Char"/>
    <w:autoRedefine/>
    <w:qFormat/>
    <w:rsid w:val="000A6351"/>
    <w:pPr>
      <w:ind w:left="0" w:firstLine="0"/>
      <w:jc w:val="left"/>
    </w:pPr>
    <w:rPr>
      <w:rFonts w:ascii="Figtree" w:hAnsi="Figtree"/>
      <w:b/>
      <w:color w:val="000099"/>
      <w:sz w:val="28"/>
    </w:rPr>
  </w:style>
  <w:style w:type="character" w:customStyle="1" w:styleId="H2Char">
    <w:name w:val="H2 Char"/>
    <w:basedOn w:val="Heading2Char"/>
    <w:link w:val="H2"/>
    <w:rsid w:val="000A6351"/>
    <w:rPr>
      <w:rFonts w:ascii="Figtree" w:eastAsiaTheme="majorEastAsia" w:hAnsi="Figtree" w:cstheme="majorBidi"/>
      <w:b/>
      <w:color w:val="000099"/>
      <w:sz w:val="28"/>
      <w:szCs w:val="32"/>
    </w:rPr>
  </w:style>
  <w:style w:type="paragraph" w:customStyle="1" w:styleId="H3">
    <w:name w:val="H3"/>
    <w:basedOn w:val="Heading3"/>
    <w:link w:val="H3Char"/>
    <w:autoRedefine/>
    <w:qFormat/>
    <w:rsid w:val="000A6351"/>
    <w:pPr>
      <w:ind w:left="0" w:firstLine="0"/>
      <w:jc w:val="left"/>
    </w:pPr>
    <w:rPr>
      <w:rFonts w:ascii="Figtree" w:hAnsi="Figtree"/>
      <w:b/>
      <w:color w:val="000099"/>
      <w:sz w:val="24"/>
    </w:rPr>
  </w:style>
  <w:style w:type="character" w:customStyle="1" w:styleId="H3Char">
    <w:name w:val="H3 Char"/>
    <w:basedOn w:val="Heading3Char"/>
    <w:link w:val="H3"/>
    <w:rsid w:val="000A6351"/>
    <w:rPr>
      <w:rFonts w:ascii="Figtree" w:eastAsiaTheme="majorEastAsia" w:hAnsi="Figtree" w:cstheme="majorBidi"/>
      <w:b/>
      <w:color w:val="000099"/>
      <w:sz w:val="28"/>
      <w:szCs w:val="28"/>
    </w:rPr>
  </w:style>
  <w:style w:type="paragraph" w:customStyle="1" w:styleId="H4">
    <w:name w:val="H4"/>
    <w:basedOn w:val="Heading4"/>
    <w:link w:val="H4Char"/>
    <w:autoRedefine/>
    <w:qFormat/>
    <w:rsid w:val="000A6351"/>
    <w:pPr>
      <w:ind w:left="0" w:firstLine="0"/>
      <w:jc w:val="left"/>
    </w:pPr>
    <w:rPr>
      <w:rFonts w:ascii="Figtree" w:hAnsi="Figtree"/>
      <w:b/>
      <w:i w:val="0"/>
      <w:color w:val="000099"/>
    </w:rPr>
  </w:style>
  <w:style w:type="character" w:customStyle="1" w:styleId="H4Char">
    <w:name w:val="H4 Char"/>
    <w:basedOn w:val="Heading4Char"/>
    <w:link w:val="H4"/>
    <w:rsid w:val="000A6351"/>
    <w:rPr>
      <w:rFonts w:ascii="Figtree" w:eastAsiaTheme="majorEastAsia" w:hAnsi="Figtree" w:cstheme="majorBidi"/>
      <w:b/>
      <w:i w:val="0"/>
      <w:iCs/>
      <w:color w:val="000099"/>
    </w:rPr>
  </w:style>
  <w:style w:type="paragraph" w:styleId="TOCHeading">
    <w:name w:val="TOC Heading"/>
    <w:basedOn w:val="Heading1"/>
    <w:next w:val="Normal"/>
    <w:uiPriority w:val="39"/>
    <w:unhideWhenUsed/>
    <w:qFormat/>
    <w:rsid w:val="006B6750"/>
    <w:pPr>
      <w:numPr>
        <w:numId w:val="0"/>
      </w:numPr>
      <w:spacing w:before="240" w:after="0" w:line="259" w:lineRule="auto"/>
      <w:outlineLvl w:val="9"/>
    </w:pPr>
    <w:rPr>
      <w:kern w:val="0"/>
      <w:sz w:val="32"/>
      <w:szCs w:val="32"/>
      <w:lang w:val="en-US"/>
      <w14:ligatures w14:val="none"/>
    </w:rPr>
  </w:style>
  <w:style w:type="paragraph" w:styleId="TOC2">
    <w:name w:val="toc 2"/>
    <w:basedOn w:val="Normal"/>
    <w:next w:val="Normal"/>
    <w:autoRedefine/>
    <w:uiPriority w:val="39"/>
    <w:unhideWhenUsed/>
    <w:rsid w:val="006B6750"/>
    <w:pPr>
      <w:spacing w:after="100" w:line="259" w:lineRule="auto"/>
      <w:ind w:left="220"/>
    </w:pPr>
    <w:rPr>
      <w:rFonts w:eastAsiaTheme="minorEastAsia" w:cs="Times New Roman"/>
      <w:kern w:val="0"/>
      <w:sz w:val="22"/>
      <w:szCs w:val="22"/>
      <w:lang w:val="en-US"/>
      <w14:ligatures w14:val="none"/>
    </w:rPr>
  </w:style>
  <w:style w:type="paragraph" w:styleId="TOC1">
    <w:name w:val="toc 1"/>
    <w:basedOn w:val="Normal"/>
    <w:next w:val="Normal"/>
    <w:autoRedefine/>
    <w:uiPriority w:val="39"/>
    <w:unhideWhenUsed/>
    <w:rsid w:val="006B6750"/>
    <w:pPr>
      <w:spacing w:after="100" w:line="259" w:lineRule="auto"/>
    </w:pPr>
    <w:rPr>
      <w:rFonts w:eastAsiaTheme="minorEastAsia" w:cs="Times New Roman"/>
      <w:kern w:val="0"/>
      <w:sz w:val="22"/>
      <w:szCs w:val="22"/>
      <w:lang w:val="en-US"/>
      <w14:ligatures w14:val="none"/>
    </w:rPr>
  </w:style>
  <w:style w:type="paragraph" w:styleId="TOC3">
    <w:name w:val="toc 3"/>
    <w:basedOn w:val="Normal"/>
    <w:next w:val="Normal"/>
    <w:autoRedefine/>
    <w:uiPriority w:val="39"/>
    <w:unhideWhenUsed/>
    <w:rsid w:val="006B6750"/>
    <w:pPr>
      <w:spacing w:after="100" w:line="259" w:lineRule="auto"/>
      <w:ind w:left="440"/>
    </w:pPr>
    <w:rPr>
      <w:rFonts w:eastAsiaTheme="minorEastAsia" w:cs="Times New Roman"/>
      <w:kern w:val="0"/>
      <w:sz w:val="22"/>
      <w:szCs w:val="22"/>
      <w:lang w:val="en-US"/>
      <w14:ligatures w14:val="none"/>
    </w:rPr>
  </w:style>
  <w:style w:type="character" w:styleId="Hyperlink">
    <w:name w:val="Hyperlink"/>
    <w:basedOn w:val="DefaultParagraphFont"/>
    <w:uiPriority w:val="99"/>
    <w:unhideWhenUsed/>
    <w:rsid w:val="006B6750"/>
    <w:rPr>
      <w:color w:val="000048" w:themeColor="hyperlink"/>
      <w:u w:val="single"/>
    </w:rPr>
  </w:style>
  <w:style w:type="table" w:styleId="TableGrid">
    <w:name w:val="Table Grid"/>
    <w:basedOn w:val="TableNormal"/>
    <w:uiPriority w:val="39"/>
    <w:rsid w:val="00F8542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4962CD"/>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glossaryDocument" Target="glossary/document.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02F3537D4C677A4AAC856F674BAF4DF3"/>
        <w:category>
          <w:name w:val="General"/>
          <w:gallery w:val="placeholder"/>
        </w:category>
        <w:types>
          <w:type w:val="bbPlcHdr"/>
        </w:types>
        <w:behaviors>
          <w:behavior w:val="content"/>
        </w:behaviors>
        <w:guid w:val="{21C83031-79E6-8444-A272-10097DDD570D}"/>
      </w:docPartPr>
      <w:docPartBody>
        <w:p w:rsidR="00000000" w:rsidRDefault="00000000">
          <w:pPr>
            <w:pStyle w:val="02F3537D4C677A4AAC856F674BAF4DF3"/>
          </w:pPr>
          <w:r>
            <w:rPr>
              <w:color w:val="0F4761" w:themeColor="accent1" w:themeShade="BF"/>
            </w:rPr>
            <w:t>[Company name]</w:t>
          </w:r>
        </w:p>
      </w:docPartBody>
    </w:docPart>
    <w:docPart>
      <w:docPartPr>
        <w:name w:val="00F9803809315C46887E272E02859745"/>
        <w:category>
          <w:name w:val="General"/>
          <w:gallery w:val="placeholder"/>
        </w:category>
        <w:types>
          <w:type w:val="bbPlcHdr"/>
        </w:types>
        <w:behaviors>
          <w:behavior w:val="content"/>
        </w:behaviors>
        <w:guid w:val="{B11F9B95-38C3-7746-A0B8-DA6B55175233}"/>
      </w:docPartPr>
      <w:docPartBody>
        <w:p w:rsidR="00000000" w:rsidRDefault="00000000">
          <w:pPr>
            <w:pStyle w:val="00F9803809315C46887E272E02859745"/>
          </w:pPr>
          <w:r>
            <w:rPr>
              <w:rFonts w:asciiTheme="majorHAnsi" w:eastAsiaTheme="majorEastAsia" w:hAnsiTheme="majorHAnsi" w:cstheme="majorBidi"/>
              <w:color w:val="156082" w:themeColor="accent1"/>
              <w:sz w:val="88"/>
              <w:szCs w:val="88"/>
            </w:rPr>
            <w:t>[Document title]</w:t>
          </w:r>
        </w:p>
      </w:docPartBody>
    </w:docPart>
    <w:docPart>
      <w:docPartPr>
        <w:name w:val="0D460E9532679D4283311473F5C36932"/>
        <w:category>
          <w:name w:val="General"/>
          <w:gallery w:val="placeholder"/>
        </w:category>
        <w:types>
          <w:type w:val="bbPlcHdr"/>
        </w:types>
        <w:behaviors>
          <w:behavior w:val="content"/>
        </w:behaviors>
        <w:guid w:val="{D28655B3-928F-E644-BE5D-C357A9384B90}"/>
      </w:docPartPr>
      <w:docPartBody>
        <w:p w:rsidR="00000000" w:rsidRDefault="00000000">
          <w:pPr>
            <w:pStyle w:val="0D460E9532679D4283311473F5C36932"/>
          </w:pPr>
          <w:r>
            <w:rPr>
              <w:color w:val="0F4761" w:themeColor="accent1" w:themeShade="BF"/>
            </w:rPr>
            <w:t>[Document subtitle]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Figtree">
    <w:altName w:val="Calibri"/>
    <w:panose1 w:val="00000000000000000000"/>
    <w:charset w:val="00"/>
    <w:family w:val="auto"/>
    <w:notTrueType/>
    <w:pitch w:val="variable"/>
    <w:sig w:usb0="A000006F" w:usb1="0000007B" w:usb2="00000000" w:usb3="00000000" w:csb0="00000093"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0B91"/>
    <w:rsid w:val="00080B91"/>
    <w:rsid w:val="005F2DC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02F3537D4C677A4AAC856F674BAF4DF3">
    <w:name w:val="02F3537D4C677A4AAC856F674BAF4DF3"/>
  </w:style>
  <w:style w:type="paragraph" w:customStyle="1" w:styleId="00F9803809315C46887E272E02859745">
    <w:name w:val="00F9803809315C46887E272E02859745"/>
  </w:style>
  <w:style w:type="paragraph" w:customStyle="1" w:styleId="0D460E9532679D4283311473F5C36932">
    <w:name w:val="0D460E9532679D4283311473F5C36932"/>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SettleMint">
      <a:dk1>
        <a:sysClr val="windowText" lastClr="000000"/>
      </a:dk1>
      <a:lt1>
        <a:sysClr val="window" lastClr="FFFFFF"/>
      </a:lt1>
      <a:dk2>
        <a:srgbClr val="0E2841"/>
      </a:dk2>
      <a:lt2>
        <a:srgbClr val="E8E8E8"/>
      </a:lt2>
      <a:accent1>
        <a:srgbClr val="000099"/>
      </a:accent1>
      <a:accent2>
        <a:srgbClr val="0066FF"/>
      </a:accent2>
      <a:accent3>
        <a:srgbClr val="0000FF"/>
      </a:accent3>
      <a:accent4>
        <a:srgbClr val="0F9ED5"/>
      </a:accent4>
      <a:accent5>
        <a:srgbClr val="67EBCC"/>
      </a:accent5>
      <a:accent6>
        <a:srgbClr val="70FF9E"/>
      </a:accent6>
      <a:hlink>
        <a:srgbClr val="000048"/>
      </a:hlink>
      <a:folHlink>
        <a:srgbClr val="000017"/>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04310B7-8EAE-46C7-B490-25129E3B87E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Normal.dotx</Template>
  <TotalTime>0</TotalTime>
  <Pages>5</Pages>
  <Words>504</Words>
  <Characters>2877</Characters>
  <Application>Microsoft Office Word</Application>
  <DocSecurity>0</DocSecurity>
  <Lines>23</Lines>
  <Paragraphs>6</Paragraphs>
  <ScaleCrop>false</ScaleCrop>
  <Company/>
  <LinksUpToDate>false</LinksUpToDate>
  <CharactersWithSpaces>3375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Gyanendra Sharma</dc:creator>
  <cp:keywords/>
  <dc:description/>
  <cp:lastModifiedBy>Gyan Sharma</cp:lastModifiedBy>
  <cp:revision>1</cp:revision>
  <dcterms:created xsi:type="dcterms:W3CDTF">2026-03-13T17:24:00Z</dcterms:created>
  <dcterms:modified xsi:type="dcterms:W3CDTF">2026-03-13T17:24:00Z</dcterms:modified>
</cp:coreProperties>
</file>