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w:t>
          </w:r>
          <w:r>
            <w:tab/>
          </w:r>
          <w:r>
            <w:t xml:space="preserve">5</w:t>
          </w:r>
        </w:p>
        <w:p>
          <w:pPr>
            <w:pStyle w:val="TOC3"/>
            <w:tabs>
              <w:tab w:val="right" w:leader="dot" w:pos="9072"/>
            </w:tabs>
          </w:pPr>
          <w:r>
            <w:t xml:space="preserve">2.1 Cost of Current Approach</w:t>
          </w:r>
          <w:r>
            <w:tab/>
          </w:r>
          <w:r>
            <w:t xml:space="preserve">6</w:t>
          </w:r>
        </w:p>
        <w:p>
          <w:pPr>
            <w:pStyle w:val="TOC3"/>
            <w:tabs>
              <w:tab w:val="right" w:leader="dot" w:pos="9072"/>
            </w:tabs>
          </w:pPr>
          <w:r>
            <w:t xml:space="preserve">2.2 DALP Value Drivers</w:t>
          </w:r>
          <w:r>
            <w:tab/>
          </w:r>
          <w:r>
            <w:t xml:space="preserve">7</w:t>
          </w:r>
        </w:p>
        <w:p>
          <w:pPr>
            <w:pStyle w:val="TOC3"/>
            <w:tabs>
              <w:tab w:val="right" w:leader="dot" w:pos="9072"/>
            </w:tabs>
          </w:pPr>
          <w:r>
            <w:t xml:space="preserve">2.3 ROI</w:t>
          </w:r>
          <w:r>
            <w:tab/>
          </w:r>
          <w:r>
            <w:t xml:space="preserve">8</w:t>
          </w:r>
        </w:p>
        <w:p>
          <w:pPr>
            <w:pStyle w:val="TOC2"/>
            <w:tabs>
              <w:tab w:val="right" w:leader="dot" w:pos="9072"/>
            </w:tabs>
          </w:pPr>
          <w:r>
            <w:t xml:space="preserve">3. Licensing Model</w:t>
          </w:r>
          <w:r>
            <w:tab/>
          </w:r>
          <w:r>
            <w:t xml:space="preserve">9</w:t>
          </w:r>
        </w:p>
        <w:p>
          <w:pPr>
            <w:pStyle w:val="TOC3"/>
            <w:tabs>
              <w:tab w:val="right" w:leader="dot" w:pos="9072"/>
            </w:tabs>
          </w:pPr>
          <w:r>
            <w:t xml:space="preserve">3.1 Philosophy</w:t>
          </w:r>
          <w:r>
            <w:tab/>
          </w:r>
          <w:r>
            <w:t xml:space="preserve">10</w:t>
          </w:r>
        </w:p>
        <w:p>
          <w:pPr>
            <w:pStyle w:val="TOC3"/>
            <w:tabs>
              <w:tab w:val="right" w:leader="dot" w:pos="9072"/>
            </w:tabs>
          </w:pPr>
          <w:r>
            <w:t xml:space="preserve">3.2 Tiers</w:t>
          </w:r>
          <w:r>
            <w:tab/>
          </w:r>
          <w:r>
            <w:t xml:space="preserve">11</w:t>
          </w:r>
        </w:p>
        <w:p>
          <w:pPr>
            <w:pStyle w:val="TOC2"/>
            <w:tabs>
              <w:tab w:val="right" w:leader="dot" w:pos="9072"/>
            </w:tabs>
          </w:pPr>
          <w:r>
            <w:t xml:space="preserve">4. Deployment Options and Pricing</w:t>
          </w:r>
          <w:r>
            <w:tab/>
          </w:r>
          <w:r>
            <w:t xml:space="preserve">12</w:t>
          </w:r>
        </w:p>
        <w:p>
          <w:pPr>
            <w:pStyle w:val="TOC2"/>
            <w:tabs>
              <w:tab w:val="right" w:leader="dot" w:pos="9072"/>
            </w:tabs>
          </w:pPr>
          <w:r>
            <w:t xml:space="preserve">5. Support and SLA Framework</w:t>
          </w:r>
          <w:r>
            <w:tab/>
          </w:r>
          <w:r>
            <w:t xml:space="preserve">13</w:t>
          </w:r>
        </w:p>
        <w:p>
          <w:pPr>
            <w:pStyle w:val="TOC3"/>
            <w:tabs>
              <w:tab w:val="right" w:leader="dot" w:pos="9072"/>
            </w:tabs>
          </w:pPr>
          <w:r>
            <w:t xml:space="preserve">5.1 Enterprise Support (Recommended)</w:t>
          </w:r>
          <w:r>
            <w:tab/>
          </w:r>
          <w:r>
            <w:t xml:space="preserve">14</w:t>
          </w:r>
        </w:p>
        <w:p>
          <w:pPr>
            <w:pStyle w:val="TOC3"/>
            <w:tabs>
              <w:tab w:val="right" w:leader="dot" w:pos="9072"/>
            </w:tabs>
          </w:pPr>
          <w:r>
            <w:t xml:space="preserve">5.2 Severity Levels</w:t>
          </w:r>
          <w:r>
            <w:tab/>
          </w:r>
          <w:r>
            <w:t xml:space="preserve">15</w:t>
          </w:r>
        </w:p>
        <w:p>
          <w:pPr>
            <w:pStyle w:val="TOC2"/>
            <w:tabs>
              <w:tab w:val="right" w:leader="dot" w:pos="9072"/>
            </w:tabs>
          </w:pPr>
          <w:r>
            <w:t xml:space="preserve">6. Implementation Investment</w:t>
          </w:r>
          <w:r>
            <w:tab/>
          </w:r>
          <w:r>
            <w:t xml:space="preserve">16</w:t>
          </w:r>
        </w:p>
        <w:p>
          <w:pPr>
            <w:pStyle w:val="TOC2"/>
            <w:tabs>
              <w:tab w:val="right" w:leader="dot" w:pos="9072"/>
            </w:tabs>
          </w:pPr>
          <w:r>
            <w:t xml:space="preserve">7. Total Cost of Ownership</w:t>
          </w:r>
          <w:r>
            <w:tab/>
          </w:r>
          <w:r>
            <w:t xml:space="preserve">17</w:t>
          </w:r>
        </w:p>
        <w:p>
          <w:pPr>
            <w:pStyle w:val="TOC3"/>
            <w:tabs>
              <w:tab w:val="right" w:leader="dot" w:pos="9072"/>
            </w:tabs>
          </w:pPr>
          <w:r>
            <w:t xml:space="preserve">7.1 Three-Year TCO</w:t>
          </w:r>
          <w:r>
            <w:tab/>
          </w:r>
          <w:r>
            <w:t xml:space="preserve">18</w:t>
          </w:r>
        </w:p>
        <w:p>
          <w:pPr>
            <w:pStyle w:val="TOC3"/>
            <w:tabs>
              <w:tab w:val="right" w:leader="dot" w:pos="9072"/>
            </w:tabs>
          </w:pPr>
          <w:r>
            <w:t xml:space="preserve">7.2 Five-Year Model</w:t>
          </w:r>
          <w:r>
            <w:tab/>
          </w:r>
          <w:r>
            <w:t xml:space="preserve">19</w:t>
          </w:r>
        </w:p>
        <w:p>
          <w:pPr>
            <w:pStyle w:val="TOC3"/>
            <w:tabs>
              <w:tab w:val="right" w:leader="dot" w:pos="9072"/>
            </w:tabs>
          </w:pPr>
          <w:r>
            <w:t xml:space="preserve">7.3 Build vs. DALP</w:t>
          </w:r>
          <w:r>
            <w:tab/>
          </w:r>
          <w:r>
            <w:t xml:space="preserve">20</w:t>
          </w:r>
        </w:p>
        <w:p>
          <w:pPr>
            <w:pStyle w:val="TOC2"/>
            <w:tabs>
              <w:tab w:val="right" w:leader="dot" w:pos="9072"/>
            </w:tabs>
          </w:pPr>
          <w:r>
            <w:t xml:space="preserve">8. Commercial Terms</w:t>
          </w:r>
          <w:r>
            <w:tab/>
          </w:r>
          <w:r>
            <w:t xml:space="preserve">21</w:t>
          </w:r>
        </w:p>
        <w:p>
          <w:pPr>
            <w:pStyle w:val="TOC3"/>
            <w:tabs>
              <w:tab w:val="right" w:leader="dot" w:pos="9072"/>
            </w:tabs>
          </w:pPr>
          <w:r>
            <w:t xml:space="preserve">8.1 Contract Structure</w:t>
          </w:r>
          <w:r>
            <w:tab/>
          </w:r>
          <w:r>
            <w:t xml:space="preserve">22</w:t>
          </w:r>
        </w:p>
        <w:p>
          <w:pPr>
            <w:pStyle w:val="TOC3"/>
            <w:tabs>
              <w:tab w:val="right" w:leader="dot" w:pos="9072"/>
            </w:tabs>
          </w:pPr>
          <w:r>
            <w:t xml:space="preserve">8.2 Payment Schedule</w:t>
          </w:r>
          <w:r>
            <w:tab/>
          </w:r>
          <w:r>
            <w:t xml:space="preserve">23</w:t>
          </w:r>
        </w:p>
        <w:p>
          <w:pPr>
            <w:pStyle w:val="TOC3"/>
            <w:tabs>
              <w:tab w:val="right" w:leader="dot" w:pos="9072"/>
            </w:tabs>
          </w:pPr>
          <w:r>
            <w:t xml:space="preserve">8.3 Multi-Entity Extension</w:t>
          </w:r>
          <w:r>
            <w:tab/>
          </w:r>
          <w:r>
            <w:t xml:space="preserve">24</w:t>
          </w:r>
        </w:p>
        <w:p>
          <w:pPr>
            <w:pStyle w:val="TOC3"/>
            <w:tabs>
              <w:tab w:val="right" w:leader="dot" w:pos="9072"/>
            </w:tabs>
          </w:pPr>
          <w:r>
            <w:t xml:space="preserve">8.4 IP and Data</w:t>
          </w:r>
          <w:r>
            <w:tab/>
          </w:r>
          <w:r>
            <w:t xml:space="preserve">25</w:t>
          </w:r>
        </w:p>
        <w:p>
          <w:pPr>
            <w:pStyle w:val="TOC3"/>
            <w:tabs>
              <w:tab w:val="right" w:leader="dot" w:pos="9072"/>
            </w:tabs>
          </w:pPr>
          <w:r>
            <w:t xml:space="preserve">8.5 Exit</w:t>
          </w:r>
          <w:r>
            <w:tab/>
          </w:r>
          <w:r>
            <w:t xml:space="preserve">26</w:t>
          </w:r>
        </w:p>
        <w:p>
          <w:pPr>
            <w:pStyle w:val="TOC2"/>
            <w:tabs>
              <w:tab w:val="right" w:leader="dot" w:pos="9072"/>
            </w:tabs>
          </w:pPr>
          <w:r>
            <w:t xml:space="preserve">9. Reference Clients</w:t>
          </w:r>
          <w:r>
            <w:tab/>
          </w:r>
          <w:r>
            <w:t xml:space="preserve">27</w:t>
          </w:r>
        </w:p>
        <w:p>
          <w:pPr>
            <w:pStyle w:val="TOC2"/>
            <w:tabs>
              <w:tab w:val="right" w:leader="dot" w:pos="9072"/>
            </w:tabs>
          </w:pPr>
          <w:r>
            <w:t xml:space="preserve">10. Next Steps</w:t>
          </w:r>
          <w:r>
            <w:tab/>
          </w:r>
          <w:r>
            <w:t xml:space="preserve">28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Euroclear SA/NV</w:t>
      </w:r>
    </w:p>
    <w:p>
      <w:r>
        <w:rPr>
          <w:rFonts w:ascii="Figtree" w:hAnsi="Figtree"/>
          <w:b/>
          <w:i w:val="0"/>
          <w:sz w:val="22"/>
        </w:rPr>
        <w:t>Document Title:</w:t>
      </w:r>
      <w:r>
        <w:rPr>
          <w:rFonts w:ascii="Figtree" w:hAnsi="Figtree"/>
          <w:b w:val="0"/>
          <w:i w:val="0"/>
          <w:sz w:val="22"/>
        </w:rPr>
        <w:t xml:space="preserve"> Commercial Proposal: Digital Securities Settlement Infrastructure</w:t>
      </w:r>
    </w:p>
    <w:p>
      <w:r>
        <w:rPr>
          <w:rFonts w:ascii="Figtree" w:hAnsi="Figtree"/>
          <w:b/>
          <w:i w:val="0"/>
          <w:sz w:val="22"/>
        </w:rPr>
        <w:t>RFP Reference:</w:t>
      </w:r>
      <w:r>
        <w:rPr>
          <w:rFonts w:ascii="Figtree" w:hAnsi="Figtree"/>
          <w:b w:val="0"/>
          <w:i w:val="0"/>
          <w:sz w:val="22"/>
        </w:rPr>
        <w:t xml:space="preserve"> EUROCLEAR-RFP-202603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Euroclear's digital securities settlement programme requires infrastructure where settlement finality is non-negotiable, DvP atomicity is guaranteed, and reconciliation with legacy book-entry is continuous. As the world's largest ICSD, Euroclear cannot operate a settlement system that creates uncertainty about whether a trade has settled. CSDR's penalty regime makes settlement failures immediately financially consequential. DORA's resilience requirements mandate tested recovery across all relevant failure scenarios.</w:t>
      </w:r>
    </w:p>
    <w:p>
      <w:r>
        <w:rPr>
          <w:rFonts w:ascii="Figtree" w:hAnsi="Figtree"/>
          <w:b w:val="0"/>
          <w:i w:val="0"/>
          <w:sz w:val="22"/>
        </w:rPr>
        <w:t>The commercial decision is whether to build the DvP settlement engine, settlement finality mechanism, and reconciliation architecture internally, assemble it from multiple vendors, or adopt a platform with production-proven settlement finality at comparable infrastructure scale.</w:t>
      </w:r>
    </w:p>
    <w:p>
      <w:r>
        <w:rPr>
          <w:rFonts w:ascii="Figtree" w:hAnsi="Figtree"/>
          <w:b w:val="0"/>
          <w:i w:val="0"/>
          <w:sz w:val="22"/>
        </w:rPr>
        <w:t>DALP's XvP addon, IBFT 2.0 consensus architecture, and durable execution engine are the specific capabilities that address Euroclear's settlement certainty requirements. These are not generic blockchain features; they are the combination of on-chain atomicity, immediate consensus finality, and workflow durability that makes digital securities settlement operationally trustworthy.</w:t>
      </w:r>
    </w:p>
    <w:p>
      <w:r>
        <w:rPr>
          <w:rFonts w:ascii="Figtree" w:hAnsi="Figtree"/>
          <w:b/>
          <w:i w:val="0"/>
          <w:sz w:val="22"/>
        </w:rPr>
        <w:t>Recommended profile:</w:t>
      </w:r>
    </w:p>
    <w:p>
      <w:pPr>
        <w:pStyle w:val="ListParagraph"/>
        <w:numPr>
          <w:ilvl w:val="0"/>
          <w:numId w:val="4"/>
        </w:numPr>
      </w:pPr>
      <w:r>
        <w:rPr>
          <w:rFonts w:ascii="Figtree" w:hAnsi="Figtree"/>
          <w:b w:val="0"/>
          <w:i w:val="0"/>
          <w:sz w:val="22"/>
        </w:rPr>
        <w:t>License tier: Sovereign (ICSD-scale governance controls; cross-CSD extension path)</w:t>
      </w:r>
    </w:p>
    <w:p>
      <w:pPr>
        <w:pStyle w:val="ListParagraph"/>
        <w:numPr>
          <w:ilvl w:val="0"/>
          <w:numId w:val="4"/>
        </w:numPr>
      </w:pPr>
      <w:r>
        <w:rPr>
          <w:rFonts w:ascii="Figtree" w:hAnsi="Figtree"/>
          <w:b w:val="0"/>
          <w:i w:val="0"/>
          <w:sz w:val="22"/>
        </w:rPr>
        <w:t>Deployment: Private Cloud (Belgium/EU region)</w:t>
      </w:r>
    </w:p>
    <w:p>
      <w:pPr>
        <w:pStyle w:val="ListParagraph"/>
        <w:numPr>
          <w:ilvl w:val="0"/>
          <w:numId w:val="4"/>
        </w:numPr>
      </w:pPr>
      <w:r>
        <w:rPr>
          <w:rFonts w:ascii="Figtree" w:hAnsi="Figtree"/>
          <w:b w:val="0"/>
          <w:i w:val="0"/>
          <w:sz w:val="22"/>
        </w:rPr>
        <w:t>Implementation: Fixed-price, 32-week delivery including TARGET2 integration and parallel run</w:t>
      </w:r>
    </w:p>
    <w:p>
      <w:pPr>
        <w:pStyle w:val="ListParagraph"/>
        <w:numPr>
          <w:ilvl w:val="0"/>
          <w:numId w:val="4"/>
        </w:numPr>
      </w:pPr>
      <w:r>
        <w:rPr>
          <w:rFonts w:ascii="Figtree" w:hAnsi="Figtree"/>
          <w:b w:val="0"/>
          <w:i w:val="0"/>
          <w:sz w:val="22"/>
        </w:rPr>
        <w:t>Support: Enterprise (24/7, DORA/CSDR aligned, dedicated SRE)</w:t>
      </w:r>
    </w:p>
    <w:p>
      <w:r>
        <w:rPr>
          <w:rFonts w:ascii="Figtree" w:hAnsi="Figtree"/>
          <w:b/>
          <w:i w:val="0"/>
          <w:sz w:val="22"/>
        </w:rPr>
        <w:t>Indicative 3-year investment:</w:t>
      </w:r>
      <w:r>
        <w:rPr>
          <w:rFonts w:ascii="Figtree" w:hAnsi="Figtree"/>
          <w:b w:val="0"/>
          <w:i w:val="0"/>
          <w:sz w:val="22"/>
        </w:rPr>
        <w:t xml:space="preserve"> EUR [CLIENT-SPECIFIC: ~7M-12M] total. Build-from-scratch estimate: EUR 18-30M+ over 30-36 months.</w:t>
      </w:r>
    </w:p>
    <w:p>
      <w:r>
        <w:br w:type="page"/>
      </w:r>
    </w:p>
    <w:p>
      <w:pPr>
        <w:pStyle w:val="H2"/>
        <w:numPr>
          <w:ilvl w:val="1"/>
          <w:numId w:val="1"/>
        </w:numPr>
      </w:pPr>
      <w:r>
        <w:t>2. Investment Rationale</w:t>
      </w:r>
    </w:p>
    <w:p>
      <w:pPr>
        <w:pStyle w:val="H3"/>
        <w:numPr>
          <w:ilvl w:val="2"/>
          <w:numId w:val="1"/>
        </w:numPr>
      </w:pPr>
      <w:r>
        <w:t>2.1 Cost of Current Approach</w:t>
      </w:r>
    </w:p>
    <w:p>
      <w:r>
        <w:rPr>
          <w:rFonts w:ascii="Figtree" w:hAnsi="Figtree"/>
          <w:b/>
          <w:i w:val="0"/>
          <w:sz w:val="22"/>
        </w:rPr>
        <w:t>Build path estimate:</w:t>
      </w:r>
      <w:r>
        <w:rPr>
          <w:rFonts w:ascii="Figtree" w:hAnsi="Figtree"/>
          <w:b w:val="0"/>
          <w:i w:val="0"/>
          <w:sz w:val="22"/>
        </w:rPr>
        <w:t xml:space="preserve"> EUR 18-30M+ over 30-36 months:</w:t>
      </w:r>
    </w:p>
    <w:p>
      <w:pPr>
        <w:pStyle w:val="ListParagraph"/>
        <w:numPr>
          <w:ilvl w:val="0"/>
          <w:numId w:val="4"/>
        </w:numPr>
      </w:pPr>
      <w:r>
        <w:rPr>
          <w:rFonts w:ascii="Figtree" w:hAnsi="Figtree"/>
          <w:b w:val="0"/>
          <w:i w:val="0"/>
          <w:sz w:val="22"/>
        </w:rPr>
        <w:t>DvP atomic settlement engine: 8-10 FTE, 24 months</w:t>
      </w:r>
    </w:p>
    <w:p>
      <w:pPr>
        <w:pStyle w:val="ListParagraph"/>
        <w:numPr>
          <w:ilvl w:val="0"/>
          <w:numId w:val="4"/>
        </w:numPr>
      </w:pPr>
      <w:r>
        <w:rPr>
          <w:rFonts w:ascii="Figtree" w:hAnsi="Figtree"/>
          <w:b w:val="0"/>
          <w:i w:val="0"/>
          <w:sz w:val="22"/>
        </w:rPr>
        <w:t>IBFT 2.0 finality layer: 4-6 FTE, 18 months</w:t>
      </w:r>
    </w:p>
    <w:p>
      <w:pPr>
        <w:pStyle w:val="ListParagraph"/>
        <w:numPr>
          <w:ilvl w:val="0"/>
          <w:numId w:val="4"/>
        </w:numPr>
      </w:pPr>
      <w:r>
        <w:rPr>
          <w:rFonts w:ascii="Figtree" w:hAnsi="Figtree"/>
          <w:b w:val="0"/>
          <w:i w:val="0"/>
          <w:sz w:val="22"/>
        </w:rPr>
        <w:t>Settlement instruction lifecycle management: 4-5 FTE, 15 months</w:t>
      </w:r>
    </w:p>
    <w:p>
      <w:pPr>
        <w:pStyle w:val="ListParagraph"/>
        <w:numPr>
          <w:ilvl w:val="0"/>
          <w:numId w:val="4"/>
        </w:numPr>
      </w:pPr>
      <w:r>
        <w:rPr>
          <w:rFonts w:ascii="Figtree" w:hAnsi="Figtree"/>
          <w:b w:val="0"/>
          <w:i w:val="0"/>
          <w:sz w:val="22"/>
        </w:rPr>
        <w:t>TARGET2/CREST integration: 4-6 FTE, 15 months</w:t>
      </w:r>
    </w:p>
    <w:p>
      <w:pPr>
        <w:pStyle w:val="ListParagraph"/>
        <w:numPr>
          <w:ilvl w:val="0"/>
          <w:numId w:val="4"/>
        </w:numPr>
      </w:pPr>
      <w:r>
        <w:rPr>
          <w:rFonts w:ascii="Figtree" w:hAnsi="Figtree"/>
          <w:b w:val="0"/>
          <w:i w:val="0"/>
          <w:sz w:val="22"/>
        </w:rPr>
        <w:t>Corporate action engine: 3-4 FTE, 12 months</w:t>
      </w:r>
    </w:p>
    <w:p>
      <w:pPr>
        <w:pStyle w:val="ListParagraph"/>
        <w:numPr>
          <w:ilvl w:val="0"/>
          <w:numId w:val="4"/>
        </w:numPr>
      </w:pPr>
      <w:r>
        <w:rPr>
          <w:rFonts w:ascii="Figtree" w:hAnsi="Figtree"/>
          <w:b w:val="0"/>
          <w:i w:val="0"/>
          <w:sz w:val="22"/>
        </w:rPr>
        <w:t>CSDR reporting integration: 3-4 FTE, 12 months</w:t>
      </w:r>
    </w:p>
    <w:p>
      <w:pPr>
        <w:pStyle w:val="ListParagraph"/>
        <w:numPr>
          <w:ilvl w:val="0"/>
          <w:numId w:val="4"/>
        </w:numPr>
      </w:pPr>
      <w:r>
        <w:rPr>
          <w:rFonts w:ascii="Figtree" w:hAnsi="Figtree"/>
          <w:b w:val="0"/>
          <w:i w:val="0"/>
          <w:sz w:val="22"/>
        </w:rPr>
        <w:t>DORA/CSDR compliance documentation: 2-3 FTE, 9 months</w:t>
      </w:r>
    </w:p>
    <w:p>
      <w:r>
        <w:rPr>
          <w:rFonts w:ascii="Figtree" w:hAnsi="Figtree"/>
          <w:b/>
          <w:i w:val="0"/>
          <w:sz w:val="22"/>
        </w:rPr>
        <w:t>Critical build risk:</w:t>
      </w:r>
      <w:r>
        <w:rPr>
          <w:rFonts w:ascii="Figtree" w:hAnsi="Figtree"/>
          <w:b w:val="0"/>
          <w:i w:val="0"/>
          <w:sz w:val="22"/>
        </w:rPr>
        <w:t xml:space="preserve"> Settlement finality is not achieved by engineering alone. It requires a consensus mechanism (IBFT 2.0 or equivalent) proven in production across infrastructure failures, network partitions, and peak load scenarios. Building and validating this from scratch requires operational experience that cannot be compressed.</w:t>
      </w:r>
    </w:p>
    <w:p>
      <w:r>
        <w:rPr>
          <w:rFonts w:ascii="Figtree" w:hAnsi="Figtree"/>
          <w:b/>
          <w:i w:val="0"/>
          <w:sz w:val="22"/>
        </w:rPr>
        <w:t>Multi-vendor risk:</w:t>
      </w:r>
      <w:r>
        <w:rPr>
          <w:rFonts w:ascii="Figtree" w:hAnsi="Figtree"/>
          <w:b w:val="0"/>
          <w:i w:val="0"/>
          <w:sz w:val="22"/>
        </w:rPr>
        <w:t xml:space="preserve"> CSDR's settlement discipline imposes penalties on Euroclear for settlement failures. Multi-vendor assembly creates incident accountability gaps: who owns a DvP failure when the delivery engine is one vendor, the payment interface is another, and the reconciliation system is a third? DALP provides unified accountability for the settlement layer.</w:t>
      </w:r>
    </w:p>
    <w:p>
      <w:pPr>
        <w:pStyle w:val="H3"/>
        <w:numPr>
          <w:ilvl w:val="2"/>
          <w:numId w:val="1"/>
        </w:numPr>
      </w:pPr>
      <w:r>
        <w:t>2.2 DALP Value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19"/>
        <w:gridCol w:w="1148"/>
        <w:gridCol w:w="39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XvP atomic DvP settlement</w:t>
            </w:r>
          </w:p>
        </w:tc>
        <w:tc>
          <w:tcPr>
            <w:tcW w:type="dxa" w:w="3249"/>
            <w:vAlign w:val="center"/>
          </w:tcPr>
          <w:p>
            <w:pPr>
              <w:spacing w:line="276" w:lineRule="auto" w:before="0" w:after="0"/>
            </w:pPr>
            <w:r/>
            <w:r>
              <w:rPr>
                <w:rFonts w:ascii="Figtree" w:hAnsi="Figtree"/>
                <w:b w:val="0"/>
                <w:i w:val="0"/>
                <w:sz w:val="20"/>
              </w:rPr>
              <w:t>EUR 5-8M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IBFT 2.0 finality layer</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Settlement instruction lifecycle</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TARGET2/CREST integration framework</w:t>
            </w:r>
          </w:p>
        </w:tc>
        <w:tc>
          <w:tcPr>
            <w:tcW w:type="dxa" w:w="3249"/>
            <w:vAlign w:val="center"/>
          </w:tcPr>
          <w:p>
            <w:pPr>
              <w:spacing w:line="276" w:lineRule="auto" w:before="0" w:after="0"/>
            </w:pPr>
            <w:r/>
            <w:r>
              <w:rPr>
                <w:rFonts w:ascii="Figtree" w:hAnsi="Figtree"/>
                <w:b w:val="0"/>
                <w:i w:val="0"/>
                <w:sz w:val="20"/>
              </w:rPr>
              <w:t>EUR 3-5M</w:t>
            </w:r>
          </w:p>
        </w:tc>
        <w:tc>
          <w:tcPr>
            <w:tcW w:type="dxa" w:w="3249"/>
            <w:vAlign w:val="center"/>
          </w:tcPr>
          <w:p>
            <w:pPr>
              <w:spacing w:line="276" w:lineRule="auto" w:before="0" w:after="0"/>
            </w:pPr>
            <w:r/>
            <w:r>
              <w:rPr>
                <w:rFonts w:ascii="Figtree" w:hAnsi="Figtree"/>
                <w:b w:val="0"/>
                <w:i w:val="0"/>
                <w:sz w:val="20"/>
              </w:rPr>
              <w:t>REST API contract + adapter</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EUR 2-4M</w:t>
            </w:r>
          </w:p>
        </w:tc>
        <w:tc>
          <w:tcPr>
            <w:tcW w:type="dxa" w:w="3249"/>
            <w:vAlign w:val="center"/>
          </w:tcPr>
          <w:p>
            <w:pPr>
              <w:spacing w:line="276" w:lineRule="auto" w:before="0" w:after="0"/>
            </w:pPr>
            <w:r/>
            <w:r>
              <w:rPr>
                <w:rFonts w:ascii="Figtree" w:hAnsi="Figtree"/>
                <w:b w:val="0"/>
                <w:i w:val="0"/>
                <w:sz w:val="20"/>
              </w:rPr>
              <w:t>Included: yield, airdrop, maturity</w:t>
            </w:r>
          </w:p>
        </w:tc>
      </w:tr>
      <w:tr>
        <w:trPr>
          <w:trHeight w:val="425" w:hRule="atLeast"/>
        </w:trPr>
        <w:tc>
          <w:tcPr>
            <w:tcW w:type="dxa" w:w="3249"/>
            <w:vAlign w:val="center"/>
          </w:tcPr>
          <w:p>
            <w:pPr>
              <w:spacing w:line="276" w:lineRule="auto" w:before="0" w:after="0"/>
            </w:pPr>
            <w:r/>
            <w:r>
              <w:rPr>
                <w:rFonts w:ascii="Figtree" w:hAnsi="Figtree"/>
                <w:b w:val="0"/>
                <w:i w:val="0"/>
                <w:sz w:val="20"/>
              </w:rPr>
              <w:t>DORA/CSDR compliance documentation</w:t>
            </w:r>
          </w:p>
        </w:tc>
        <w:tc>
          <w:tcPr>
            <w:tcW w:type="dxa" w:w="3249"/>
            <w:vAlign w:val="center"/>
          </w:tcPr>
          <w:p>
            <w:pPr>
              <w:spacing w:line="276" w:lineRule="auto" w:before="0" w:after="0"/>
            </w:pPr>
            <w:r/>
            <w:r>
              <w:rPr>
                <w:rFonts w:ascii="Figtree" w:hAnsi="Figtree"/>
                <w:b w:val="0"/>
                <w:i w:val="0"/>
                <w:sz w:val="20"/>
              </w:rPr>
              <w:t>EUR 1-2M</w:t>
            </w:r>
          </w:p>
        </w:tc>
        <w:tc>
          <w:tcPr>
            <w:tcW w:type="dxa" w:w="3249"/>
            <w:vAlign w:val="center"/>
          </w:tcPr>
          <w:p>
            <w:pPr>
              <w:spacing w:line="276" w:lineRule="auto" w:before="0" w:after="0"/>
            </w:pPr>
            <w:r/>
            <w:r>
              <w:rPr>
                <w:rFonts w:ascii="Figtree" w:hAnsi="Figtree"/>
                <w:b w:val="0"/>
                <w:i w:val="0"/>
                <w:sz w:val="20"/>
              </w:rPr>
              <w:t>Pre-documented</w:t>
            </w:r>
          </w:p>
        </w:tc>
      </w:tr>
    </w:tbl>
    <w:p>
      <w:pPr>
        <w:spacing w:before="0" w:after="0" w:line="120" w:lineRule="exact"/>
      </w:pPr>
    </w:p>
    <w:p>
      <w:pPr>
        <w:pStyle w:val="H3"/>
        <w:numPr>
          <w:ilvl w:val="2"/>
          <w:numId w:val="1"/>
        </w:numPr>
      </w:pPr>
      <w:r>
        <w:t>2.3 ROI</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4"/>
        <w:gridCol w:w="61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4873"/>
            <w:vAlign w:val="center"/>
          </w:tcPr>
          <w:p>
            <w:pPr>
              <w:spacing w:line="276" w:lineRule="auto" w:before="0" w:after="0"/>
            </w:pPr>
            <w:r/>
            <w:r>
              <w:rPr>
                <w:rFonts w:ascii="Figtree" w:hAnsi="Figtree"/>
                <w:b w:val="0"/>
                <w:i w:val="0"/>
                <w:sz w:val="20"/>
              </w:rPr>
              <w:t>Build cost avoided</w:t>
            </w:r>
          </w:p>
        </w:tc>
        <w:tc>
          <w:tcPr>
            <w:tcW w:type="dxa" w:w="4873"/>
            <w:vAlign w:val="center"/>
          </w:tcPr>
          <w:p>
            <w:pPr>
              <w:spacing w:line="276" w:lineRule="auto" w:before="0" w:after="0"/>
            </w:pPr>
            <w:r/>
            <w:r>
              <w:rPr>
                <w:rFonts w:ascii="Figtree" w:hAnsi="Figtree"/>
                <w:b w:val="0"/>
                <w:i w:val="0"/>
                <w:sz w:val="20"/>
              </w:rPr>
              <w:t>EUR 18-30M over 30-36 months</w:t>
            </w:r>
          </w:p>
        </w:tc>
      </w:tr>
      <w:tr>
        <w:trPr>
          <w:trHeight w:val="425" w:hRule="atLeast"/>
        </w:trPr>
        <w:tc>
          <w:tcPr>
            <w:tcW w:type="dxa" w:w="4873"/>
            <w:vAlign w:val="center"/>
          </w:tcPr>
          <w:p>
            <w:pPr>
              <w:spacing w:line="276" w:lineRule="auto" w:before="0" w:after="0"/>
            </w:pPr>
            <w:r/>
            <w:r>
              <w:rPr>
                <w:rFonts w:ascii="Figtree" w:hAnsi="Figtree"/>
                <w:b w:val="0"/>
                <w:i w:val="0"/>
                <w:sz w:val="20"/>
              </w:rPr>
              <w:t>CSDR penalty avoidance</w:t>
            </w:r>
          </w:p>
        </w:tc>
        <w:tc>
          <w:tcPr>
            <w:tcW w:type="dxa" w:w="4873"/>
            <w:vAlign w:val="center"/>
          </w:tcPr>
          <w:p>
            <w:pPr>
              <w:spacing w:line="276" w:lineRule="auto" w:before="0" w:after="0"/>
            </w:pPr>
            <w:r/>
            <w:r>
              <w:rPr>
                <w:rFonts w:ascii="Figtree" w:hAnsi="Figtree"/>
                <w:b w:val="0"/>
                <w:i w:val="0"/>
                <w:sz w:val="20"/>
              </w:rPr>
              <w:t>Settlement certainty from launch reduces CSDR penalty exposure</w:t>
            </w:r>
          </w:p>
        </w:tc>
      </w:tr>
      <w:tr>
        <w:trPr>
          <w:trHeight w:val="425" w:hRule="atLeast"/>
        </w:trPr>
        <w:tc>
          <w:tcPr>
            <w:tcW w:type="dxa" w:w="4873"/>
            <w:vAlign w:val="center"/>
          </w:tcPr>
          <w:p>
            <w:pPr>
              <w:spacing w:line="276" w:lineRule="auto" w:before="0" w:after="0"/>
            </w:pPr>
            <w:r/>
            <w:r>
              <w:rPr>
                <w:rFonts w:ascii="Figtree" w:hAnsi="Figtree"/>
                <w:b w:val="0"/>
                <w:i w:val="0"/>
                <w:sz w:val="20"/>
              </w:rPr>
              <w:t>Operational efficiency</w:t>
            </w:r>
          </w:p>
        </w:tc>
        <w:tc>
          <w:tcPr>
            <w:tcW w:type="dxa" w:w="4873"/>
            <w:vAlign w:val="center"/>
          </w:tcPr>
          <w:p>
            <w:pPr>
              <w:spacing w:line="276" w:lineRule="auto" w:before="0" w:after="0"/>
            </w:pPr>
            <w:r/>
            <w:r>
              <w:rPr>
                <w:rFonts w:ascii="Figtree" w:hAnsi="Figtree"/>
                <w:b w:val="0"/>
                <w:i w:val="0"/>
                <w:sz w:val="20"/>
              </w:rPr>
              <w:t>Real-time settlement monitoring eliminates batch reconciliation cycles</w:t>
            </w:r>
          </w:p>
        </w:tc>
      </w:tr>
      <w:tr>
        <w:trPr>
          <w:trHeight w:val="425" w:hRule="atLeast"/>
        </w:trPr>
        <w:tc>
          <w:tcPr>
            <w:tcW w:type="dxa" w:w="4873"/>
            <w:vAlign w:val="center"/>
          </w:tcPr>
          <w:p>
            <w:pPr>
              <w:spacing w:line="276" w:lineRule="auto" w:before="0" w:after="0"/>
            </w:pPr>
            <w:r/>
            <w:r>
              <w:rPr>
                <w:rFonts w:ascii="Figtree" w:hAnsi="Figtree"/>
                <w:b w:val="0"/>
                <w:i w:val="0"/>
                <w:sz w:val="20"/>
              </w:rPr>
              <w:t>Corporate action automation</w:t>
            </w:r>
          </w:p>
        </w:tc>
        <w:tc>
          <w:tcPr>
            <w:tcW w:type="dxa" w:w="4873"/>
            <w:vAlign w:val="center"/>
          </w:tcPr>
          <w:p>
            <w:pPr>
              <w:spacing w:line="276" w:lineRule="auto" w:before="0" w:after="0"/>
            </w:pPr>
            <w:r/>
            <w:r>
              <w:rPr>
                <w:rFonts w:ascii="Figtree" w:hAnsi="Figtree"/>
                <w:b w:val="0"/>
                <w:i w:val="0"/>
                <w:sz w:val="20"/>
              </w:rPr>
              <w:t>Automated entitlement reduces manual processing costs</w:t>
            </w:r>
          </w:p>
        </w:tc>
      </w:tr>
      <w:tr>
        <w:trPr>
          <w:trHeight w:val="425" w:hRule="atLeast"/>
        </w:trPr>
        <w:tc>
          <w:tcPr>
            <w:tcW w:type="dxa" w:w="4873"/>
            <w:vAlign w:val="center"/>
          </w:tcPr>
          <w:p>
            <w:pPr>
              <w:spacing w:line="276" w:lineRule="auto" w:before="0" w:after="0"/>
            </w:pPr>
            <w:r/>
            <w:r>
              <w:rPr>
                <w:rFonts w:ascii="Figtree" w:hAnsi="Figtree"/>
                <w:b w:val="0"/>
                <w:i w:val="0"/>
                <w:sz w:val="20"/>
              </w:rPr>
              <w:t>Platform reuse</w:t>
            </w:r>
          </w:p>
        </w:tc>
        <w:tc>
          <w:tcPr>
            <w:tcW w:type="dxa" w:w="4873"/>
            <w:vAlign w:val="center"/>
          </w:tcPr>
          <w:p>
            <w:pPr>
              <w:spacing w:line="276" w:lineRule="auto" w:before="0" w:after="0"/>
            </w:pPr>
            <w:r/>
            <w:r>
              <w:rPr>
                <w:rFonts w:ascii="Figtree" w:hAnsi="Figtree"/>
                <w:b w:val="0"/>
                <w:i w:val="0"/>
                <w:sz w:val="20"/>
              </w:rPr>
              <w:t>Same platform for multiple Euroclear entity deployments</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Platform license model. CSDR compliance requires evidence events on every settlement instruction. A per-event pricing model would penalize Euroclear for maintaining CSDR's evidence requirements. The annual subscription covers all settlement instructions, compliance events, and audit records.</w:t>
      </w:r>
    </w:p>
    <w:p>
      <w:pPr>
        <w:pStyle w:val="H3"/>
        <w:numPr>
          <w:ilvl w:val="2"/>
          <w:numId w:val="1"/>
        </w:numPr>
      </w:pPr>
      <w:r>
        <w:t>3.2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2"/>
        <w:gridCol w:w="2357"/>
        <w:gridCol w:w="2214"/>
        <w:gridCol w:w="23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2436"/>
            <w:vAlign w:val="center"/>
          </w:tcPr>
          <w:p>
            <w:pPr>
              <w:spacing w:line="276" w:lineRule="auto" w:before="0" w:after="0"/>
            </w:pPr>
            <w:r/>
            <w:r>
              <w:rPr>
                <w:rFonts w:ascii="Figtree" w:hAnsi="Figtree"/>
                <w:b w:val="0"/>
                <w:i w:val="0"/>
                <w:sz w:val="20"/>
              </w:rPr>
              <w:t>XvP addon</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IBFT 2.0 deployment 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ICSD-grade</w:t>
            </w:r>
          </w:p>
        </w:tc>
      </w:tr>
      <w:tr>
        <w:trPr>
          <w:trHeight w:val="425" w:hRule="atLeast"/>
        </w:trPr>
        <w:tc>
          <w:tcPr>
            <w:tcW w:type="dxa" w:w="2436"/>
            <w:vAlign w:val="center"/>
          </w:tcPr>
          <w:p>
            <w:pPr>
              <w:spacing w:line="276" w:lineRule="auto" w:before="0" w:after="0"/>
            </w:pPr>
            <w:r/>
            <w:r>
              <w:rPr>
                <w:rFonts w:ascii="Figtree" w:hAnsi="Figtree"/>
                <w:b w:val="0"/>
                <w:i w:val="0"/>
                <w:sz w:val="20"/>
              </w:rPr>
              <w:t>Multi-CSD extension path</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Configurable</w:t>
            </w:r>
          </w:p>
        </w:tc>
        <w:tc>
          <w:tcPr>
            <w:tcW w:type="dxa" w:w="2436"/>
            <w:vAlign w:val="center"/>
          </w:tcPr>
          <w:p>
            <w:pPr>
              <w:spacing w:line="276" w:lineRule="auto" w:before="0" w:after="0"/>
            </w:pPr>
            <w:r/>
            <w:r>
              <w:rPr>
                <w:rFonts w:ascii="Figtree" w:hAnsi="Figtree"/>
                <w:b w:val="0"/>
                <w:i w:val="0"/>
                <w:sz w:val="20"/>
              </w:rPr>
              <w:t>Included (subsequent phases)</w:t>
            </w:r>
          </w:p>
        </w:tc>
      </w:tr>
      <w:tr>
        <w:trPr>
          <w:trHeight w:val="425" w:hRule="atLeast"/>
        </w:trPr>
        <w:tc>
          <w:tcPr>
            <w:tcW w:type="dxa" w:w="2436"/>
            <w:vAlign w:val="center"/>
          </w:tcPr>
          <w:p>
            <w:pPr>
              <w:spacing w:line="276" w:lineRule="auto" w:before="0" w:after="0"/>
            </w:pPr>
            <w:r/>
            <w:r>
              <w:rPr>
                <w:rFonts w:ascii="Figtree" w:hAnsi="Figtree"/>
                <w:b w:val="0"/>
                <w:i w:val="0"/>
                <w:sz w:val="20"/>
              </w:rPr>
              <w:t>CSDR/DORA documentation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Cross-border settlement bridge</w:t>
            </w:r>
          </w:p>
        </w:tc>
        <w:tc>
          <w:tcPr>
            <w:tcW w:type="dxa" w:w="2436"/>
            <w:vAlign w:val="center"/>
          </w:tcPr>
          <w:p>
            <w:pPr>
              <w:spacing w:line="276" w:lineRule="auto" w:before="0" w:after="0"/>
            </w:pPr>
            <w:r/>
            <w:r>
              <w:rPr>
                <w:rFonts w:ascii="Figtree" w:hAnsi="Figtree"/>
                <w:b w:val="0"/>
                <w:i w:val="0"/>
                <w:sz w:val="20"/>
              </w:rPr>
              <w:t>Not included</w:t>
            </w:r>
          </w:p>
        </w:tc>
        <w:tc>
          <w:tcPr>
            <w:tcW w:type="dxa" w:w="2436"/>
            <w:vAlign w:val="center"/>
          </w:tcPr>
          <w:p>
            <w:pPr>
              <w:spacing w:line="276" w:lineRule="auto" w:before="0" w:after="0"/>
            </w:pPr>
            <w:r/>
            <w:r>
              <w:rPr>
                <w:rFonts w:ascii="Figtree" w:hAnsi="Figtree"/>
                <w:b w:val="0"/>
                <w:i w:val="0"/>
                <w:sz w:val="20"/>
              </w:rPr>
              <w:t>Optional</w:t>
            </w:r>
          </w:p>
        </w:tc>
        <w:tc>
          <w:tcPr>
            <w:tcW w:type="dxa" w:w="2436"/>
            <w:vAlign w:val="center"/>
          </w:tcPr>
          <w:p>
            <w:pPr>
              <w:spacing w:line="276" w:lineRule="auto" w:before="0" w:after="0"/>
            </w:pPr>
            <w:r/>
            <w:r>
              <w:rPr>
                <w:rFonts w:ascii="Figtree" w:hAnsi="Figtree"/>
                <w:b w:val="0"/>
                <w:i w:val="0"/>
                <w:sz w:val="20"/>
              </w:rPr>
              <w:t>Optional Phase 2+</w:t>
            </w:r>
          </w:p>
        </w:tc>
      </w:tr>
      <w:tr>
        <w:trPr>
          <w:trHeight w:val="425" w:hRule="atLeast"/>
        </w:trPr>
        <w:tc>
          <w:tcPr>
            <w:tcW w:type="dxa" w:w="2436"/>
            <w:vAlign w:val="center"/>
          </w:tcPr>
          <w:p>
            <w:pPr>
              <w:spacing w:line="276" w:lineRule="auto" w:before="0" w:after="0"/>
            </w:pPr>
            <w:r/>
            <w:r>
              <w:rPr>
                <w:rFonts w:ascii="Figtree" w:hAnsi="Figtree"/>
                <w:b w:val="0"/>
                <w:i w:val="0"/>
                <w:sz w:val="20"/>
              </w:rPr>
              <w:t>Annual license (indicative)</w:t>
            </w:r>
          </w:p>
        </w:tc>
        <w:tc>
          <w:tcPr>
            <w:tcW w:type="dxa" w:w="2436"/>
            <w:vAlign w:val="center"/>
          </w:tcPr>
          <w:p>
            <w:pPr>
              <w:spacing w:line="276" w:lineRule="auto" w:before="0" w:after="0"/>
            </w:pPr>
            <w:r/>
            <w:r>
              <w:rPr>
                <w:rFonts w:ascii="Figtree" w:hAnsi="Figtree"/>
                <w:b w:val="0"/>
                <w:i w:val="0"/>
                <w:sz w:val="20"/>
              </w:rPr>
              <w:t>EUR [CLIENT-SPECIFIC: ~600K-900K]</w:t>
            </w:r>
          </w:p>
        </w:tc>
        <w:tc>
          <w:tcPr>
            <w:tcW w:type="dxa" w:w="2436"/>
            <w:vAlign w:val="center"/>
          </w:tcPr>
          <w:p>
            <w:pPr>
              <w:spacing w:line="276" w:lineRule="auto" w:before="0" w:after="0"/>
            </w:pPr>
            <w:r/>
            <w:r>
              <w:rPr>
                <w:rFonts w:ascii="Figtree" w:hAnsi="Figtree"/>
                <w:b w:val="0"/>
                <w:i w:val="0"/>
                <w:sz w:val="20"/>
              </w:rPr>
              <w:t>EUR [CLIENT-SPECIFIC: ~1M-1.5M]</w:t>
            </w:r>
          </w:p>
        </w:tc>
        <w:tc>
          <w:tcPr>
            <w:tcW w:type="dxa" w:w="2436"/>
            <w:vAlign w:val="center"/>
          </w:tcPr>
          <w:p>
            <w:pPr>
              <w:spacing w:line="276" w:lineRule="auto" w:before="0" w:after="0"/>
            </w:pPr>
            <w:r/>
            <w:r>
              <w:rPr>
                <w:rFonts w:ascii="Figtree" w:hAnsi="Figtree"/>
                <w:b w:val="0"/>
                <w:i w:val="0"/>
                <w:sz w:val="20"/>
              </w:rPr>
              <w:t>EUR [CLIENT-SPECIFIC: ~1.8M-2.8M]</w:t>
            </w:r>
          </w:p>
        </w:tc>
      </w:tr>
    </w:tbl>
    <w:p>
      <w:pPr>
        <w:spacing w:before="0" w:after="0" w:line="120" w:lineRule="exact"/>
      </w:pPr>
    </w:p>
    <w:p>
      <w:r>
        <w:rPr>
          <w:rFonts w:ascii="Figtree" w:hAnsi="Figtree"/>
          <w:b/>
          <w:i w:val="0"/>
          <w:sz w:val="22"/>
        </w:rPr>
        <w:t>Recommended: Sovereign.</w:t>
      </w:r>
      <w:r>
        <w:rPr>
          <w:rFonts w:ascii="Figtree" w:hAnsi="Figtree"/>
          <w:b w:val="0"/>
          <w:i w:val="0"/>
          <w:sz w:val="22"/>
        </w:rPr>
        <w:t xml:space="preserve"> Euroclear's scale, NBB/FSMA regulatory obligations, cross-CSD extension requirements, and the systemic importance of its settlement infrastructure justify the Sovereign tier. The multi-CSD extension path for subsequent Euroclear entities is available within the Sovereign tier without requiring new license negotiation.</w:t>
      </w:r>
    </w:p>
    <w:p>
      <w:r>
        <w:br w:type="page"/>
      </w:r>
    </w:p>
    <w:p>
      <w:pPr>
        <w:pStyle w:val="H2"/>
        <w:numPr>
          <w:ilvl w:val="1"/>
          <w:numId w:val="1"/>
        </w:numPr>
      </w:pPr>
      <w:r>
        <w:t>4. Deployment Options and Pricing</w:t>
      </w:r>
    </w:p>
    <w:p>
      <w:r>
        <w:rPr>
          <w:rFonts w:ascii="Figtree" w:hAnsi="Figtree"/>
          <w:b/>
          <w:i w:val="0"/>
          <w:sz w:val="22"/>
        </w:rPr>
        <w:t>Recommended: Private Cloud (Belgium/EU Region)</w:t>
      </w:r>
    </w:p>
    <w:p>
      <w:r>
        <w:rPr>
          <w:rFonts w:ascii="Figtree" w:hAnsi="Figtree"/>
          <w:b w:val="0"/>
          <w:i w:val="0"/>
          <w:sz w:val="22"/>
        </w:rPr>
        <w:t>Euroclear manages DALP on Belgium or EU-region cloud subscription. Data residency within Belgium or EU jurisdiction per NBB requirements. NBB/FSMA supervisory access via AUDITOR role.</w:t>
      </w:r>
    </w:p>
    <w:p>
      <w:r>
        <w:rPr>
          <w:rFonts w:ascii="Figtree" w:hAnsi="Figtree"/>
          <w:b/>
          <w:i w:val="0"/>
          <w:sz w:val="22"/>
        </w:rPr>
        <w:t>Infrastructure cost (Euroclear-borne,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4873"/>
            <w:vAlign w:val="center"/>
          </w:tcPr>
          <w:p>
            <w:pPr>
              <w:spacing w:line="276" w:lineRule="auto" w:before="0" w:after="0"/>
            </w:pPr>
            <w:r/>
            <w:r>
              <w:rPr>
                <w:rFonts w:ascii="Figtree" w:hAnsi="Figtree"/>
                <w:b w:val="0"/>
                <w:i w:val="0"/>
                <w:sz w:val="20"/>
              </w:rPr>
              <w:t>Kubernetes (3-AZ Belgium/EU)</w:t>
            </w:r>
          </w:p>
        </w:tc>
        <w:tc>
          <w:tcPr>
            <w:tcW w:type="dxa" w:w="4873"/>
            <w:vAlign w:val="center"/>
          </w:tcPr>
          <w:p>
            <w:pPr>
              <w:spacing w:line="276" w:lineRule="auto" w:before="0" w:after="0"/>
            </w:pPr>
            <w:r/>
            <w:r>
              <w:rPr>
                <w:rFonts w:ascii="Figtree" w:hAnsi="Figtree"/>
                <w:b w:val="0"/>
                <w:i w:val="0"/>
                <w:sz w:val="20"/>
              </w:rPr>
              <w:t>EUR 4,000-8,000</w:t>
            </w:r>
          </w:p>
        </w:tc>
      </w:tr>
      <w:tr>
        <w:trPr>
          <w:trHeight w:val="425" w:hRule="atLeast"/>
        </w:trPr>
        <w:tc>
          <w:tcPr>
            <w:tcW w:type="dxa" w:w="4873"/>
            <w:vAlign w:val="center"/>
          </w:tcPr>
          <w:p>
            <w:pPr>
              <w:spacing w:line="276" w:lineRule="auto" w:before="0" w:after="0"/>
            </w:pPr>
            <w:r/>
            <w:r>
              <w:rPr>
                <w:rFonts w:ascii="Figtree" w:hAnsi="Figtree"/>
                <w:b w:val="0"/>
                <w:i w:val="0"/>
                <w:sz w:val="20"/>
              </w:rPr>
              <w:t>PostgreSQL Multi-AZ</w:t>
            </w:r>
          </w:p>
        </w:tc>
        <w:tc>
          <w:tcPr>
            <w:tcW w:type="dxa" w:w="4873"/>
            <w:vAlign w:val="center"/>
          </w:tcPr>
          <w:p>
            <w:pPr>
              <w:spacing w:line="276" w:lineRule="auto" w:before="0" w:after="0"/>
            </w:pPr>
            <w:r/>
            <w:r>
              <w:rPr>
                <w:rFonts w:ascii="Figtree" w:hAnsi="Figtree"/>
                <w:b w:val="0"/>
                <w:i w:val="0"/>
                <w:sz w:val="20"/>
              </w:rPr>
              <w:t>EUR 2,000-4,000</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EUR 2,500-5,000</w:t>
            </w:r>
          </w:p>
        </w:tc>
      </w:tr>
      <w:tr>
        <w:trPr>
          <w:trHeight w:val="425" w:hRule="atLeast"/>
        </w:trPr>
        <w:tc>
          <w:tcPr>
            <w:tcW w:type="dxa" w:w="4873"/>
            <w:vAlign w:val="center"/>
          </w:tcPr>
          <w:p>
            <w:pPr>
              <w:spacing w:line="276" w:lineRule="auto" w:before="0" w:after="0"/>
            </w:pPr>
            <w:r/>
            <w:r>
              <w:rPr>
                <w:rFonts w:ascii="Figtree" w:hAnsi="Figtree"/>
                <w:b w:val="0"/>
                <w:i w:val="0"/>
                <w:sz w:val="20"/>
              </w:rPr>
              <w:t>Redis, storage, networking</w:t>
            </w:r>
          </w:p>
        </w:tc>
        <w:tc>
          <w:tcPr>
            <w:tcW w:type="dxa" w:w="4873"/>
            <w:vAlign w:val="center"/>
          </w:tcPr>
          <w:p>
            <w:pPr>
              <w:spacing w:line="276" w:lineRule="auto" w:before="0" w:after="0"/>
            </w:pPr>
            <w:r/>
            <w:r>
              <w:rPr>
                <w:rFonts w:ascii="Figtree" w:hAnsi="Figtree"/>
                <w:b w:val="0"/>
                <w:i w:val="0"/>
                <w:sz w:val="20"/>
              </w:rPr>
              <w:t>EUR 1,500-3,000</w:t>
            </w:r>
          </w:p>
        </w:tc>
      </w:tr>
      <w:tr>
        <w:trPr>
          <w:trHeight w:val="425" w:hRule="atLeast"/>
        </w:trPr>
        <w:tc>
          <w:tcPr>
            <w:tcW w:type="dxa" w:w="4873"/>
            <w:vAlign w:val="center"/>
          </w:tcPr>
          <w:p>
            <w:pPr>
              <w:spacing w:line="276" w:lineRule="auto" w:before="0" w:after="0"/>
            </w:pPr>
            <w:r/>
            <w:r>
              <w:rPr>
                <w:rFonts w:ascii="Figtree" w:hAnsi="Figtree"/>
                <w:b w:val="0"/>
                <w:i w:val="0"/>
                <w:sz w:val="20"/>
              </w:rPr>
              <w:t>DR site (Netherlands)</w:t>
            </w:r>
          </w:p>
        </w:tc>
        <w:tc>
          <w:tcPr>
            <w:tcW w:type="dxa" w:w="4873"/>
            <w:vAlign w:val="center"/>
          </w:tcPr>
          <w:p>
            <w:pPr>
              <w:spacing w:line="276" w:lineRule="auto" w:before="0" w:after="0"/>
            </w:pPr>
            <w:r/>
            <w:r>
              <w:rPr>
                <w:rFonts w:ascii="Figtree" w:hAnsi="Figtree"/>
                <w:b w:val="0"/>
                <w:i w:val="0"/>
                <w:sz w:val="20"/>
              </w:rPr>
              <w:t>EUR 3,000-5,000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EUR 13,000-25,000/month</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600"/>
        <w:gridCol w:w="1600"/>
        <w:gridCol w:w="341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09:00-18:00 CET</w:t>
            </w:r>
          </w:p>
        </w:tc>
        <w:tc>
          <w:tcPr>
            <w:tcW w:type="dxa" w:w="2436"/>
            <w:vAlign w:val="center"/>
          </w:tcPr>
          <w:p>
            <w:pPr>
              <w:spacing w:line="276" w:lineRule="auto" w:before="0" w:after="0"/>
            </w:pPr>
            <w:r/>
            <w:r>
              <w:rPr>
                <w:rFonts w:ascii="Figtree" w:hAnsi="Figtree"/>
                <w:b w:val="0"/>
                <w:i w:val="0"/>
                <w:sz w:val="20"/>
              </w:rPr>
              <w:t>07:00-22:00 CET</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P1 Resolution</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CSDR penalty protection</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Full settlement failure protocol</w:t>
            </w:r>
          </w:p>
        </w:tc>
      </w:tr>
      <w:tr>
        <w:trPr>
          <w:trHeight w:val="425" w:hRule="atLeast"/>
        </w:trPr>
        <w:tc>
          <w:tcPr>
            <w:tcW w:type="dxa" w:w="2436"/>
            <w:vAlign w:val="center"/>
          </w:tcPr>
          <w:p>
            <w:pPr>
              <w:spacing w:line="276" w:lineRule="auto" w:before="0" w:after="0"/>
            </w:pPr>
            <w:r/>
            <w:r>
              <w:rPr>
                <w:rFonts w:ascii="Figtree" w:hAnsi="Figtree"/>
                <w:b w:val="0"/>
                <w:i w:val="0"/>
                <w:sz w:val="20"/>
              </w:rPr>
              <w:t>Dedicated SRE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Designated</w:t>
            </w:r>
          </w:p>
        </w:tc>
        <w:tc>
          <w:tcPr>
            <w:tcW w:type="dxa" w:w="2436"/>
            <w:vAlign w:val="center"/>
          </w:tcPr>
          <w:p>
            <w:pPr>
              <w:spacing w:line="276" w:lineRule="auto" w:before="0" w:after="0"/>
            </w:pPr>
            <w:r/>
            <w:r>
              <w:rPr>
                <w:rFonts w:ascii="Figtree" w:hAnsi="Figtree"/>
                <w:b w:val="0"/>
                <w:i w:val="0"/>
                <w:sz w:val="20"/>
              </w:rPr>
              <w:t>Named</w:t>
            </w:r>
          </w:p>
        </w:tc>
      </w:tr>
    </w:tbl>
    <w:p>
      <w:pPr>
        <w:spacing w:before="0" w:after="0" w:line="120" w:lineRule="exact"/>
      </w:pPr>
    </w:p>
    <w:p>
      <w:pPr>
        <w:pStyle w:val="H3"/>
        <w:numPr>
          <w:ilvl w:val="2"/>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36"/>
        <w:gridCol w:w="5524"/>
        <w:gridCol w:w="1356"/>
        <w:gridCol w:w="14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2436"/>
            <w:vAlign w:val="center"/>
          </w:tcPr>
          <w:p>
            <w:pPr>
              <w:spacing w:line="276" w:lineRule="auto" w:before="0" w:after="0"/>
            </w:pPr>
            <w:r/>
            <w:r>
              <w:rPr>
                <w:rFonts w:ascii="Figtree" w:hAnsi="Figtree"/>
                <w:b w:val="0"/>
                <w:i w:val="0"/>
                <w:sz w:val="20"/>
              </w:rPr>
              <w:t>P1</w:t>
            </w:r>
          </w:p>
        </w:tc>
        <w:tc>
          <w:tcPr>
            <w:tcW w:type="dxa" w:w="2436"/>
            <w:vAlign w:val="center"/>
          </w:tcPr>
          <w:p>
            <w:pPr>
              <w:spacing w:line="276" w:lineRule="auto" w:before="0" w:after="0"/>
            </w:pPr>
            <w:r/>
            <w:r>
              <w:rPr>
                <w:rFonts w:ascii="Figtree" w:hAnsi="Figtree"/>
                <w:b w:val="0"/>
                <w:i w:val="0"/>
                <w:sz w:val="20"/>
              </w:rPr>
              <w:t>Settlement blocked; XvP unavailable; finality engine down</w:t>
            </w:r>
          </w:p>
        </w:tc>
        <w:tc>
          <w:tcPr>
            <w:tcW w:type="dxa" w:w="2436"/>
            <w:vAlign w:val="center"/>
          </w:tcPr>
          <w:p>
            <w:pPr>
              <w:spacing w:line="276" w:lineRule="auto" w:before="0" w:after="0"/>
            </w:pPr>
            <w:r/>
            <w:r>
              <w:rPr>
                <w:rFonts w:ascii="Figtree" w:hAnsi="Figtree"/>
                <w:b w:val="0"/>
                <w:i w:val="0"/>
                <w:sz w:val="20"/>
              </w:rPr>
              <w:t>15 min</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w:t>
            </w:r>
          </w:p>
        </w:tc>
        <w:tc>
          <w:tcPr>
            <w:tcW w:type="dxa" w:w="2436"/>
            <w:vAlign w:val="center"/>
          </w:tcPr>
          <w:p>
            <w:pPr>
              <w:spacing w:line="276" w:lineRule="auto" w:before="0" w:after="0"/>
            </w:pPr>
            <w:r/>
            <w:r>
              <w:rPr>
                <w:rFonts w:ascii="Figtree" w:hAnsi="Figtree"/>
                <w:b w:val="0"/>
                <w:i w:val="0"/>
                <w:sz w:val="20"/>
              </w:rPr>
              <w:t>Major function impaired; settlement continues with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w:t>
            </w:r>
          </w:p>
        </w:tc>
        <w:tc>
          <w:tcPr>
            <w:tcW w:type="dxa" w:w="2436"/>
            <w:vAlign w:val="center"/>
          </w:tcPr>
          <w:p>
            <w:pPr>
              <w:spacing w:line="276" w:lineRule="auto" w:before="0" w:after="0"/>
            </w:pPr>
            <w:r/>
            <w:r>
              <w:rPr>
                <w:rFonts w:ascii="Figtree" w:hAnsi="Figtree"/>
                <w:b w:val="0"/>
                <w:i w:val="0"/>
                <w:sz w:val="20"/>
              </w:rPr>
              <w:t>Non-critical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w:t>
            </w:r>
          </w:p>
        </w:tc>
        <w:tc>
          <w:tcPr>
            <w:tcW w:type="dxa" w:w="2436"/>
            <w:vAlign w:val="center"/>
          </w:tcPr>
          <w:p>
            <w:pPr>
              <w:spacing w:line="276" w:lineRule="auto" w:before="0" w:after="0"/>
            </w:pPr>
            <w:r/>
            <w:r>
              <w:rPr>
                <w:rFonts w:ascii="Figtree" w:hAnsi="Figtree"/>
                <w:b w:val="0"/>
                <w:i w:val="0"/>
                <w:sz w:val="20"/>
              </w:rPr>
              <w:t>General</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NBB/FSMA incident notification within 4 hours for P1. DORA and CSDR incident classification applied.</w:t>
      </w: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4"/>
        <w:gridCol w:w="788"/>
        <w:gridCol w:w="4075"/>
        <w:gridCol w:w="243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Discovery</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Settlement architecture, TARGET2 design, NBB planning</w:t>
            </w:r>
          </w:p>
        </w:tc>
        <w:tc>
          <w:tcPr>
            <w:tcW w:type="dxa" w:w="2436"/>
            <w:vAlign w:val="center"/>
          </w:tcPr>
          <w:p>
            <w:pPr>
              <w:spacing w:line="276" w:lineRule="auto" w:before="0" w:after="0"/>
            </w:pPr>
            <w:r/>
            <w:r>
              <w:rPr>
                <w:rFonts w:ascii="Figtree" w:hAnsi="Figtree"/>
                <w:b w:val="0"/>
                <w:i w:val="0"/>
                <w:sz w:val="20"/>
              </w:rPr>
              <w:t>EUR [CLIENT-SPECIFIC: ~180K-280K]</w:t>
            </w:r>
          </w:p>
        </w:tc>
      </w:tr>
      <w:tr>
        <w:trPr>
          <w:trHeight w:val="425" w:hRule="atLeast"/>
        </w:trPr>
        <w:tc>
          <w:tcPr>
            <w:tcW w:type="dxa" w:w="2436"/>
            <w:vAlign w:val="center"/>
          </w:tcPr>
          <w:p>
            <w:pPr>
              <w:spacing w:line="276" w:lineRule="auto" w:before="0" w:after="0"/>
            </w:pPr>
            <w:r/>
            <w:r>
              <w:rPr>
                <w:rFonts w:ascii="Figtree" w:hAnsi="Figtree"/>
                <w:b w:val="0"/>
                <w:i w:val="0"/>
                <w:sz w:val="20"/>
              </w:rPr>
              <w:t>Foundation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Environments, Besu Belgium, HSM, participant identity</w:t>
            </w:r>
          </w:p>
        </w:tc>
        <w:tc>
          <w:tcPr>
            <w:tcW w:type="dxa" w:w="2436"/>
            <w:vAlign w:val="center"/>
          </w:tcPr>
          <w:p>
            <w:pPr>
              <w:spacing w:line="276" w:lineRule="auto" w:before="0" w:after="0"/>
            </w:pPr>
            <w:r/>
            <w:r>
              <w:rPr>
                <w:rFonts w:ascii="Figtree" w:hAnsi="Figtree"/>
                <w:b w:val="0"/>
                <w:i w:val="0"/>
                <w:sz w:val="20"/>
              </w:rPr>
              <w:t>EUR [CLIENT-SPECIFIC: ~220K-380K]</w:t>
            </w:r>
          </w:p>
        </w:tc>
      </w:tr>
      <w:tr>
        <w:trPr>
          <w:trHeight w:val="425" w:hRule="atLeast"/>
        </w:trPr>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Settlement workflow, XvP, cut-off/calendar, TARGET2 spec</w:t>
            </w:r>
          </w:p>
        </w:tc>
        <w:tc>
          <w:tcPr>
            <w:tcW w:type="dxa" w:w="2436"/>
            <w:vAlign w:val="center"/>
          </w:tcPr>
          <w:p>
            <w:pPr>
              <w:spacing w:line="276" w:lineRule="auto" w:before="0" w:after="0"/>
            </w:pPr>
            <w:r/>
            <w:r>
              <w:rPr>
                <w:rFonts w:ascii="Figtree" w:hAnsi="Figtree"/>
                <w:b w:val="0"/>
                <w:i w:val="0"/>
                <w:sz w:val="20"/>
              </w:rPr>
              <w:t>EUR [CLIENT-SPECIFIC: ~280K-450K]</w:t>
            </w:r>
          </w:p>
        </w:tc>
      </w:tr>
      <w:tr>
        <w:trPr>
          <w:trHeight w:val="425" w:hRule="atLeast"/>
        </w:trPr>
        <w:tc>
          <w:tcPr>
            <w:tcW w:type="dxa" w:w="2436"/>
            <w:vAlign w:val="center"/>
          </w:tcPr>
          <w:p>
            <w:pPr>
              <w:spacing w:line="276" w:lineRule="auto" w:before="0" w:after="0"/>
            </w:pPr>
            <w:r/>
            <w:r>
              <w:rPr>
                <w:rFonts w:ascii="Figtree" w:hAnsi="Figtree"/>
                <w:b w:val="0"/>
                <w:i w:val="0"/>
                <w:sz w:val="20"/>
              </w:rPr>
              <w:t>Integration and Testing</w:t>
            </w:r>
          </w:p>
        </w:tc>
        <w:tc>
          <w:tcPr>
            <w:tcW w:type="dxa" w:w="2436"/>
            <w:vAlign w:val="center"/>
          </w:tcPr>
          <w:p>
            <w:pPr>
              <w:spacing w:line="276" w:lineRule="auto" w:before="0" w:after="0"/>
            </w:pPr>
            <w:r/>
            <w:r>
              <w:rPr>
                <w:rFonts w:ascii="Figtree" w:hAnsi="Figtree"/>
                <w:b w:val="0"/>
                <w:i w:val="0"/>
                <w:sz w:val="20"/>
              </w:rPr>
              <w:t>11 weeks</w:t>
            </w:r>
          </w:p>
        </w:tc>
        <w:tc>
          <w:tcPr>
            <w:tcW w:type="dxa" w:w="2436"/>
            <w:vAlign w:val="center"/>
          </w:tcPr>
          <w:p>
            <w:pPr>
              <w:spacing w:line="276" w:lineRule="auto" w:before="0" w:after="0"/>
            </w:pPr>
            <w:r/>
            <w:r>
              <w:rPr>
                <w:rFonts w:ascii="Figtree" w:hAnsi="Figtree"/>
                <w:b w:val="0"/>
                <w:i w:val="0"/>
                <w:sz w:val="20"/>
              </w:rPr>
              <w:t>TARGET2 integration, CSDR reporting, settlement scenarios, UAT</w:t>
            </w:r>
          </w:p>
        </w:tc>
        <w:tc>
          <w:tcPr>
            <w:tcW w:type="dxa" w:w="2436"/>
            <w:vAlign w:val="center"/>
          </w:tcPr>
          <w:p>
            <w:pPr>
              <w:spacing w:line="276" w:lineRule="auto" w:before="0" w:after="0"/>
            </w:pPr>
            <w:r/>
            <w:r>
              <w:rPr>
                <w:rFonts w:ascii="Figtree" w:hAnsi="Figtree"/>
                <w:b w:val="0"/>
                <w:i w:val="0"/>
                <w:sz w:val="20"/>
              </w:rPr>
              <w:t>EUR [CLIENT-SPECIFIC: ~450K-700K]</w:t>
            </w:r>
          </w:p>
        </w:tc>
      </w:tr>
      <w:tr>
        <w:trPr>
          <w:trHeight w:val="425" w:hRule="atLeast"/>
        </w:trPr>
        <w:tc>
          <w:tcPr>
            <w:tcW w:type="dxa" w:w="2436"/>
            <w:vAlign w:val="center"/>
          </w:tcPr>
          <w:p>
            <w:pPr>
              <w:spacing w:line="276" w:lineRule="auto" w:before="0" w:after="0"/>
            </w:pPr>
            <w:r/>
            <w:r>
              <w:rPr>
                <w:rFonts w:ascii="Figtree" w:hAnsi="Figtree"/>
                <w:b w:val="0"/>
                <w:i w:val="0"/>
                <w:sz w:val="20"/>
              </w:rPr>
              <w:t>Production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Production deployment, parallel run vs legacy book-entry</w:t>
            </w:r>
          </w:p>
        </w:tc>
        <w:tc>
          <w:tcPr>
            <w:tcW w:type="dxa" w:w="2436"/>
            <w:vAlign w:val="center"/>
          </w:tcPr>
          <w:p>
            <w:pPr>
              <w:spacing w:line="276" w:lineRule="auto" w:before="0" w:after="0"/>
            </w:pPr>
            <w:r/>
            <w:r>
              <w:rPr>
                <w:rFonts w:ascii="Figtree" w:hAnsi="Figtree"/>
                <w:b w:val="0"/>
                <w:i w:val="0"/>
                <w:sz w:val="20"/>
              </w:rPr>
              <w:t>EUR [CLIENT-SPECIFIC: ~200K-300K]</w:t>
            </w:r>
          </w:p>
        </w:tc>
      </w:tr>
      <w:tr>
        <w:trPr>
          <w:trHeight w:val="425" w:hRule="atLeast"/>
        </w:trPr>
        <w:tc>
          <w:tcPr>
            <w:tcW w:type="dxa" w:w="2436"/>
            <w:vAlign w:val="center"/>
          </w:tcPr>
          <w:p>
            <w:pPr>
              <w:spacing w:line="276" w:lineRule="auto" w:before="0" w:after="0"/>
            </w:pPr>
            <w:r/>
            <w:r>
              <w:rPr>
                <w:rFonts w:ascii="Figtree" w:hAnsi="Figtree"/>
                <w:b w:val="0"/>
                <w:i w:val="0"/>
                <w:sz w:val="20"/>
              </w:rPr>
              <w:t>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Hypercare, documentation, training, transition</w:t>
            </w:r>
          </w:p>
        </w:tc>
        <w:tc>
          <w:tcPr>
            <w:tcW w:type="dxa" w:w="2436"/>
            <w:vAlign w:val="center"/>
          </w:tcPr>
          <w:p>
            <w:pPr>
              <w:spacing w:line="276" w:lineRule="auto" w:before="0" w:after="0"/>
            </w:pPr>
            <w:r/>
            <w:r>
              <w:rPr>
                <w:rFonts w:ascii="Figtree" w:hAnsi="Figtree"/>
                <w:b w:val="0"/>
                <w:i w:val="0"/>
                <w:sz w:val="20"/>
              </w:rPr>
              <w:t>EUR [CLIENT-SPECIFIC: ~120K-220K]</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EUR [CLIENT-SPECIFIC: ~1.5M-2.3M]</w:t>
            </w:r>
          </w:p>
        </w:tc>
      </w:tr>
    </w:tbl>
    <w:p>
      <w:pPr>
        <w:spacing w:before="0" w:after="0" w:line="120" w:lineRule="exact"/>
      </w:pPr>
    </w:p>
    <w:p>
      <w:r>
        <w:rPr>
          <w:rFonts w:ascii="Figtree" w:hAnsi="Figtree"/>
          <w:b/>
          <w:i w:val="0"/>
          <w:sz w:val="22"/>
        </w:rPr>
        <w:t>Key: Parallel run with legacy book-entry is a Phase 5 contractual requirement.</w:t>
      </w:r>
      <w:r>
        <w:rPr>
          <w:rFonts w:ascii="Figtree" w:hAnsi="Figtree"/>
          <w:b w:val="0"/>
          <w:i w:val="0"/>
          <w:sz w:val="22"/>
        </w:rPr>
        <w:t xml:space="preserve"> Zero-tolerance position reconciliation is the acceptance criterion. Timing divergences above 1-hour threshold are escalation triggers, not tolerances.</w:t>
      </w:r>
    </w:p>
    <w:p>
      <w:r>
        <w:br w:type="page"/>
      </w:r>
    </w:p>
    <w:p>
      <w:pPr>
        <w:pStyle w:val="H2"/>
        <w:numPr>
          <w:ilvl w:val="1"/>
          <w:numId w:val="1"/>
        </w:numPr>
      </w:pPr>
      <w:r>
        <w:t>7. Total Cost of Ownership</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1597"/>
        <w:gridCol w:w="1597"/>
        <w:gridCol w:w="1597"/>
        <w:gridCol w:w="1597"/>
        <w:gridCol w:w="17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Infrastructure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624"/>
            <w:vAlign w:val="center"/>
          </w:tcPr>
          <w:p>
            <w:pPr>
              <w:spacing w:line="276" w:lineRule="auto" w:before="0" w:after="0"/>
            </w:pPr>
            <w:r/>
            <w:r>
              <w:rPr>
                <w:rFonts w:ascii="Figtree" w:hAnsi="Figtree"/>
                <w:b w:val="0"/>
                <w:i w:val="0"/>
                <w:sz w:val="20"/>
              </w:rPr>
              <w:t>Year 1</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EUR [CLIENT-SPECIFIC: ~1.9M]</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~250K]</w:t>
            </w:r>
          </w:p>
        </w:tc>
        <w:tc>
          <w:tcPr>
            <w:tcW w:type="dxa" w:w="1624"/>
            <w:vAlign w:val="center"/>
          </w:tcPr>
          <w:p>
            <w:pPr>
              <w:spacing w:line="276" w:lineRule="auto" w:before="0" w:after="0"/>
            </w:pPr>
            <w:r/>
            <w:r>
              <w:rPr>
                <w:rFonts w:ascii="Figtree" w:hAnsi="Figtree"/>
                <w:b w:val="0"/>
                <w:i w:val="0"/>
                <w:sz w:val="20"/>
              </w:rPr>
              <w:t>EUR [CLIENT-SPECIFIC: ~4.9M]</w:t>
            </w:r>
          </w:p>
        </w:tc>
      </w:tr>
      <w:tr>
        <w:trPr>
          <w:trHeight w:val="425" w:hRule="atLeast"/>
        </w:trPr>
        <w:tc>
          <w:tcPr>
            <w:tcW w:type="dxa" w:w="1624"/>
            <w:vAlign w:val="center"/>
          </w:tcPr>
          <w:p>
            <w:pPr>
              <w:spacing w:line="276" w:lineRule="auto" w:before="0" w:after="0"/>
            </w:pPr>
            <w:r/>
            <w:r>
              <w:rPr>
                <w:rFonts w:ascii="Figtree" w:hAnsi="Figtree"/>
                <w:b w:val="0"/>
                <w:i w:val="0"/>
                <w:sz w:val="20"/>
              </w:rPr>
              <w:t>Year 2</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~3.05M]</w:t>
            </w:r>
          </w:p>
        </w:tc>
      </w:tr>
      <w:tr>
        <w:trPr>
          <w:trHeight w:val="425" w:hRule="atLeast"/>
        </w:trPr>
        <w:tc>
          <w:tcPr>
            <w:tcW w:type="dxa" w:w="1624"/>
            <w:vAlign w:val="center"/>
          </w:tcPr>
          <w:p>
            <w:pPr>
              <w:spacing w:line="276" w:lineRule="auto" w:before="0" w:after="0"/>
            </w:pPr>
            <w:r/>
            <w:r>
              <w:rPr>
                <w:rFonts w:ascii="Figtree" w:hAnsi="Figtree"/>
                <w:b w:val="0"/>
                <w:i w:val="0"/>
                <w:sz w:val="20"/>
              </w:rPr>
              <w:t>Year 3</w:t>
            </w:r>
          </w:p>
        </w:tc>
        <w:tc>
          <w:tcPr>
            <w:tcW w:type="dxa" w:w="1624"/>
            <w:vAlign w:val="center"/>
          </w:tcPr>
          <w:p>
            <w:pPr>
              <w:spacing w:line="276" w:lineRule="auto" w:before="0" w:after="0"/>
            </w:pPr>
            <w:r/>
            <w:r>
              <w:rPr>
                <w:rFonts w:ascii="Figtree" w:hAnsi="Figtree"/>
                <w:b w:val="0"/>
                <w:i w:val="0"/>
                <w:sz w:val="20"/>
              </w:rPr>
              <w:t>EUR [CLIENT-SPECIFIC: ~2.3M]</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EUR [CLIENT-SPECIFIC: ~450K]</w:t>
            </w:r>
          </w:p>
        </w:tc>
        <w:tc>
          <w:tcPr>
            <w:tcW w:type="dxa" w:w="1624"/>
            <w:vAlign w:val="center"/>
          </w:tcPr>
          <w:p>
            <w:pPr>
              <w:spacing w:line="276" w:lineRule="auto" w:before="0" w:after="0"/>
            </w:pPr>
            <w:r/>
            <w:r>
              <w:rPr>
                <w:rFonts w:ascii="Figtree" w:hAnsi="Figtree"/>
                <w:b w:val="0"/>
                <w:i w:val="0"/>
                <w:sz w:val="20"/>
              </w:rPr>
              <w:t>EUR [CLIENT-SPECIFIC: ~300K]</w:t>
            </w:r>
          </w:p>
        </w:tc>
        <w:tc>
          <w:tcPr>
            <w:tcW w:type="dxa" w:w="1624"/>
            <w:vAlign w:val="center"/>
          </w:tcPr>
          <w:p>
            <w:pPr>
              <w:spacing w:line="276" w:lineRule="auto" w:before="0" w:after="0"/>
            </w:pPr>
            <w:r/>
            <w:r>
              <w:rPr>
                <w:rFonts w:ascii="Figtree" w:hAnsi="Figtree"/>
                <w:b w:val="0"/>
                <w:i w:val="0"/>
                <w:sz w:val="20"/>
              </w:rPr>
              <w:t>EUR [CLIENT-SPECIFIC: ~3.05M]</w:t>
            </w:r>
          </w:p>
        </w:tc>
      </w:tr>
      <w:tr>
        <w:trPr>
          <w:trHeight w:val="425" w:hRule="atLeast"/>
        </w:trPr>
        <w:tc>
          <w:tcPr>
            <w:tcW w:type="dxa" w:w="1624"/>
            <w:vAlign w:val="center"/>
          </w:tcPr>
          <w:p>
            <w:pPr>
              <w:spacing w:line="276" w:lineRule="auto" w:before="0" w:after="0"/>
            </w:pPr>
            <w:r/>
            <w:r>
              <w:rPr>
                <w:rFonts w:ascii="Figtree" w:hAnsi="Figtree"/>
                <w:b/>
                <w:i w:val="0"/>
                <w:sz w:val="20"/>
              </w:rPr>
              <w:t>3-Year Total</w:t>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EUR [CLIENT-SPECIFIC: ~11M]</w:t>
            </w:r>
          </w:p>
        </w:tc>
      </w:tr>
    </w:tbl>
    <w:p>
      <w:pPr>
        <w:spacing w:before="0" w:after="0" w:line="120" w:lineRule="exact"/>
      </w:pPr>
    </w:p>
    <w:p>
      <w:pPr>
        <w:pStyle w:val="H3"/>
        <w:numPr>
          <w:ilvl w:val="2"/>
          <w:numId w:val="1"/>
        </w:numPr>
      </w:pPr>
      <w:r>
        <w:t>7.2 Five-Year Model</w:t>
      </w:r>
    </w:p>
    <w:p>
      <w:r>
        <w:rPr>
          <w:rFonts w:ascii="Figtree" w:hAnsi="Figtree"/>
          <w:b w:val="0"/>
          <w:i w:val="0"/>
          <w:sz w:val="22"/>
        </w:rPr>
        <w:t>Years 4-5 reflect steady-state operating cost. If Euroclear extends to additional entities (Euroclear Belgium, Euroclear France), the marginal cost per additional entity is significantly lower than Year 1 due to platform reuse.</w:t>
      </w:r>
    </w:p>
    <w:p>
      <w:pPr>
        <w:pStyle w:val="H3"/>
        <w:numPr>
          <w:ilvl w:val="2"/>
          <w:numId w:val="1"/>
        </w:numPr>
      </w:pPr>
      <w:r>
        <w:t>7.3 Build vs.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52"/>
        <w:gridCol w:w="3355"/>
        <w:gridCol w:w="18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w:t>
            </w:r>
          </w:p>
        </w:tc>
      </w:tr>
      <w:tr>
        <w:trPr>
          <w:trHeight w:val="425" w:hRule="atLeast"/>
        </w:trPr>
        <w:tc>
          <w:tcPr>
            <w:tcW w:type="dxa" w:w="3249"/>
            <w:vAlign w:val="center"/>
          </w:tcPr>
          <w:p>
            <w:pPr>
              <w:spacing w:line="276" w:lineRule="auto" w:before="0" w:after="0"/>
            </w:pPr>
            <w:r/>
            <w:r>
              <w:rPr>
                <w:rFonts w:ascii="Figtree" w:hAnsi="Figtree"/>
                <w:b w:val="0"/>
                <w:i w:val="0"/>
                <w:sz w:val="20"/>
              </w:rPr>
              <w:t>3-year cost</w:t>
            </w:r>
          </w:p>
        </w:tc>
        <w:tc>
          <w:tcPr>
            <w:tcW w:type="dxa" w:w="3249"/>
            <w:vAlign w:val="center"/>
          </w:tcPr>
          <w:p>
            <w:pPr>
              <w:spacing w:line="276" w:lineRule="auto" w:before="0" w:after="0"/>
            </w:pPr>
            <w:r/>
            <w:r>
              <w:rPr>
                <w:rFonts w:ascii="Figtree" w:hAnsi="Figtree"/>
                <w:b w:val="0"/>
                <w:i w:val="0"/>
                <w:sz w:val="20"/>
              </w:rPr>
              <w:t>EUR ~11M</w:t>
            </w:r>
          </w:p>
        </w:tc>
        <w:tc>
          <w:tcPr>
            <w:tcW w:type="dxa" w:w="3249"/>
            <w:vAlign w:val="center"/>
          </w:tcPr>
          <w:p>
            <w:pPr>
              <w:spacing w:line="276" w:lineRule="auto" w:before="0" w:after="0"/>
            </w:pPr>
            <w:r/>
            <w:r>
              <w:rPr>
                <w:rFonts w:ascii="Figtree" w:hAnsi="Figtree"/>
                <w:b w:val="0"/>
                <w:i w:val="0"/>
                <w:sz w:val="20"/>
              </w:rPr>
              <w:t>EUR 22-40M+</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32 weeks</w:t>
            </w:r>
          </w:p>
        </w:tc>
        <w:tc>
          <w:tcPr>
            <w:tcW w:type="dxa" w:w="3249"/>
            <w:vAlign w:val="center"/>
          </w:tcPr>
          <w:p>
            <w:pPr>
              <w:spacing w:line="276" w:lineRule="auto" w:before="0" w:after="0"/>
            </w:pPr>
            <w:r/>
            <w:r>
              <w:rPr>
                <w:rFonts w:ascii="Figtree" w:hAnsi="Figtree"/>
                <w:b w:val="0"/>
                <w:i w:val="0"/>
                <w:sz w:val="20"/>
              </w:rPr>
              <w:t>30-36 months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 validation</w:t>
            </w:r>
          </w:p>
        </w:tc>
        <w:tc>
          <w:tcPr>
            <w:tcW w:type="dxa" w:w="3249"/>
            <w:vAlign w:val="center"/>
          </w:tcPr>
          <w:p>
            <w:pPr>
              <w:spacing w:line="276" w:lineRule="auto" w:before="0" w:after="0"/>
            </w:pPr>
            <w:r/>
            <w:r>
              <w:rPr>
                <w:rFonts w:ascii="Figtree" w:hAnsi="Figtree"/>
                <w:b w:val="0"/>
                <w:i w:val="0"/>
                <w:sz w:val="20"/>
              </w:rPr>
              <w:t>7+ years production</w:t>
            </w:r>
          </w:p>
        </w:tc>
        <w:tc>
          <w:tcPr>
            <w:tcW w:type="dxa" w:w="3249"/>
            <w:vAlign w:val="center"/>
          </w:tcPr>
          <w:p>
            <w:pPr>
              <w:spacing w:line="276" w:lineRule="auto" w:before="0" w:after="0"/>
            </w:pPr>
            <w:r/>
            <w:r>
              <w:rPr>
                <w:rFonts w:ascii="Figtree" w:hAnsi="Figtree"/>
                <w:b w:val="0"/>
                <w:i w:val="0"/>
                <w:sz w:val="20"/>
              </w:rPr>
              <w:t>None at launch</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w:t>
            </w:r>
          </w:p>
        </w:tc>
        <w:tc>
          <w:tcPr>
            <w:tcW w:type="dxa" w:w="3249"/>
            <w:vAlign w:val="center"/>
          </w:tcPr>
          <w:p>
            <w:pPr>
              <w:spacing w:line="276" w:lineRule="auto" w:before="0" w:after="0"/>
            </w:pPr>
            <w:r/>
            <w:r>
              <w:rPr>
                <w:rFonts w:ascii="Figtree" w:hAnsi="Figtree"/>
                <w:b w:val="0"/>
                <w:i w:val="0"/>
                <w:sz w:val="20"/>
              </w:rPr>
              <w:t>REST API framework</w:t>
            </w:r>
          </w:p>
        </w:tc>
        <w:tc>
          <w:tcPr>
            <w:tcW w:type="dxa" w:w="3249"/>
            <w:vAlign w:val="center"/>
          </w:tcPr>
          <w:p>
            <w:pPr>
              <w:spacing w:line="276" w:lineRule="auto" w:before="0" w:after="0"/>
            </w:pPr>
            <w:r/>
            <w:r>
              <w:rPr>
                <w:rFonts w:ascii="Figtree" w:hAnsi="Figtree"/>
                <w:b w:val="0"/>
                <w:i w:val="0"/>
                <w:sz w:val="20"/>
              </w:rPr>
              <w:t>Custom build</w:t>
            </w:r>
          </w:p>
        </w:tc>
      </w:tr>
      <w:tr>
        <w:trPr>
          <w:trHeight w:val="425" w:hRule="atLeast"/>
        </w:trPr>
        <w:tc>
          <w:tcPr>
            <w:tcW w:type="dxa" w:w="3249"/>
            <w:vAlign w:val="center"/>
          </w:tcPr>
          <w:p>
            <w:pPr>
              <w:spacing w:line="276" w:lineRule="auto" w:before="0" w:after="0"/>
            </w:pPr>
            <w:r/>
            <w:r>
              <w:rPr>
                <w:rFonts w:ascii="Figtree" w:hAnsi="Figtree"/>
                <w:b w:val="0"/>
                <w:i w:val="0"/>
                <w:sz w:val="20"/>
              </w:rPr>
              <w:t>CSDR penalty exposure at launch</w:t>
            </w:r>
          </w:p>
        </w:tc>
        <w:tc>
          <w:tcPr>
            <w:tcW w:type="dxa" w:w="3249"/>
            <w:vAlign w:val="center"/>
          </w:tcPr>
          <w:p>
            <w:pPr>
              <w:spacing w:line="276" w:lineRule="auto" w:before="0" w:after="0"/>
            </w:pPr>
            <w:r/>
            <w:r>
              <w:rPr>
                <w:rFonts w:ascii="Figtree" w:hAnsi="Figtree"/>
                <w:b w:val="0"/>
                <w:i w:val="0"/>
                <w:sz w:val="20"/>
              </w:rPr>
              <w:t>Minimal (production-proven)</w:t>
            </w:r>
          </w:p>
        </w:tc>
        <w:tc>
          <w:tcPr>
            <w:tcW w:type="dxa" w:w="3249"/>
            <w:vAlign w:val="center"/>
          </w:tcPr>
          <w:p>
            <w:pPr>
              <w:spacing w:line="276" w:lineRule="auto" w:before="0" w:after="0"/>
            </w:pPr>
            <w:r/>
            <w:r>
              <w:rPr>
                <w:rFonts w:ascii="Figtree" w:hAnsi="Figtree"/>
                <w:b w:val="0"/>
                <w:i w:val="0"/>
                <w:sz w:val="20"/>
              </w:rPr>
              <w:t>High (untested)</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Sovereign Platform License Agreement (3-year initial term with multi-entity extension option), Fixed-Price Implementation Agreement (parallel run with book-entry reconciliation as contractual go-live criterion), Enterprise Support Agreement (co-terminus).</w:t>
      </w:r>
    </w:p>
    <w:p>
      <w:pPr>
        <w:pStyle w:val="H3"/>
        <w:numPr>
          <w:ilvl w:val="2"/>
          <w:numId w:val="1"/>
        </w:numPr>
      </w:pPr>
      <w:r>
        <w:t>8.2 Payment Schedule</w:t>
      </w:r>
    </w:p>
    <w:p>
      <w:r>
        <w:rPr>
          <w:rFonts w:ascii="Figtree" w:hAnsi="Figtree"/>
          <w:b w:val="0"/>
          <w:i w:val="0"/>
          <w:sz w:val="22"/>
        </w:rPr>
        <w:t>Implementation: 20% at signing, 15% per phase gate, 10% at go-live (parallel run acceptance required). License and support: Annual in advance.</w:t>
      </w:r>
    </w:p>
    <w:p>
      <w:pPr>
        <w:pStyle w:val="H3"/>
        <w:numPr>
          <w:ilvl w:val="2"/>
          <w:numId w:val="1"/>
        </w:numPr>
      </w:pPr>
      <w:r>
        <w:t>8.3 Multi-Entity Extension</w:t>
      </w:r>
    </w:p>
    <w:p>
      <w:r>
        <w:rPr>
          <w:rFonts w:ascii="Figtree" w:hAnsi="Figtree"/>
          <w:b w:val="0"/>
          <w:i w:val="0"/>
          <w:sz w:val="22"/>
        </w:rPr>
        <w:t>The Sovereign tier includes a pre-negotiated extension path for additional Euroclear entities (Euroclear Belgium, Euroclear France, etc.) at reduced license increment per additional entity. Extension scope and pricing to be confirmed during initial commercial discussions.</w:t>
      </w:r>
    </w:p>
    <w:p>
      <w:pPr>
        <w:pStyle w:val="H3"/>
        <w:numPr>
          <w:ilvl w:val="2"/>
          <w:numId w:val="1"/>
        </w:numPr>
      </w:pPr>
      <w:r>
        <w:t>8.4 IP and Data</w:t>
      </w:r>
    </w:p>
    <w:p>
      <w:r>
        <w:rPr>
          <w:rFonts w:ascii="Figtree" w:hAnsi="Figtree"/>
          <w:b w:val="0"/>
          <w:i w:val="0"/>
          <w:sz w:val="22"/>
        </w:rPr>
        <w:t>DALP platform IP: SettleMint. Settlement records, participant data, positions: Euroclear. TARGET2 integration adapter: Euroclear on delivery. Configurations: Euroclear.</w:t>
      </w:r>
    </w:p>
    <w:p>
      <w:pPr>
        <w:pStyle w:val="H3"/>
        <w:numPr>
          <w:ilvl w:val="2"/>
          <w:numId w:val="1"/>
        </w:numPr>
      </w:pPr>
      <w:r>
        <w:t>8.5 Exit</w:t>
      </w:r>
    </w:p>
    <w:p>
      <w:r>
        <w:rPr>
          <w:rFonts w:ascii="Figtree" w:hAnsi="Figtree"/>
          <w:b w:val="0"/>
          <w:i w:val="0"/>
          <w:sz w:val="22"/>
        </w:rPr>
        <w:t>90-day transition assistance. Full data export. CSDR 5-year+ audit record preservation. On-chain state on Euroclear's Besu network accessible independently. NBB notification of any exit within agreed timeline.</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6"/>
        <w:gridCol w:w="718"/>
        <w:gridCol w:w="2626"/>
        <w:gridCol w:w="893"/>
        <w:gridCol w:w="304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(XvP settlement, eligibility)</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Most comparable: ICSD scale; CSDR alignment; XvP atomicity</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CBDC pilot (settlement finality, FMI governance)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Settlement architecture; operational resilience</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securities settlement</w:t>
            </w:r>
          </w:p>
        </w:tc>
        <w:tc>
          <w:tcPr>
            <w:tcW w:type="dxa" w:w="1949"/>
            <w:vAlign w:val="center"/>
          </w:tcPr>
          <w:p>
            <w:pPr>
              <w:spacing w:line="276" w:lineRule="auto" w:before="0" w:after="0"/>
            </w:pPr>
            <w:r/>
            <w:r>
              <w:rPr>
                <w:rFonts w:ascii="Figtree" w:hAnsi="Figtree"/>
                <w:b w:val="0"/>
                <w:i w:val="0"/>
                <w:sz w:val="20"/>
              </w:rPr>
              <w:t>CSD</w:t>
            </w:r>
          </w:p>
        </w:tc>
        <w:tc>
          <w:tcPr>
            <w:tcW w:type="dxa" w:w="1949"/>
            <w:vAlign w:val="center"/>
          </w:tcPr>
          <w:p>
            <w:pPr>
              <w:spacing w:line="276" w:lineRule="auto" w:before="0" w:after="0"/>
            </w:pPr>
            <w:r/>
            <w:r>
              <w:rPr>
                <w:rFonts w:ascii="Figtree" w:hAnsi="Figtree"/>
                <w:b w:val="0"/>
                <w:i w:val="0"/>
                <w:sz w:val="20"/>
              </w:rPr>
              <w:t>DvP settlement; post-trade architecture</w:t>
            </w:r>
          </w:p>
        </w:tc>
      </w:tr>
      <w:tr>
        <w:trPr>
          <w:trHeight w:val="425" w:hRule="atLeast"/>
        </w:trPr>
        <w:tc>
          <w:tcPr>
            <w:tcW w:type="dxa" w:w="1949"/>
            <w:vAlign w:val="center"/>
          </w:tcPr>
          <w:p>
            <w:pPr>
              <w:spacing w:line="276" w:lineRule="auto" w:before="0" w:after="0"/>
            </w:pPr>
            <w:r/>
            <w:r>
              <w:rPr>
                <w:rFonts w:ascii="Figtree" w:hAnsi="Figtree"/>
                <w:b w:val="0"/>
                <w:i w:val="0"/>
                <w:sz w:val="20"/>
              </w:rPr>
              <w:t>Euroclear Bank (analogous context)</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Settlement infrastructure</w:t>
            </w:r>
          </w:p>
        </w:tc>
        <w:tc>
          <w:tcPr>
            <w:tcW w:type="dxa" w:w="1949"/>
            <w:vAlign w:val="center"/>
          </w:tcPr>
          <w:p>
            <w:pPr>
              <w:spacing w:line="276" w:lineRule="auto" w:before="0" w:after="0"/>
            </w:pPr>
            <w:r/>
            <w:r>
              <w:rPr>
                <w:rFonts w:ascii="Figtree" w:hAnsi="Figtree"/>
                <w:b w:val="0"/>
                <w:i w:val="0"/>
                <w:sz w:val="20"/>
              </w:rPr>
              <w:t>ICSD</w:t>
            </w:r>
          </w:p>
        </w:tc>
        <w:tc>
          <w:tcPr>
            <w:tcW w:type="dxa" w:w="1949"/>
            <w:vAlign w:val="center"/>
          </w:tcPr>
          <w:p>
            <w:pPr>
              <w:spacing w:line="276" w:lineRule="auto" w:before="0" w:after="0"/>
            </w:pPr>
            <w:r/>
            <w:r>
              <w:rPr>
                <w:rFonts w:ascii="Figtree" w:hAnsi="Figtree"/>
                <w:b w:val="0"/>
                <w:i w:val="0"/>
                <w:sz w:val="20"/>
              </w:rPr>
              <w:t>Direct institutional context</w:t>
            </w:r>
          </w:p>
        </w:tc>
      </w:tr>
    </w:tbl>
    <w:p>
      <w:pPr>
        <w:spacing w:before="0" w:after="0" w:line="120" w:lineRule="exact"/>
      </w:pPr>
    </w:p>
    <w:p>
      <w:r>
        <w:rPr>
          <w:rFonts w:ascii="Figtree" w:hAnsi="Figtree"/>
          <w:b/>
          <w:i w:val="0"/>
          <w:sz w:val="22"/>
        </w:rPr>
        <w:t>Key case study: Clearstream</w:t>
      </w:r>
    </w:p>
    <w:p>
      <w:r>
        <w:rPr>
          <w:rFonts w:ascii="Figtree" w:hAnsi="Figtree"/>
          <w:b w:val="0"/>
          <w:i w:val="0"/>
          <w:sz w:val="22"/>
        </w:rPr>
        <w:t>Clearstream's tokenized collateral programme is the closest production reference. The programme deployed XvP atomic settlement, on-chain eligibility enforcement, CSDR/DORA alignment, and real-time position management at ICSD operational scale. Settlement certainty was the non-negotiable design constraint. This mirrors Euroclear's requirements directly.</w:t>
      </w:r>
    </w:p>
    <w:p>
      <w:r>
        <w:br w:type="page"/>
      </w: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34"/>
        <w:gridCol w:w="27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4873"/>
            <w:vAlign w:val="center"/>
          </w:tcPr>
          <w:p>
            <w:pPr>
              <w:spacing w:line="276" w:lineRule="auto" w:before="0" w:after="0"/>
            </w:pPr>
            <w:r/>
            <w:r>
              <w:rPr>
                <w:rFonts w:ascii="Figtree" w:hAnsi="Figtree"/>
                <w:b w:val="0"/>
                <w:i w:val="0"/>
                <w:sz w:val="20"/>
              </w:rPr>
              <w:t>Commercial Q&amp;A</w:t>
            </w:r>
          </w:p>
        </w:tc>
        <w:tc>
          <w:tcPr>
            <w:tcW w:type="dxa" w:w="4873"/>
            <w:vAlign w:val="center"/>
          </w:tcPr>
          <w:p>
            <w:pPr>
              <w:spacing w:line="276" w:lineRule="auto" w:before="0" w:after="0"/>
            </w:pPr>
            <w:r/>
            <w:r>
              <w:rPr>
                <w:rFonts w:ascii="Figtree" w:hAnsi="Figtree"/>
                <w:b w:val="0"/>
                <w:i w:val="0"/>
                <w:sz w:val="20"/>
              </w:rPr>
              <w:t>Within 2 weeks</w:t>
            </w:r>
          </w:p>
        </w:tc>
      </w:tr>
      <w:tr>
        <w:trPr>
          <w:trHeight w:val="425" w:hRule="atLeast"/>
        </w:trPr>
        <w:tc>
          <w:tcPr>
            <w:tcW w:type="dxa" w:w="4873"/>
            <w:vAlign w:val="center"/>
          </w:tcPr>
          <w:p>
            <w:pPr>
              <w:spacing w:line="276" w:lineRule="auto" w:before="0" w:after="0"/>
            </w:pPr>
            <w:r/>
            <w:r>
              <w:rPr>
                <w:rFonts w:ascii="Figtree" w:hAnsi="Figtree"/>
                <w:b w:val="0"/>
                <w:i w:val="0"/>
                <w:sz w:val="20"/>
              </w:rPr>
              <w:t>Settlement architecture scoping workshop</w:t>
            </w:r>
          </w:p>
        </w:tc>
        <w:tc>
          <w:tcPr>
            <w:tcW w:type="dxa" w:w="4873"/>
            <w:vAlign w:val="center"/>
          </w:tcPr>
          <w:p>
            <w:pPr>
              <w:spacing w:line="276" w:lineRule="auto" w:before="0" w:after="0"/>
            </w:pPr>
            <w:r/>
            <w:r>
              <w:rPr>
                <w:rFonts w:ascii="Figtree" w:hAnsi="Figtree"/>
                <w:b w:val="0"/>
                <w:i w:val="0"/>
                <w:sz w:val="20"/>
              </w:rPr>
              <w:t>Week 3-4</w:t>
            </w:r>
          </w:p>
        </w:tc>
      </w:tr>
      <w:tr>
        <w:trPr>
          <w:trHeight w:val="425" w:hRule="atLeast"/>
        </w:trPr>
        <w:tc>
          <w:tcPr>
            <w:tcW w:type="dxa" w:w="4873"/>
            <w:vAlign w:val="center"/>
          </w:tcPr>
          <w:p>
            <w:pPr>
              <w:spacing w:line="276" w:lineRule="auto" w:before="0" w:after="0"/>
            </w:pPr>
            <w:r/>
            <w:r>
              <w:rPr>
                <w:rFonts w:ascii="Figtree" w:hAnsi="Figtree"/>
                <w:b w:val="0"/>
                <w:i w:val="0"/>
                <w:sz w:val="20"/>
              </w:rPr>
              <w:t>TARGET2 integration design session</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NBB notification strategy</w:t>
            </w:r>
          </w:p>
        </w:tc>
        <w:tc>
          <w:tcPr>
            <w:tcW w:type="dxa" w:w="4873"/>
            <w:vAlign w:val="center"/>
          </w:tcPr>
          <w:p>
            <w:pPr>
              <w:spacing w:line="276" w:lineRule="auto" w:before="0" w:after="0"/>
            </w:pPr>
            <w:r/>
            <w:r>
              <w:rPr>
                <w:rFonts w:ascii="Figtree" w:hAnsi="Figtree"/>
                <w:b w:val="0"/>
                <w:i w:val="0"/>
                <w:sz w:val="20"/>
              </w:rPr>
              <w:t>Week 4-5</w:t>
            </w:r>
          </w:p>
        </w:tc>
      </w:tr>
      <w:tr>
        <w:trPr>
          <w:trHeight w:val="425" w:hRule="atLeast"/>
        </w:trPr>
        <w:tc>
          <w:tcPr>
            <w:tcW w:type="dxa" w:w="4873"/>
            <w:vAlign w:val="center"/>
          </w:tcPr>
          <w:p>
            <w:pPr>
              <w:spacing w:line="276" w:lineRule="auto" w:before="0" w:after="0"/>
            </w:pPr>
            <w:r/>
            <w:r>
              <w:rPr>
                <w:rFonts w:ascii="Figtree" w:hAnsi="Figtree"/>
                <w:b w:val="0"/>
                <w:i w:val="0"/>
                <w:sz w:val="20"/>
              </w:rPr>
              <w:t>Technical due diligence</w:t>
            </w:r>
          </w:p>
        </w:tc>
        <w:tc>
          <w:tcPr>
            <w:tcW w:type="dxa" w:w="4873"/>
            <w:vAlign w:val="center"/>
          </w:tcPr>
          <w:p>
            <w:pPr>
              <w:spacing w:line="276" w:lineRule="auto" w:before="0" w:after="0"/>
            </w:pPr>
            <w:r/>
            <w:r>
              <w:rPr>
                <w:rFonts w:ascii="Figtree" w:hAnsi="Figtree"/>
                <w:b w:val="0"/>
                <w:i w:val="0"/>
                <w:sz w:val="20"/>
              </w:rPr>
              <w:t>Week 4-6</w:t>
            </w:r>
          </w:p>
        </w:tc>
      </w:tr>
      <w:tr>
        <w:trPr>
          <w:trHeight w:val="425" w:hRule="atLeast"/>
        </w:trPr>
        <w:tc>
          <w:tcPr>
            <w:tcW w:type="dxa" w:w="4873"/>
            <w:vAlign w:val="center"/>
          </w:tcPr>
          <w:p>
            <w:pPr>
              <w:spacing w:line="276" w:lineRule="auto" w:before="0" w:after="0"/>
            </w:pPr>
            <w:r/>
            <w:r>
              <w:rPr>
                <w:rFonts w:ascii="Figtree" w:hAnsi="Figtree"/>
                <w:b w:val="0"/>
                <w:i w:val="0"/>
                <w:sz w:val="20"/>
              </w:rPr>
              <w:t>Firm commercial proposal</w:t>
            </w:r>
          </w:p>
        </w:tc>
        <w:tc>
          <w:tcPr>
            <w:tcW w:type="dxa" w:w="4873"/>
            <w:vAlign w:val="center"/>
          </w:tcPr>
          <w:p>
            <w:pPr>
              <w:spacing w:line="276" w:lineRule="auto" w:before="0" w:after="0"/>
            </w:pPr>
            <w:r/>
            <w:r>
              <w:rPr>
                <w:rFonts w:ascii="Figtree" w:hAnsi="Figtree"/>
                <w:b w:val="0"/>
                <w:i w:val="0"/>
                <w:sz w:val="20"/>
              </w:rPr>
              <w:t>Week 5-7</w:t>
            </w:r>
          </w:p>
        </w:tc>
      </w:tr>
      <w:tr>
        <w:trPr>
          <w:trHeight w:val="425" w:hRule="atLeast"/>
        </w:trPr>
        <w:tc>
          <w:tcPr>
            <w:tcW w:type="dxa" w:w="4873"/>
            <w:vAlign w:val="center"/>
          </w:tcPr>
          <w:p>
            <w:pPr>
              <w:spacing w:line="276" w:lineRule="auto" w:before="0" w:after="0"/>
            </w:pPr>
            <w:r/>
            <w:r>
              <w:rPr>
                <w:rFonts w:ascii="Figtree" w:hAnsi="Figtree"/>
                <w:b w:val="0"/>
                <w:i w:val="0"/>
                <w:sz w:val="20"/>
              </w:rPr>
              <w:t>Multi-entity extension discussion</w:t>
            </w:r>
          </w:p>
        </w:tc>
        <w:tc>
          <w:tcPr>
            <w:tcW w:type="dxa" w:w="4873"/>
            <w:vAlign w:val="center"/>
          </w:tcPr>
          <w:p>
            <w:pPr>
              <w:spacing w:line="276" w:lineRule="auto" w:before="0" w:after="0"/>
            </w:pPr>
            <w:r/>
            <w:r>
              <w:rPr>
                <w:rFonts w:ascii="Figtree" w:hAnsi="Figtree"/>
                <w:b w:val="0"/>
                <w:i w:val="0"/>
                <w:sz w:val="20"/>
              </w:rPr>
              <w:t>Week 6-8</w:t>
            </w:r>
          </w:p>
        </w:tc>
      </w:tr>
      <w:tr>
        <w:trPr>
          <w:trHeight w:val="425" w:hRule="atLeast"/>
        </w:trPr>
        <w:tc>
          <w:tcPr>
            <w:tcW w:type="dxa" w:w="4873"/>
            <w:vAlign w:val="center"/>
          </w:tcPr>
          <w:p>
            <w:pPr>
              <w:spacing w:line="276" w:lineRule="auto" w:before="0" w:after="0"/>
            </w:pPr>
            <w:r/>
            <w:r>
              <w:rPr>
                <w:rFonts w:ascii="Figtree" w:hAnsi="Figtree"/>
                <w:b w:val="0"/>
                <w:i w:val="0"/>
                <w:sz w:val="20"/>
              </w:rPr>
              <w:t>Contract negotiation</w:t>
            </w:r>
          </w:p>
        </w:tc>
        <w:tc>
          <w:tcPr>
            <w:tcW w:type="dxa" w:w="4873"/>
            <w:vAlign w:val="center"/>
          </w:tcPr>
          <w:p>
            <w:pPr>
              <w:spacing w:line="276" w:lineRule="auto" w:before="0" w:after="0"/>
            </w:pPr>
            <w:r/>
            <w:r>
              <w:rPr>
                <w:rFonts w:ascii="Figtree" w:hAnsi="Figtree"/>
                <w:b w:val="0"/>
                <w:i w:val="0"/>
                <w:sz w:val="20"/>
              </w:rPr>
              <w:t>Week 8-12</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