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Investment Rationale</w:t>
          </w:r>
          <w:r>
            <w:tab/>
          </w:r>
          <w:r>
            <w:t xml:space="preserve">5</w:t>
          </w:r>
        </w:p>
        <w:p>
          <w:pPr>
            <w:pStyle w:val="TOC3"/>
            <w:tabs>
              <w:tab w:val="right" w:leader="dot" w:pos="9072"/>
            </w:tabs>
          </w:pPr>
          <w:r>
            <w:t xml:space="preserve">Cost of Current Approach</w:t>
          </w:r>
          <w:r>
            <w:tab/>
          </w:r>
          <w:r>
            <w:t xml:space="preserve">6</w:t>
          </w:r>
        </w:p>
        <w:p>
          <w:pPr>
            <w:pStyle w:val="TOC3"/>
            <w:tabs>
              <w:tab w:val="right" w:leader="dot" w:pos="9072"/>
            </w:tabs>
          </w:pPr>
          <w:r>
            <w:t xml:space="preserve">DALP Value Drivers</w:t>
          </w:r>
          <w:r>
            <w:tab/>
          </w:r>
          <w:r>
            <w:t xml:space="preserve">7</w:t>
          </w:r>
        </w:p>
        <w:p>
          <w:pPr>
            <w:pStyle w:val="TOC3"/>
            <w:tabs>
              <w:tab w:val="right" w:leader="dot" w:pos="9072"/>
            </w:tabs>
          </w:pPr>
          <w:r>
            <w:t xml:space="preserve">ROI Framework</w:t>
          </w:r>
          <w:r>
            <w:tab/>
          </w:r>
          <w:r>
            <w:t xml:space="preserve">8</w:t>
          </w:r>
        </w:p>
        <w:p>
          <w:pPr>
            <w:pStyle w:val="TOC2"/>
            <w:tabs>
              <w:tab w:val="right" w:leader="dot" w:pos="9072"/>
            </w:tabs>
          </w:pPr>
          <w:r>
            <w:t xml:space="preserve">Licensing Model</w:t>
          </w:r>
          <w:r>
            <w:tab/>
          </w:r>
          <w:r>
            <w:t xml:space="preserve">9</w:t>
          </w:r>
        </w:p>
        <w:p>
          <w:pPr>
            <w:pStyle w:val="TOC3"/>
            <w:tabs>
              <w:tab w:val="right" w:leader="dot" w:pos="9072"/>
            </w:tabs>
          </w:pPr>
          <w:r>
            <w:t xml:space="preserve">Philosophy</w:t>
          </w:r>
          <w:r>
            <w:tab/>
          </w:r>
          <w:r>
            <w:t xml:space="preserve">10</w:t>
          </w:r>
        </w:p>
        <w:p>
          <w:pPr>
            <w:pStyle w:val="TOC3"/>
            <w:tabs>
              <w:tab w:val="right" w:leader="dot" w:pos="9072"/>
            </w:tabs>
          </w:pPr>
          <w:r>
            <w:t xml:space="preserve">Tier Recommendation</w:t>
          </w:r>
          <w:r>
            <w:tab/>
          </w:r>
          <w:r>
            <w:t xml:space="preserve">11</w:t>
          </w:r>
        </w:p>
        <w:p>
          <w:pPr>
            <w:pStyle w:val="TOC2"/>
            <w:tabs>
              <w:tab w:val="right" w:leader="dot" w:pos="9072"/>
            </w:tabs>
          </w:pPr>
          <w:r>
            <w:t xml:space="preserve">Deployment Options and Pricing</w:t>
          </w:r>
          <w:r>
            <w:tab/>
          </w:r>
          <w:r>
            <w:t xml:space="preserve">12</w:t>
          </w:r>
        </w:p>
        <w:p>
          <w:pPr>
            <w:pStyle w:val="TOC3"/>
            <w:tabs>
              <w:tab w:val="right" w:leader="dot" w:pos="9072"/>
            </w:tabs>
          </w:pPr>
          <w:r>
            <w:t xml:space="preserve">Recommended: Sovereign On-Premises (Dual EU Data Centers)</w:t>
          </w:r>
          <w:r>
            <w:tab/>
          </w:r>
          <w:r>
            <w:t xml:space="preserve">13</w:t>
          </w:r>
        </w:p>
        <w:p>
          <w:pPr>
            <w:pStyle w:val="TOC2"/>
            <w:tabs>
              <w:tab w:val="right" w:leader="dot" w:pos="9072"/>
            </w:tabs>
          </w:pPr>
          <w:r>
            <w:t xml:space="preserve">Support and SLA Framework</w:t>
          </w:r>
          <w:r>
            <w:tab/>
          </w:r>
          <w:r>
            <w:t xml:space="preserve">14</w:t>
          </w:r>
        </w:p>
        <w:p>
          <w:pPr>
            <w:pStyle w:val="TOC3"/>
            <w:tabs>
              <w:tab w:val="right" w:leader="dot" w:pos="9072"/>
            </w:tabs>
          </w:pPr>
          <w:r>
            <w:t xml:space="preserve">Enterprise Support (Required for Systemic FMI)</w:t>
          </w:r>
          <w:r>
            <w:tab/>
          </w:r>
          <w:r>
            <w:t xml:space="preserve">15</w:t>
          </w:r>
        </w:p>
        <w:p>
          <w:pPr>
            <w:pStyle w:val="TOC3"/>
            <w:tabs>
              <w:tab w:val="right" w:leader="dot" w:pos="9072"/>
            </w:tabs>
          </w:pPr>
          <w:r>
            <w:t xml:space="preserve">Severity Definitions</w:t>
          </w:r>
          <w:r>
            <w:tab/>
          </w:r>
          <w:r>
            <w:t xml:space="preserve">16</w:t>
          </w:r>
        </w:p>
        <w:p>
          <w:pPr>
            <w:pStyle w:val="TOC2"/>
            <w:tabs>
              <w:tab w:val="right" w:leader="dot" w:pos="9072"/>
            </w:tabs>
          </w:pPr>
          <w:r>
            <w:t xml:space="preserve">Implementation Investment</w:t>
          </w:r>
          <w:r>
            <w:tab/>
          </w:r>
          <w:r>
            <w:t xml:space="preserve">17</w:t>
          </w:r>
        </w:p>
        <w:p>
          <w:pPr>
            <w:pStyle w:val="TOC2"/>
            <w:tabs>
              <w:tab w:val="right" w:leader="dot" w:pos="9072"/>
            </w:tabs>
          </w:pPr>
          <w:r>
            <w:t xml:space="preserve">Total Cost of Ownership</w:t>
          </w:r>
          <w:r>
            <w:tab/>
          </w:r>
          <w:r>
            <w:t xml:space="preserve">18</w:t>
          </w:r>
        </w:p>
        <w:p>
          <w:pPr>
            <w:pStyle w:val="TOC3"/>
            <w:tabs>
              <w:tab w:val="right" w:leader="dot" w:pos="9072"/>
            </w:tabs>
          </w:pPr>
          <w:r>
            <w:t xml:space="preserve">Three-Year TCO</w:t>
          </w:r>
          <w:r>
            <w:tab/>
          </w:r>
          <w:r>
            <w:t xml:space="preserve">19</w:t>
          </w:r>
        </w:p>
        <w:p>
          <w:pPr>
            <w:pStyle w:val="TOC3"/>
            <w:tabs>
              <w:tab w:val="right" w:leader="dot" w:pos="9072"/>
            </w:tabs>
          </w:pPr>
          <w:r>
            <w:t xml:space="preserve">Build vs. DALP</w:t>
          </w:r>
          <w:r>
            <w:tab/>
          </w:r>
          <w:r>
            <w:t xml:space="preserve">20</w:t>
          </w:r>
        </w:p>
        <w:p>
          <w:pPr>
            <w:pStyle w:val="TOC2"/>
            <w:tabs>
              <w:tab w:val="right" w:leader="dot" w:pos="9072"/>
            </w:tabs>
          </w:pPr>
          <w:r>
            <w:t xml:space="preserve">Commercial Terms</w:t>
          </w:r>
          <w:r>
            <w:tab/>
          </w:r>
          <w:r>
            <w:t xml:space="preserve">21</w:t>
          </w:r>
        </w:p>
        <w:p>
          <w:pPr>
            <w:pStyle w:val="TOC3"/>
            <w:tabs>
              <w:tab w:val="right" w:leader="dot" w:pos="9072"/>
            </w:tabs>
          </w:pPr>
          <w:r>
            <w:t xml:space="preserve">Contract Structure</w:t>
          </w:r>
          <w:r>
            <w:tab/>
          </w:r>
          <w:r>
            <w:t xml:space="preserve">22</w:t>
          </w:r>
        </w:p>
        <w:p>
          <w:pPr>
            <w:pStyle w:val="TOC3"/>
            <w:tabs>
              <w:tab w:val="right" w:leader="dot" w:pos="9072"/>
            </w:tabs>
          </w:pPr>
          <w:r>
            <w:t xml:space="preserve">Payment Schedule</w:t>
          </w:r>
          <w:r>
            <w:tab/>
          </w:r>
          <w:r>
            <w:t xml:space="preserve">23</w:t>
          </w:r>
        </w:p>
        <w:p>
          <w:pPr>
            <w:pStyle w:val="TOC3"/>
            <w:tabs>
              <w:tab w:val="right" w:leader="dot" w:pos="9072"/>
            </w:tabs>
          </w:pPr>
          <w:r>
            <w:t xml:space="preserve">Eurosystem Extension</w:t>
          </w:r>
          <w:r>
            <w:tab/>
          </w:r>
          <w:r>
            <w:t xml:space="preserve">24</w:t>
          </w:r>
        </w:p>
        <w:p>
          <w:pPr>
            <w:pStyle w:val="TOC3"/>
            <w:tabs>
              <w:tab w:val="right" w:leader="dot" w:pos="9072"/>
            </w:tabs>
          </w:pPr>
          <w:r>
            <w:t xml:space="preserve">IP and Data</w:t>
          </w:r>
          <w:r>
            <w:tab/>
          </w:r>
          <w:r>
            <w:t xml:space="preserve">25</w:t>
          </w:r>
        </w:p>
        <w:p>
          <w:pPr>
            <w:pStyle w:val="TOC3"/>
            <w:tabs>
              <w:tab w:val="right" w:leader="dot" w:pos="9072"/>
            </w:tabs>
          </w:pPr>
          <w:r>
            <w:t xml:space="preserve">Exit</w:t>
          </w:r>
          <w:r>
            <w:tab/>
          </w:r>
          <w:r>
            <w:t xml:space="preserve">26</w:t>
          </w:r>
        </w:p>
        <w:p>
          <w:pPr>
            <w:pStyle w:val="TOC2"/>
            <w:tabs>
              <w:tab w:val="right" w:leader="dot" w:pos="9072"/>
            </w:tabs>
          </w:pPr>
          <w:r>
            <w:t xml:space="preserve">Reference Clients</w:t>
          </w:r>
          <w:r>
            <w:tab/>
          </w:r>
          <w:r>
            <w:t xml:space="preserve">27</w:t>
          </w:r>
        </w:p>
        <w:p>
          <w:pPr>
            <w:pStyle w:val="TOC2"/>
            <w:tabs>
              <w:tab w:val="right" w:leader="dot" w:pos="9072"/>
            </w:tabs>
          </w:pPr>
          <w:r>
            <w:t xml:space="preserve">Next Steps</w:t>
          </w:r>
          <w:r>
            <w:tab/>
          </w:r>
          <w:r>
            <w:t xml:space="preserve">28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European Central Bank</w:t>
      </w:r>
    </w:p>
    <w:p>
      <w:r>
        <w:rPr>
          <w:rFonts w:ascii="Figtree" w:hAnsi="Figtree"/>
          <w:b/>
          <w:i w:val="0"/>
          <w:sz w:val="22"/>
        </w:rPr>
        <w:t>Document Title:</w:t>
      </w:r>
      <w:r>
        <w:rPr>
          <w:rFonts w:ascii="Figtree" w:hAnsi="Figtree"/>
          <w:b w:val="0"/>
          <w:i w:val="0"/>
          <w:sz w:val="22"/>
        </w:rPr>
        <w:t xml:space="preserve"> Commercial Proposal: Digital Euro Wholesale Settlement Infrastructure</w:t>
      </w:r>
    </w:p>
    <w:p>
      <w:r>
        <w:rPr>
          <w:rFonts w:ascii="Figtree" w:hAnsi="Figtree"/>
          <w:b/>
          <w:i w:val="0"/>
          <w:sz w:val="22"/>
        </w:rPr>
        <w:t>RFP Reference:</w:t>
      </w:r>
      <w:r>
        <w:rPr>
          <w:rFonts w:ascii="Figtree" w:hAnsi="Figtree"/>
          <w:b w:val="0"/>
          <w:i w:val="0"/>
          <w:sz w:val="22"/>
        </w:rPr>
        <w:t xml:space="preserve"> EUROPEANCENTRALBANK-RFP-202603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The European Central Bank's wholesale digital euro settlement programme requires infrastructure where settlement finality is legally irrevocable, DvP atomicity is guaranteed under all operating conditions, and the Eurosystem governance model is enforced at the technical level. As the monetary authority for the eurozone, the ECB cannot operate settlement infrastructure that creates uncertainty about whether a transaction has achieved finality, who authorized it, or under what policy constraints it executed.</w:t>
      </w:r>
    </w:p>
    <w:p>
      <w:r>
        <w:rPr>
          <w:rFonts w:ascii="Figtree" w:hAnsi="Figtree"/>
          <w:b w:val="0"/>
          <w:i w:val="0"/>
          <w:sz w:val="22"/>
        </w:rPr>
        <w:t>The commercial decision facing the ECB is whether to build the wholesale settlement engine, consensus finality mechanism, TARGET2 integration, and Eurosystem governance enforcement from scratch (estimated at EUR 25-45M over 36-48 months), assemble these capabilities from multiple vendors (with fragmented accountability across a systemically important FMI), or adopt a platform with production-proven settlement finality at comparable institutional scale.</w:t>
      </w:r>
    </w:p>
    <w:p>
      <w:r>
        <w:rPr>
          <w:rFonts w:ascii="Figtree" w:hAnsi="Figtree"/>
          <w:b w:val="0"/>
          <w:i w:val="0"/>
          <w:sz w:val="22"/>
        </w:rPr>
        <w:t>DALP addresses the ECB's requirements through a sovereign deployment model where the ECB retains full infrastructure control, the Eurosystem governance hierarchy is enforced at the smart contract level, and settlement finality is delivered through IBFT 2.0 consensus with 7+ years of production validation.</w:t>
      </w:r>
    </w:p>
    <w:p>
      <w:r>
        <w:rPr>
          <w:rFonts w:ascii="Figtree" w:hAnsi="Figtree"/>
          <w:b/>
          <w:i w:val="0"/>
          <w:sz w:val="22"/>
        </w:rPr>
        <w:t>Recommended commercial profile:</w:t>
      </w:r>
    </w:p>
    <w:p>
      <w:pPr>
        <w:pStyle w:val="ListParagraph"/>
        <w:numPr>
          <w:ilvl w:val="0"/>
          <w:numId w:val="4"/>
        </w:numPr>
      </w:pPr>
      <w:r>
        <w:rPr>
          <w:rFonts w:ascii="Figtree" w:hAnsi="Figtree"/>
          <w:b/>
          <w:i w:val="0"/>
          <w:sz w:val="22"/>
        </w:rPr>
        <w:t>License tier:</w:t>
      </w:r>
      <w:r>
        <w:rPr>
          <w:rFonts w:ascii="Figtree" w:hAnsi="Figtree"/>
          <w:b w:val="0"/>
          <w:i w:val="0"/>
          <w:sz w:val="22"/>
        </w:rPr>
        <w:t xml:space="preserve"> Sovereign (systemic FMI governance; Eurosystem multi-entity extension; CPMI-IOSCO PFMI alignment)</w:t>
      </w:r>
    </w:p>
    <w:p>
      <w:pPr>
        <w:pStyle w:val="ListParagraph"/>
        <w:numPr>
          <w:ilvl w:val="0"/>
          <w:numId w:val="4"/>
        </w:numPr>
      </w:pPr>
      <w:r>
        <w:rPr>
          <w:rFonts w:ascii="Figtree" w:hAnsi="Figtree"/>
          <w:b/>
          <w:i w:val="0"/>
          <w:sz w:val="22"/>
        </w:rPr>
        <w:t>Deployment:</w:t>
      </w:r>
      <w:r>
        <w:rPr>
          <w:rFonts w:ascii="Figtree" w:hAnsi="Figtree"/>
          <w:b w:val="0"/>
          <w:i w:val="0"/>
          <w:sz w:val="22"/>
        </w:rPr>
        <w:t xml:space="preserve"> Sovereign on-premises across two EU data centers under ECB control</w:t>
      </w:r>
    </w:p>
    <w:p>
      <w:pPr>
        <w:pStyle w:val="ListParagraph"/>
        <w:numPr>
          <w:ilvl w:val="0"/>
          <w:numId w:val="4"/>
        </w:numPr>
      </w:pPr>
      <w:r>
        <w:rPr>
          <w:rFonts w:ascii="Figtree" w:hAnsi="Figtree"/>
          <w:b/>
          <w:i w:val="0"/>
          <w:sz w:val="22"/>
        </w:rPr>
        <w:t>Implementation:</w:t>
      </w:r>
      <w:r>
        <w:rPr>
          <w:rFonts w:ascii="Figtree" w:hAnsi="Figtree"/>
          <w:b w:val="0"/>
          <w:i w:val="0"/>
          <w:sz w:val="22"/>
        </w:rPr>
        <w:t xml:space="preserve"> Fixed-price, 32-week delivery including TARGET2 integration and parallel run</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(24/7, DORA/CPMI-IOSCO aligned, dedicated SRE team)</w:t>
      </w:r>
    </w:p>
    <w:p>
      <w:r>
        <w:rPr>
          <w:rFonts w:ascii="Figtree" w:hAnsi="Figtree"/>
          <w:b/>
          <w:i w:val="0"/>
          <w:sz w:val="22"/>
        </w:rPr>
        <w:t>Indicative 3-year investment:</w:t>
      </w:r>
      <w:r>
        <w:rPr>
          <w:rFonts w:ascii="Figtree" w:hAnsi="Figtree"/>
          <w:b w:val="0"/>
          <w:i w:val="0"/>
          <w:sz w:val="22"/>
        </w:rPr>
        <w:t xml:space="preserve"> EUR [CLIENT-SPECIFIC: ~8M-14M] total. Internal build estimate: EUR 25-45M+ over 36-48 months.</w:t>
      </w:r>
    </w:p>
    <w:p>
      <w:pPr>
        <w:jc w:val="center"/>
      </w:pPr>
      <w:r>
        <w:drawing>
          <wp:inline xmlns:a="http://schemas.openxmlformats.org/drawingml/2006/main" xmlns:pic="http://schemas.openxmlformats.org/drawingml/2006/picture">
            <wp:extent cx="5486400" cy="295313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953139"/>
                    </a:xfrm>
                    <a:prstGeom prst="rect"/>
                  </pic:spPr>
                </pic:pic>
              </a:graphicData>
            </a:graphic>
          </wp:inline>
        </w:drawing>
      </w:r>
    </w:p>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i w:val="0"/>
          <w:sz w:val="22"/>
        </w:rPr>
        <w:t>Internal build estimate: EUR 25-45M+ over 36-48 months.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1296"/>
        <w:gridCol w:w="1196"/>
        <w:gridCol w:w="13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 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FTE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2436"/>
            <w:vAlign w:val="center"/>
          </w:tcPr>
          <w:p>
            <w:pPr>
              <w:spacing w:line="276" w:lineRule="auto" w:before="0" w:after="0"/>
            </w:pPr>
            <w:r/>
            <w:r>
              <w:rPr>
                <w:rFonts w:ascii="Figtree" w:hAnsi="Figtree"/>
                <w:b w:val="0"/>
                <w:i w:val="0"/>
                <w:sz w:val="20"/>
              </w:rPr>
              <w:t>XvP atomic DvP settlement engine</w:t>
            </w:r>
          </w:p>
        </w:tc>
        <w:tc>
          <w:tcPr>
            <w:tcW w:type="dxa" w:w="2436"/>
            <w:vAlign w:val="center"/>
          </w:tcPr>
          <w:p>
            <w:pPr>
              <w:spacing w:line="276" w:lineRule="auto" w:before="0" w:after="0"/>
            </w:pPr>
            <w:r/>
            <w:r>
              <w:rPr>
                <w:rFonts w:ascii="Figtree" w:hAnsi="Figtree"/>
                <w:b w:val="0"/>
                <w:i w:val="0"/>
                <w:sz w:val="20"/>
              </w:rPr>
              <w:t>8-12 FTE</w:t>
            </w:r>
          </w:p>
        </w:tc>
        <w:tc>
          <w:tcPr>
            <w:tcW w:type="dxa" w:w="2436"/>
            <w:vAlign w:val="center"/>
          </w:tcPr>
          <w:p>
            <w:pPr>
              <w:spacing w:line="276" w:lineRule="auto" w:before="0" w:after="0"/>
            </w:pPr>
            <w:r/>
            <w:r>
              <w:rPr>
                <w:rFonts w:ascii="Figtree" w:hAnsi="Figtree"/>
                <w:b w:val="0"/>
                <w:i w:val="0"/>
                <w:sz w:val="20"/>
              </w:rPr>
              <w:t>24-30 months</w:t>
            </w:r>
          </w:p>
        </w:tc>
        <w:tc>
          <w:tcPr>
            <w:tcW w:type="dxa" w:w="2436"/>
            <w:vAlign w:val="center"/>
          </w:tcPr>
          <w:p>
            <w:pPr>
              <w:spacing w:line="276" w:lineRule="auto" w:before="0" w:after="0"/>
            </w:pPr>
            <w:r/>
            <w:r>
              <w:rPr>
                <w:rFonts w:ascii="Figtree" w:hAnsi="Figtree"/>
                <w:b w:val="0"/>
                <w:i w:val="0"/>
                <w:sz w:val="20"/>
              </w:rPr>
              <w:t>EUR 6-10M</w:t>
            </w:r>
          </w:p>
        </w:tc>
      </w:tr>
      <w:tr>
        <w:trPr>
          <w:trHeight w:val="425" w:hRule="atLeast"/>
        </w:trPr>
        <w:tc>
          <w:tcPr>
            <w:tcW w:type="dxa" w:w="2436"/>
            <w:vAlign w:val="center"/>
          </w:tcPr>
          <w:p>
            <w:pPr>
              <w:spacing w:line="276" w:lineRule="auto" w:before="0" w:after="0"/>
            </w:pPr>
            <w:r/>
            <w:r>
              <w:rPr>
                <w:rFonts w:ascii="Figtree" w:hAnsi="Figtree"/>
                <w:b w:val="0"/>
                <w:i w:val="0"/>
                <w:sz w:val="20"/>
              </w:rPr>
              <w:t>IBFT 2.0 finality layer and consensus engineering</w:t>
            </w:r>
          </w:p>
        </w:tc>
        <w:tc>
          <w:tcPr>
            <w:tcW w:type="dxa" w:w="2436"/>
            <w:vAlign w:val="center"/>
          </w:tcPr>
          <w:p>
            <w:pPr>
              <w:spacing w:line="276" w:lineRule="auto" w:before="0" w:after="0"/>
            </w:pPr>
            <w:r/>
            <w:r>
              <w:rPr>
                <w:rFonts w:ascii="Figtree" w:hAnsi="Figtree"/>
                <w:b w:val="0"/>
                <w:i w:val="0"/>
                <w:sz w:val="20"/>
              </w:rPr>
              <w:t>5-8 FTE</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EUR 4-7M</w:t>
            </w:r>
          </w:p>
        </w:tc>
      </w:tr>
      <w:tr>
        <w:trPr>
          <w:trHeight w:val="425" w:hRule="atLeast"/>
        </w:trPr>
        <w:tc>
          <w:tcPr>
            <w:tcW w:type="dxa" w:w="2436"/>
            <w:vAlign w:val="center"/>
          </w:tcPr>
          <w:p>
            <w:pPr>
              <w:spacing w:line="276" w:lineRule="auto" w:before="0" w:after="0"/>
            </w:pPr>
            <w:r/>
            <w:r>
              <w:rPr>
                <w:rFonts w:ascii="Figtree" w:hAnsi="Figtree"/>
                <w:b w:val="0"/>
                <w:i w:val="0"/>
                <w:sz w:val="20"/>
              </w:rPr>
              <w:t>TARGET2 integration and cash leg coordination</w:t>
            </w:r>
          </w:p>
        </w:tc>
        <w:tc>
          <w:tcPr>
            <w:tcW w:type="dxa" w:w="2436"/>
            <w:vAlign w:val="center"/>
          </w:tcPr>
          <w:p>
            <w:pPr>
              <w:spacing w:line="276" w:lineRule="auto" w:before="0" w:after="0"/>
            </w:pPr>
            <w:r/>
            <w:r>
              <w:rPr>
                <w:rFonts w:ascii="Figtree" w:hAnsi="Figtree"/>
                <w:b w:val="0"/>
                <w:i w:val="0"/>
                <w:sz w:val="20"/>
              </w:rPr>
              <w:t>5-7 FTE</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EUR 3-5M</w:t>
            </w:r>
          </w:p>
        </w:tc>
      </w:tr>
      <w:tr>
        <w:trPr>
          <w:trHeight w:val="425" w:hRule="atLeast"/>
        </w:trPr>
        <w:tc>
          <w:tcPr>
            <w:tcW w:type="dxa" w:w="2436"/>
            <w:vAlign w:val="center"/>
          </w:tcPr>
          <w:p>
            <w:pPr>
              <w:spacing w:line="276" w:lineRule="auto" w:before="0" w:after="0"/>
            </w:pPr>
            <w:r/>
            <w:r>
              <w:rPr>
                <w:rFonts w:ascii="Figtree" w:hAnsi="Figtree"/>
                <w:b w:val="0"/>
                <w:i w:val="0"/>
                <w:sz w:val="20"/>
              </w:rPr>
              <w:t>Eurosystem governance enforcement layer</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EUR 2.5-4M</w:t>
            </w:r>
          </w:p>
        </w:tc>
      </w:tr>
      <w:tr>
        <w:trPr>
          <w:trHeight w:val="425" w:hRule="atLeast"/>
        </w:trPr>
        <w:tc>
          <w:tcPr>
            <w:tcW w:type="dxa" w:w="2436"/>
            <w:vAlign w:val="center"/>
          </w:tcPr>
          <w:p>
            <w:pPr>
              <w:spacing w:line="276" w:lineRule="auto" w:before="0" w:after="0"/>
            </w:pPr>
            <w:r/>
            <w:r>
              <w:rPr>
                <w:rFonts w:ascii="Figtree" w:hAnsi="Figtree"/>
                <w:b w:val="0"/>
                <w:i w:val="0"/>
                <w:sz w:val="20"/>
              </w:rPr>
              <w:t>Wholesale digital euro token with compliance modules</w:t>
            </w:r>
          </w:p>
        </w:tc>
        <w:tc>
          <w:tcPr>
            <w:tcW w:type="dxa" w:w="2436"/>
            <w:vAlign w:val="center"/>
          </w:tcPr>
          <w:p>
            <w:pPr>
              <w:spacing w:line="276" w:lineRule="auto" w:before="0" w:after="0"/>
            </w:pPr>
            <w:r/>
            <w:r>
              <w:rPr>
                <w:rFonts w:ascii="Figtree" w:hAnsi="Figtree"/>
                <w:b w:val="0"/>
                <w:i w:val="0"/>
                <w:sz w:val="20"/>
              </w:rPr>
              <w:t>3-5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2-3.5M</w:t>
            </w:r>
          </w:p>
        </w:tc>
      </w:tr>
      <w:tr>
        <w:trPr>
          <w:trHeight w:val="425" w:hRule="atLeast"/>
        </w:trPr>
        <w:tc>
          <w:tcPr>
            <w:tcW w:type="dxa" w:w="2436"/>
            <w:vAlign w:val="center"/>
          </w:tcPr>
          <w:p>
            <w:pPr>
              <w:spacing w:line="276" w:lineRule="auto" w:before="0" w:after="0"/>
            </w:pPr>
            <w:r/>
            <w:r>
              <w:rPr>
                <w:rFonts w:ascii="Figtree" w:hAnsi="Figtree"/>
                <w:b w:val="0"/>
                <w:i w:val="0"/>
                <w:sz w:val="20"/>
              </w:rPr>
              <w:t>Dual-DC sovereign deployment with DR</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12-18 months</w:t>
            </w:r>
          </w:p>
        </w:tc>
        <w:tc>
          <w:tcPr>
            <w:tcW w:type="dxa" w:w="2436"/>
            <w:vAlign w:val="center"/>
          </w:tcPr>
          <w:p>
            <w:pPr>
              <w:spacing w:line="276" w:lineRule="auto" w:before="0" w:after="0"/>
            </w:pPr>
            <w:r/>
            <w:r>
              <w:rPr>
                <w:rFonts w:ascii="Figtree" w:hAnsi="Figtree"/>
                <w:b w:val="0"/>
                <w:i w:val="0"/>
                <w:sz w:val="20"/>
              </w:rPr>
              <w:t>EUR 2.5-4.5M</w:t>
            </w:r>
          </w:p>
        </w:tc>
      </w:tr>
      <w:tr>
        <w:trPr>
          <w:trHeight w:val="425" w:hRule="atLeast"/>
        </w:trPr>
        <w:tc>
          <w:tcPr>
            <w:tcW w:type="dxa" w:w="2436"/>
            <w:vAlign w:val="center"/>
          </w:tcPr>
          <w:p>
            <w:pPr>
              <w:spacing w:line="276" w:lineRule="auto" w:before="0" w:after="0"/>
            </w:pPr>
            <w:r/>
            <w:r>
              <w:rPr>
                <w:rFonts w:ascii="Figtree" w:hAnsi="Figtree"/>
                <w:b w:val="0"/>
                <w:i w:val="0"/>
                <w:sz w:val="20"/>
              </w:rPr>
              <w:t>DORA/CPMI-IOSCO/NIS2 compliance documentation</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1.5-2.5M</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and supervisory reporting</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9-12 months</w:t>
            </w:r>
          </w:p>
        </w:tc>
        <w:tc>
          <w:tcPr>
            <w:tcW w:type="dxa" w:w="2436"/>
            <w:vAlign w:val="center"/>
          </w:tcPr>
          <w:p>
            <w:pPr>
              <w:spacing w:line="276" w:lineRule="auto" w:before="0" w:after="0"/>
            </w:pPr>
            <w:r/>
            <w:r>
              <w:rPr>
                <w:rFonts w:ascii="Figtree" w:hAnsi="Figtree"/>
                <w:b w:val="0"/>
                <w:i w:val="0"/>
                <w:sz w:val="20"/>
              </w:rPr>
              <w:t>EUR 1.5-2.5M</w:t>
            </w:r>
          </w:p>
        </w:tc>
      </w:tr>
    </w:tbl>
    <w:p>
      <w:pPr>
        <w:spacing w:before="0" w:after="0" w:line="120" w:lineRule="exact"/>
      </w:pPr>
    </w:p>
    <w:p>
      <w:r>
        <w:rPr>
          <w:rFonts w:ascii="Figtree" w:hAnsi="Figtree"/>
          <w:b/>
          <w:i w:val="0"/>
          <w:sz w:val="22"/>
        </w:rPr>
        <w:t>Critical build risk:</w:t>
      </w:r>
      <w:r>
        <w:rPr>
          <w:rFonts w:ascii="Figtree" w:hAnsi="Figtree"/>
          <w:b w:val="0"/>
          <w:i w:val="0"/>
          <w:sz w:val="22"/>
        </w:rPr>
        <w:t xml:space="preserve"> Settlement finality for a systemically important FMI is not achieved through engineering effort alone. It requires a consensus mechanism proven in production across infrastructure failures, network partitions, Byzantine fault scenarios, and peak load conditions. Building and validating this from scratch for a systemic FMI requires operational experience that cannot be compressed into a development timeline. The ECB would launch the wholesale digital euro on untested settlement infrastructure.</w:t>
      </w:r>
    </w:p>
    <w:p>
      <w:pPr>
        <w:pStyle w:val="H3"/>
        <w:numPr>
          <w:ilvl w:val="2"/>
          <w:numId w:val="1"/>
        </w:numPr>
      </w:pPr>
      <w:r>
        <w:t>DALP 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74"/>
        <w:gridCol w:w="1833"/>
        <w:gridCol w:w="37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XvP atomic DvP settlement</w:t>
            </w:r>
          </w:p>
        </w:tc>
        <w:tc>
          <w:tcPr>
            <w:tcW w:type="dxa" w:w="3249"/>
            <w:vAlign w:val="center"/>
          </w:tcPr>
          <w:p>
            <w:pPr>
              <w:spacing w:line="276" w:lineRule="auto" w:before="0" w:after="0"/>
            </w:pPr>
            <w:r/>
            <w:r>
              <w:rPr>
                <w:rFonts w:ascii="Figtree" w:hAnsi="Figtree"/>
                <w:b w:val="0"/>
                <w:i w:val="0"/>
                <w:sz w:val="20"/>
              </w:rPr>
              <w:t>EUR 6-10M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IBFT 2.0 finality mechanism</w:t>
            </w:r>
          </w:p>
        </w:tc>
        <w:tc>
          <w:tcPr>
            <w:tcW w:type="dxa" w:w="3249"/>
            <w:vAlign w:val="center"/>
          </w:tcPr>
          <w:p>
            <w:pPr>
              <w:spacing w:line="276" w:lineRule="auto" w:before="0" w:after="0"/>
            </w:pPr>
            <w:r/>
            <w:r>
              <w:rPr>
                <w:rFonts w:ascii="Figtree" w:hAnsi="Figtree"/>
                <w:b w:val="0"/>
                <w:i w:val="0"/>
                <w:sz w:val="20"/>
              </w:rPr>
              <w:t>EUR 4-7M</w:t>
            </w:r>
          </w:p>
        </w:tc>
        <w:tc>
          <w:tcPr>
            <w:tcW w:type="dxa" w:w="3249"/>
            <w:vAlign w:val="center"/>
          </w:tcPr>
          <w:p>
            <w:pPr>
              <w:spacing w:line="276" w:lineRule="auto" w:before="0" w:after="0"/>
            </w:pPr>
            <w:r/>
            <w:r>
              <w:rPr>
                <w:rFonts w:ascii="Figtree" w:hAnsi="Figtree"/>
                <w:b w:val="0"/>
                <w:i w:val="0"/>
                <w:sz w:val="20"/>
              </w:rPr>
              <w:t>Included, 7+ years production validated</w:t>
            </w:r>
          </w:p>
        </w:tc>
      </w:tr>
      <w:tr>
        <w:trPr>
          <w:trHeight w:val="425" w:hRule="atLeast"/>
        </w:trPr>
        <w:tc>
          <w:tcPr>
            <w:tcW w:type="dxa" w:w="3249"/>
            <w:vAlign w:val="center"/>
          </w:tcPr>
          <w:p>
            <w:pPr>
              <w:spacing w:line="276" w:lineRule="auto" w:before="0" w:after="0"/>
            </w:pPr>
            <w:r/>
            <w:r>
              <w:rPr>
                <w:rFonts w:ascii="Figtree" w:hAnsi="Figtree"/>
                <w:b w:val="0"/>
                <w:i w:val="0"/>
                <w:sz w:val="20"/>
              </w:rPr>
              <w:t>Eurosystem governance enforcement</w:t>
            </w:r>
          </w:p>
        </w:tc>
        <w:tc>
          <w:tcPr>
            <w:tcW w:type="dxa" w:w="3249"/>
            <w:vAlign w:val="center"/>
          </w:tcPr>
          <w:p>
            <w:pPr>
              <w:spacing w:line="276" w:lineRule="auto" w:before="0" w:after="0"/>
            </w:pPr>
            <w:r/>
            <w:r>
              <w:rPr>
                <w:rFonts w:ascii="Figtree" w:hAnsi="Figtree"/>
                <w:b w:val="0"/>
                <w:i w:val="0"/>
                <w:sz w:val="20"/>
              </w:rPr>
              <w:t>EUR 2.5-4M</w:t>
            </w:r>
          </w:p>
        </w:tc>
        <w:tc>
          <w:tcPr>
            <w:tcW w:type="dxa" w:w="3249"/>
            <w:vAlign w:val="center"/>
          </w:tcPr>
          <w:p>
            <w:pPr>
              <w:spacing w:line="276" w:lineRule="auto" w:before="0" w:after="0"/>
            </w:pPr>
            <w:r/>
            <w:r>
              <w:rPr>
                <w:rFonts w:ascii="Figtree" w:hAnsi="Figtree"/>
                <w:b w:val="0"/>
                <w:i w:val="0"/>
                <w:sz w:val="20"/>
              </w:rPr>
              <w:t>AccessManager with 26-role taxonomy</w:t>
            </w:r>
          </w:p>
        </w:tc>
      </w:tr>
      <w:tr>
        <w:trPr>
          <w:trHeight w:val="425" w:hRule="atLeast"/>
        </w:trPr>
        <w:tc>
          <w:tcPr>
            <w:tcW w:type="dxa" w:w="3249"/>
            <w:vAlign w:val="center"/>
          </w:tcPr>
          <w:p>
            <w:pPr>
              <w:spacing w:line="276" w:lineRule="auto" w:before="0" w:after="0"/>
            </w:pPr>
            <w:r/>
            <w:r>
              <w:rPr>
                <w:rFonts w:ascii="Figtree" w:hAnsi="Figtree"/>
                <w:b w:val="0"/>
                <w:i w:val="0"/>
                <w:sz w:val="20"/>
              </w:rPr>
              <w:t>TARGET2 integration framework</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REST API + adapter pattern</w:t>
            </w:r>
          </w:p>
        </w:tc>
      </w:tr>
      <w:tr>
        <w:trPr>
          <w:trHeight w:val="425" w:hRule="atLeast"/>
        </w:trPr>
        <w:tc>
          <w:tcPr>
            <w:tcW w:type="dxa" w:w="3249"/>
            <w:vAlign w:val="center"/>
          </w:tcPr>
          <w:p>
            <w:pPr>
              <w:spacing w:line="276" w:lineRule="auto" w:before="0" w:after="0"/>
            </w:pPr>
            <w:r/>
            <w:r>
              <w:rPr>
                <w:rFonts w:ascii="Figtree" w:hAnsi="Figtree"/>
                <w:b w:val="0"/>
                <w:i w:val="0"/>
                <w:sz w:val="20"/>
              </w:rPr>
              <w:t>Wholesale CBDC token with compliance</w:t>
            </w:r>
          </w:p>
        </w:tc>
        <w:tc>
          <w:tcPr>
            <w:tcW w:type="dxa" w:w="3249"/>
            <w:vAlign w:val="center"/>
          </w:tcPr>
          <w:p>
            <w:pPr>
              <w:spacing w:line="276" w:lineRule="auto" w:before="0" w:after="0"/>
            </w:pPr>
            <w:r/>
            <w:r>
              <w:rPr>
                <w:rFonts w:ascii="Figtree" w:hAnsi="Figtree"/>
                <w:b w:val="0"/>
                <w:i w:val="0"/>
                <w:sz w:val="20"/>
              </w:rPr>
              <w:t>EUR 2-3.5M</w:t>
            </w:r>
          </w:p>
        </w:tc>
        <w:tc>
          <w:tcPr>
            <w:tcW w:type="dxa" w:w="3249"/>
            <w:vAlign w:val="center"/>
          </w:tcPr>
          <w:p>
            <w:pPr>
              <w:spacing w:line="276" w:lineRule="auto" w:before="0" w:after="0"/>
            </w:pPr>
            <w:r/>
            <w:r>
              <w:rPr>
                <w:rFonts w:ascii="Figtree" w:hAnsi="Figtree"/>
                <w:b w:val="0"/>
                <w:i w:val="0"/>
                <w:sz w:val="20"/>
              </w:rPr>
              <w:t>Configurable DALPAsset</w:t>
            </w:r>
          </w:p>
        </w:tc>
      </w:tr>
      <w:tr>
        <w:trPr>
          <w:trHeight w:val="425" w:hRule="atLeast"/>
        </w:trPr>
        <w:tc>
          <w:tcPr>
            <w:tcW w:type="dxa" w:w="3249"/>
            <w:vAlign w:val="center"/>
          </w:tcPr>
          <w:p>
            <w:pPr>
              <w:spacing w:line="276" w:lineRule="auto" w:before="0" w:after="0"/>
            </w:pPr>
            <w:r/>
            <w:r>
              <w:rPr>
                <w:rFonts w:ascii="Figtree" w:hAnsi="Figtree"/>
                <w:b w:val="0"/>
                <w:i w:val="0"/>
                <w:sz w:val="20"/>
              </w:rPr>
              <w:t>DORA/CPMI-IOSCO documentation</w:t>
            </w:r>
          </w:p>
        </w:tc>
        <w:tc>
          <w:tcPr>
            <w:tcW w:type="dxa" w:w="3249"/>
            <w:vAlign w:val="center"/>
          </w:tcPr>
          <w:p>
            <w:pPr>
              <w:spacing w:line="276" w:lineRule="auto" w:before="0" w:after="0"/>
            </w:pPr>
            <w:r/>
            <w:r>
              <w:rPr>
                <w:rFonts w:ascii="Figtree" w:hAnsi="Figtree"/>
                <w:b w:val="0"/>
                <w:i w:val="0"/>
                <w:sz w:val="20"/>
              </w:rPr>
              <w:t>EUR 1.5-2.5M</w:t>
            </w:r>
          </w:p>
        </w:tc>
        <w:tc>
          <w:tcPr>
            <w:tcW w:type="dxa" w:w="3249"/>
            <w:vAlign w:val="center"/>
          </w:tcPr>
          <w:p>
            <w:pPr>
              <w:spacing w:line="276" w:lineRule="auto" w:before="0" w:after="0"/>
            </w:pPr>
            <w:r/>
            <w:r>
              <w:rPr>
                <w:rFonts w:ascii="Figtree" w:hAnsi="Figtree"/>
                <w:b w:val="0"/>
                <w:i w:val="0"/>
                <w:sz w:val="20"/>
              </w:rPr>
              <w:t>Pre-documented</w:t>
            </w:r>
          </w:p>
        </w:tc>
      </w:tr>
    </w:tbl>
    <w:p>
      <w:pPr>
        <w:spacing w:before="0" w:after="0" w:line="120" w:lineRule="exact"/>
      </w:pPr>
    </w:p>
    <w:p>
      <w:pPr>
        <w:pStyle w:val="H3"/>
        <w:numPr>
          <w:ilvl w:val="2"/>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2"/>
        <w:gridCol w:w="56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Build cost avoidance</w:t>
            </w:r>
          </w:p>
        </w:tc>
        <w:tc>
          <w:tcPr>
            <w:tcW w:type="dxa" w:w="4873"/>
            <w:vAlign w:val="center"/>
          </w:tcPr>
          <w:p>
            <w:pPr>
              <w:spacing w:line="276" w:lineRule="auto" w:before="0" w:after="0"/>
            </w:pPr>
            <w:r/>
            <w:r>
              <w:rPr>
                <w:rFonts w:ascii="Figtree" w:hAnsi="Figtree"/>
                <w:b w:val="0"/>
                <w:i w:val="0"/>
                <w:sz w:val="20"/>
              </w:rPr>
              <w:t>EUR 25-45M over 36-48 months</w:t>
            </w:r>
          </w:p>
        </w:tc>
      </w:tr>
      <w:tr>
        <w:trPr>
          <w:trHeight w:val="425" w:hRule="atLeast"/>
        </w:trPr>
        <w:tc>
          <w:tcPr>
            <w:tcW w:type="dxa" w:w="4873"/>
            <w:vAlign w:val="center"/>
          </w:tcPr>
          <w:p>
            <w:pPr>
              <w:spacing w:line="276" w:lineRule="auto" w:before="0" w:after="0"/>
            </w:pPr>
            <w:r/>
            <w:r>
              <w:rPr>
                <w:rFonts w:ascii="Figtree" w:hAnsi="Figtree"/>
                <w:b w:val="0"/>
                <w:i w:val="0"/>
                <w:sz w:val="20"/>
              </w:rPr>
              <w:t>Time-to-production</w:t>
            </w:r>
          </w:p>
        </w:tc>
        <w:tc>
          <w:tcPr>
            <w:tcW w:type="dxa" w:w="4873"/>
            <w:vAlign w:val="center"/>
          </w:tcPr>
          <w:p>
            <w:pPr>
              <w:spacing w:line="276" w:lineRule="auto" w:before="0" w:after="0"/>
            </w:pPr>
            <w:r/>
            <w:r>
              <w:rPr>
                <w:rFonts w:ascii="Figtree" w:hAnsi="Figtree"/>
                <w:b w:val="0"/>
                <w:i w:val="0"/>
                <w:sz w:val="20"/>
              </w:rPr>
              <w:t>32 weeks vs. 36-48 months</w:t>
            </w:r>
          </w:p>
        </w:tc>
      </w:tr>
      <w:tr>
        <w:trPr>
          <w:trHeight w:val="425" w:hRule="atLeast"/>
        </w:trPr>
        <w:tc>
          <w:tcPr>
            <w:tcW w:type="dxa" w:w="4873"/>
            <w:vAlign w:val="center"/>
          </w:tcPr>
          <w:p>
            <w:pPr>
              <w:spacing w:line="276" w:lineRule="auto" w:before="0" w:after="0"/>
            </w:pPr>
            <w:r/>
            <w:r>
              <w:rPr>
                <w:rFonts w:ascii="Figtree" w:hAnsi="Figtree"/>
                <w:b w:val="0"/>
                <w:i w:val="0"/>
                <w:sz w:val="20"/>
              </w:rPr>
              <w:t>Settlement finality validation</w:t>
            </w:r>
          </w:p>
        </w:tc>
        <w:tc>
          <w:tcPr>
            <w:tcW w:type="dxa" w:w="4873"/>
            <w:vAlign w:val="center"/>
          </w:tcPr>
          <w:p>
            <w:pPr>
              <w:spacing w:line="276" w:lineRule="auto" w:before="0" w:after="0"/>
            </w:pPr>
            <w:r/>
            <w:r>
              <w:rPr>
                <w:rFonts w:ascii="Figtree" w:hAnsi="Figtree"/>
                <w:b w:val="0"/>
                <w:i w:val="0"/>
                <w:sz w:val="20"/>
              </w:rPr>
              <w:t>7+ years production history vs. zero at launch</w:t>
            </w:r>
          </w:p>
        </w:tc>
      </w:tr>
      <w:tr>
        <w:trPr>
          <w:trHeight w:val="425" w:hRule="atLeast"/>
        </w:trPr>
        <w:tc>
          <w:tcPr>
            <w:tcW w:type="dxa" w:w="4873"/>
            <w:vAlign w:val="center"/>
          </w:tcPr>
          <w:p>
            <w:pPr>
              <w:spacing w:line="276" w:lineRule="auto" w:before="0" w:after="0"/>
            </w:pPr>
            <w:r/>
            <w:r>
              <w:rPr>
                <w:rFonts w:ascii="Figtree" w:hAnsi="Figtree"/>
                <w:b w:val="0"/>
                <w:i w:val="0"/>
                <w:sz w:val="20"/>
              </w:rPr>
              <w:t>Eurosystem extension</w:t>
            </w:r>
          </w:p>
        </w:tc>
        <w:tc>
          <w:tcPr>
            <w:tcW w:type="dxa" w:w="4873"/>
            <w:vAlign w:val="center"/>
          </w:tcPr>
          <w:p>
            <w:pPr>
              <w:spacing w:line="276" w:lineRule="auto" w:before="0" w:after="0"/>
            </w:pPr>
            <w:r/>
            <w:r>
              <w:rPr>
                <w:rFonts w:ascii="Figtree" w:hAnsi="Figtree"/>
                <w:b w:val="0"/>
                <w:i w:val="0"/>
                <w:sz w:val="20"/>
              </w:rPr>
              <w:t>Same platform for NCB deployments at marginal cost</w:t>
            </w:r>
          </w:p>
        </w:tc>
      </w:tr>
      <w:tr>
        <w:trPr>
          <w:trHeight w:val="425" w:hRule="atLeast"/>
        </w:trPr>
        <w:tc>
          <w:tcPr>
            <w:tcW w:type="dxa" w:w="4873"/>
            <w:vAlign w:val="center"/>
          </w:tcPr>
          <w:p>
            <w:pPr>
              <w:spacing w:line="276" w:lineRule="auto" w:before="0" w:after="0"/>
            </w:pPr>
            <w:r/>
            <w:r>
              <w:rPr>
                <w:rFonts w:ascii="Figtree" w:hAnsi="Figtree"/>
                <w:b w:val="0"/>
                <w:i w:val="0"/>
                <w:sz w:val="20"/>
              </w:rPr>
              <w:t>Operational risk reduction</w:t>
            </w:r>
          </w:p>
        </w:tc>
        <w:tc>
          <w:tcPr>
            <w:tcW w:type="dxa" w:w="4873"/>
            <w:vAlign w:val="center"/>
          </w:tcPr>
          <w:p>
            <w:pPr>
              <w:spacing w:line="276" w:lineRule="auto" w:before="0" w:after="0"/>
            </w:pPr>
            <w:r/>
            <w:r>
              <w:rPr>
                <w:rFonts w:ascii="Figtree" w:hAnsi="Figtree"/>
                <w:b w:val="0"/>
                <w:i w:val="0"/>
                <w:sz w:val="20"/>
              </w:rPr>
              <w:t>Production-proven infrastructure vs. untested build</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Sovereign platform license. The ECB's wholesale digital euro settlement generates compliance events, settlement evidence, and governance audit records on every transaction. A per-event pricing model would penalize the ECB for maintaining the evidentiary discipline that CPMI-IOSCO PFMI Principle 23 and DORA require. The annual subscription covers all settlement instructions, compliance events, governance actions, and audit records.</w:t>
      </w:r>
    </w:p>
    <w:p>
      <w:pPr>
        <w:pStyle w:val="H3"/>
        <w:numPr>
          <w:ilvl w:val="2"/>
          <w:numId w:val="1"/>
        </w:numPr>
      </w:pPr>
      <w:r>
        <w:t>Tier Recommendation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2"/>
        <w:gridCol w:w="2302"/>
        <w:gridCol w:w="2302"/>
        <w:gridCol w:w="21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w:t>
            </w:r>
          </w:p>
        </w:tc>
      </w:tr>
      <w:tr>
        <w:trPr>
          <w:trHeight w:val="425" w:hRule="atLeast"/>
        </w:trPr>
        <w:tc>
          <w:tcPr>
            <w:tcW w:type="dxa" w:w="2436"/>
            <w:vAlign w:val="center"/>
          </w:tcPr>
          <w:p>
            <w:pPr>
              <w:spacing w:line="276" w:lineRule="auto" w:before="0" w:after="0"/>
            </w:pPr>
            <w:r/>
            <w:r>
              <w:rPr>
                <w:rFonts w:ascii="Figtree" w:hAnsi="Figtree"/>
                <w:b w:val="0"/>
                <w:i w:val="0"/>
                <w:sz w:val="20"/>
              </w:rPr>
              <w:t>XvP settlement</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Eurosystem governance enforcement</w:t>
            </w:r>
          </w:p>
        </w:tc>
        <w:tc>
          <w:tcPr>
            <w:tcW w:type="dxa" w:w="2436"/>
            <w:vAlign w:val="center"/>
          </w:tcPr>
          <w:p>
            <w:pPr>
              <w:spacing w:line="276" w:lineRule="auto" w:before="0" w:after="0"/>
            </w:pPr>
            <w:r/>
            <w:r>
              <w:rPr>
                <w:rFonts w:ascii="Figtree" w:hAnsi="Figtree"/>
                <w:b w:val="0"/>
                <w:i w:val="0"/>
                <w:sz w:val="20"/>
              </w:rPr>
              <w:t>Basic roles</w:t>
            </w:r>
          </w:p>
        </w:tc>
        <w:tc>
          <w:tcPr>
            <w:tcW w:type="dxa" w:w="2436"/>
            <w:vAlign w:val="center"/>
          </w:tcPr>
          <w:p>
            <w:pPr>
              <w:spacing w:line="276" w:lineRule="auto" w:before="0" w:after="0"/>
            </w:pPr>
            <w:r/>
            <w:r>
              <w:rPr>
                <w:rFonts w:ascii="Figtree" w:hAnsi="Figtree"/>
                <w:b w:val="0"/>
                <w:i w:val="0"/>
                <w:sz w:val="20"/>
              </w:rPr>
              <w:t>Multi-tier roles</w:t>
            </w:r>
          </w:p>
        </w:tc>
        <w:tc>
          <w:tcPr>
            <w:tcW w:type="dxa" w:w="2436"/>
            <w:vAlign w:val="center"/>
          </w:tcPr>
          <w:p>
            <w:pPr>
              <w:spacing w:line="276" w:lineRule="auto" w:before="0" w:after="0"/>
            </w:pPr>
            <w:r/>
            <w:r>
              <w:rPr>
                <w:rFonts w:ascii="Figtree" w:hAnsi="Figtree"/>
                <w:b w:val="0"/>
                <w:i w:val="0"/>
                <w:sz w:val="20"/>
              </w:rPr>
              <w:t>Full Eurosystem hierarchy</w:t>
            </w:r>
          </w:p>
        </w:tc>
      </w:tr>
      <w:tr>
        <w:trPr>
          <w:trHeight w:val="425" w:hRule="atLeast"/>
        </w:trPr>
        <w:tc>
          <w:tcPr>
            <w:tcW w:type="dxa" w:w="2436"/>
            <w:vAlign w:val="center"/>
          </w:tcPr>
          <w:p>
            <w:pPr>
              <w:spacing w:line="276" w:lineRule="auto" w:before="0" w:after="0"/>
            </w:pPr>
            <w:r/>
            <w:r>
              <w:rPr>
                <w:rFonts w:ascii="Figtree" w:hAnsi="Figtree"/>
                <w:b w:val="0"/>
                <w:i w:val="0"/>
                <w:sz w:val="20"/>
              </w:rPr>
              <w:t>Multi-entity extension (NCBs)</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Optional</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CPMI-IOSCO PFMI documentation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Dedicated SRE team</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Custom compliance modules</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~800K-1.2M]</w:t>
            </w:r>
          </w:p>
        </w:tc>
        <w:tc>
          <w:tcPr>
            <w:tcW w:type="dxa" w:w="2436"/>
            <w:vAlign w:val="center"/>
          </w:tcPr>
          <w:p>
            <w:pPr>
              <w:spacing w:line="276" w:lineRule="auto" w:before="0" w:after="0"/>
            </w:pPr>
            <w:r/>
            <w:r>
              <w:rPr>
                <w:rFonts w:ascii="Figtree" w:hAnsi="Figtree"/>
                <w:b w:val="0"/>
                <w:i w:val="0"/>
                <w:sz w:val="20"/>
              </w:rPr>
              <w:t>EUR [CLIENT-SPECIFIC: ~1.5M-2.2M]</w:t>
            </w:r>
          </w:p>
        </w:tc>
        <w:tc>
          <w:tcPr>
            <w:tcW w:type="dxa" w:w="2436"/>
            <w:vAlign w:val="center"/>
          </w:tcPr>
          <w:p>
            <w:pPr>
              <w:spacing w:line="276" w:lineRule="auto" w:before="0" w:after="0"/>
            </w:pPr>
            <w:r/>
            <w:r>
              <w:rPr>
                <w:rFonts w:ascii="Figtree" w:hAnsi="Figtree"/>
                <w:b w:val="0"/>
                <w:i w:val="0"/>
                <w:sz w:val="20"/>
              </w:rPr>
              <w:t>EUR [CLIENT-SPECIFIC: ~2.5M-4M]</w:t>
            </w:r>
          </w:p>
        </w:tc>
      </w:tr>
    </w:tbl>
    <w:p>
      <w:pPr>
        <w:spacing w:before="0" w:after="0" w:line="120" w:lineRule="exact"/>
      </w:pPr>
    </w:p>
    <w:p>
      <w:r>
        <w:rPr>
          <w:rFonts w:ascii="Figtree" w:hAnsi="Figtree"/>
          <w:b/>
          <w:i w:val="0"/>
          <w:sz w:val="22"/>
        </w:rPr>
        <w:t>Recommended: Sovereign.</w:t>
      </w:r>
      <w:r>
        <w:rPr>
          <w:rFonts w:ascii="Figtree" w:hAnsi="Figtree"/>
          <w:b w:val="0"/>
          <w:i w:val="0"/>
          <w:sz w:val="22"/>
        </w:rPr>
        <w:t xml:space="preserve"> The ECB's systemic importance, CPMI-IOSCO obligations, multi-entity Eurosystem governance requirements, and the need for dedicated SRE engagement justify the Sovereign tier. The NCB extension path is included within the Sovereign tier without requiring new license negotiation.</w:t>
      </w:r>
    </w:p>
    <w:p>
      <w:r>
        <w:br w:type="page"/>
      </w:r>
    </w:p>
    <w:p>
      <w:pPr>
        <w:pStyle w:val="H2"/>
        <w:numPr>
          <w:ilvl w:val="1"/>
          <w:numId w:val="1"/>
        </w:numPr>
      </w:pPr>
      <w:r>
        <w:t>Deployment Options and Pricing</w:t>
      </w:r>
    </w:p>
    <w:p>
      <w:pPr>
        <w:pStyle w:val="H3"/>
        <w:numPr>
          <w:ilvl w:val="2"/>
          <w:numId w:val="1"/>
        </w:numPr>
      </w:pPr>
      <w:r>
        <w:t>Recommended: Sovereign On-Premises (Dual EU Data Centers)</w:t>
      </w:r>
    </w:p>
    <w:p>
      <w:r>
        <w:rPr>
          <w:rFonts w:ascii="Figtree" w:hAnsi="Figtree"/>
          <w:b w:val="0"/>
          <w:i w:val="0"/>
          <w:sz w:val="22"/>
        </w:rPr>
        <w:t>ECB-controlled infrastructure across two EU data centers. Full sovereign control over all settlement data, cryptographic keys, and operational procedures.</w:t>
      </w:r>
    </w:p>
    <w:p>
      <w:r>
        <w:rPr>
          <w:rFonts w:ascii="Figtree" w:hAnsi="Figtree"/>
          <w:b/>
          <w:i w:val="0"/>
          <w:sz w:val="22"/>
        </w:rPr>
        <w:t>Infrastructure cost (ECB-borne,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03"/>
        <w:gridCol w:w="37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clusters (2 DCs, 3-AZ each)</w:t>
            </w:r>
          </w:p>
        </w:tc>
        <w:tc>
          <w:tcPr>
            <w:tcW w:type="dxa" w:w="4873"/>
            <w:vAlign w:val="center"/>
          </w:tcPr>
          <w:p>
            <w:pPr>
              <w:spacing w:line="276" w:lineRule="auto" w:before="0" w:after="0"/>
            </w:pPr>
            <w:r/>
            <w:r>
              <w:rPr>
                <w:rFonts w:ascii="Figtree" w:hAnsi="Figtree"/>
                <w:b w:val="0"/>
                <w:i w:val="0"/>
                <w:sz w:val="20"/>
              </w:rPr>
              <w:t>EUR 8,000-16,000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(6)</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 + replica</w:t>
            </w:r>
          </w:p>
        </w:tc>
        <w:tc>
          <w:tcPr>
            <w:tcW w:type="dxa" w:w="4873"/>
            <w:vAlign w:val="center"/>
          </w:tcPr>
          <w:p>
            <w:pPr>
              <w:spacing w:line="276" w:lineRule="auto" w:before="0" w:after="0"/>
            </w:pPr>
            <w:r/>
            <w:r>
              <w:rPr>
                <w:rFonts w:ascii="Figtree" w:hAnsi="Figtree"/>
                <w:b w:val="0"/>
                <w:i w:val="0"/>
                <w:sz w:val="20"/>
              </w:rPr>
              <w:t>EUR 3,000-6,000</w:t>
            </w:r>
          </w:p>
        </w:tc>
      </w:tr>
      <w:tr>
        <w:trPr>
          <w:trHeight w:val="425" w:hRule="atLeast"/>
        </w:trPr>
        <w:tc>
          <w:tcPr>
            <w:tcW w:type="dxa" w:w="4873"/>
            <w:vAlign w:val="center"/>
          </w:tcPr>
          <w:p>
            <w:pPr>
              <w:spacing w:line="276" w:lineRule="auto" w:before="0" w:after="0"/>
            </w:pPr>
            <w:r/>
            <w:r>
              <w:rPr>
                <w:rFonts w:ascii="Figtree" w:hAnsi="Figtree"/>
                <w:b w:val="0"/>
                <w:i w:val="0"/>
                <w:sz w:val="20"/>
              </w:rPr>
              <w:t>HSM infrastructure (2 DCs)</w:t>
            </w:r>
          </w:p>
        </w:tc>
        <w:tc>
          <w:tcPr>
            <w:tcW w:type="dxa" w:w="4873"/>
            <w:vAlign w:val="center"/>
          </w:tcPr>
          <w:p>
            <w:pPr>
              <w:spacing w:line="276" w:lineRule="auto" w:before="0" w:after="0"/>
            </w:pPr>
            <w:r/>
            <w:r>
              <w:rPr>
                <w:rFonts w:ascii="Figtree" w:hAnsi="Figtree"/>
                <w:b w:val="0"/>
                <w:i w:val="0"/>
                <w:sz w:val="20"/>
              </w:rPr>
              <w:t>EUR 5,000-10,000</w:t>
            </w:r>
          </w:p>
        </w:tc>
      </w:tr>
      <w:tr>
        <w:trPr>
          <w:trHeight w:val="425" w:hRule="atLeast"/>
        </w:trPr>
        <w:tc>
          <w:tcPr>
            <w:tcW w:type="dxa" w:w="4873"/>
            <w:vAlign w:val="center"/>
          </w:tcPr>
          <w:p>
            <w:pPr>
              <w:spacing w:line="276" w:lineRule="auto" w:before="0" w:after="0"/>
            </w:pPr>
            <w:r/>
            <w:r>
              <w:rPr>
                <w:rFonts w:ascii="Figtree" w:hAnsi="Figtree"/>
                <w:b w:val="0"/>
                <w:i w:val="0"/>
                <w:sz w:val="20"/>
              </w:rPr>
              <w:t>Redis, object storage, networking</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w:t>
            </w:r>
          </w:p>
        </w:tc>
        <w:tc>
          <w:tcPr>
            <w:tcW w:type="dxa" w:w="4873"/>
            <w:vAlign w:val="center"/>
          </w:tcPr>
          <w:p>
            <w:pPr>
              <w:spacing w:line="276" w:lineRule="auto" w:before="0" w:after="0"/>
            </w:pPr>
            <w:r/>
            <w:r>
              <w:rPr>
                <w:rFonts w:ascii="Figtree" w:hAnsi="Figtree"/>
                <w:b w:val="0"/>
                <w:i w:val="0"/>
                <w:sz w:val="20"/>
              </w:rPr>
              <w:t>EUR 1,000-2,000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EUR 23,000-46,000/month</w:t>
            </w:r>
          </w:p>
        </w:tc>
      </w:tr>
    </w:tbl>
    <w:p>
      <w:pPr>
        <w:spacing w:before="0" w:after="0" w:line="120" w:lineRule="exact"/>
      </w:pPr>
    </w:p>
    <w:p>
      <w:r>
        <w:br w:type="page"/>
      </w:r>
    </w:p>
    <w:p>
      <w:pPr>
        <w:pStyle w:val="H2"/>
        <w:numPr>
          <w:ilvl w:val="1"/>
          <w:numId w:val="1"/>
        </w:numPr>
      </w:pPr>
      <w:r>
        <w:t>Support and SLA Framework</w:t>
      </w:r>
    </w:p>
    <w:p>
      <w:pPr>
        <w:pStyle w:val="H3"/>
        <w:numPr>
          <w:ilvl w:val="2"/>
          <w:numId w:val="1"/>
        </w:numPr>
      </w:pPr>
      <w:r>
        <w:t>Enterprise Support (Required for Systemic FMI)</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59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Dedicated SRE</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CPMI-IOSCO alignment</w:t>
            </w:r>
          </w:p>
        </w:tc>
        <w:tc>
          <w:tcPr>
            <w:tcW w:type="dxa" w:w="4873"/>
            <w:vAlign w:val="center"/>
          </w:tcPr>
          <w:p>
            <w:pPr>
              <w:spacing w:line="276" w:lineRule="auto" w:before="0" w:after="0"/>
            </w:pPr>
            <w:r/>
            <w:r>
              <w:rPr>
                <w:rFonts w:ascii="Figtree" w:hAnsi="Figtree"/>
                <w:b w:val="0"/>
                <w:i w:val="0"/>
                <w:sz w:val="20"/>
              </w:rPr>
              <w:t>PFMI Principle 17 operational risk management</w:t>
            </w:r>
          </w:p>
        </w:tc>
      </w:tr>
      <w:tr>
        <w:trPr>
          <w:trHeight w:val="425" w:hRule="atLeast"/>
        </w:trPr>
        <w:tc>
          <w:tcPr>
            <w:tcW w:type="dxa" w:w="4873"/>
            <w:vAlign w:val="center"/>
          </w:tcPr>
          <w:p>
            <w:pPr>
              <w:spacing w:line="276" w:lineRule="auto" w:before="0" w:after="0"/>
            </w:pPr>
            <w:r/>
            <w:r>
              <w:rPr>
                <w:rFonts w:ascii="Figtree" w:hAnsi="Figtree"/>
                <w:b w:val="0"/>
                <w:i w:val="0"/>
                <w:sz w:val="20"/>
              </w:rPr>
              <w:t>DORA alignment</w:t>
            </w:r>
          </w:p>
        </w:tc>
        <w:tc>
          <w:tcPr>
            <w:tcW w:type="dxa" w:w="4873"/>
            <w:vAlign w:val="center"/>
          </w:tcPr>
          <w:p>
            <w:pPr>
              <w:spacing w:line="276" w:lineRule="auto" w:before="0" w:after="0"/>
            </w:pPr>
            <w:r/>
            <w:r>
              <w:rPr>
                <w:rFonts w:ascii="Figtree" w:hAnsi="Figtree"/>
                <w:b w:val="0"/>
                <w:i w:val="0"/>
                <w:sz w:val="20"/>
              </w:rPr>
              <w:t>Full incident classification and notification</w:t>
            </w:r>
          </w:p>
        </w:tc>
      </w:tr>
    </w:tbl>
    <w:p>
      <w:pPr>
        <w:spacing w:before="0" w:after="0" w:line="120" w:lineRule="exact"/>
      </w:pP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84"/>
        <w:gridCol w:w="5694"/>
        <w:gridCol w:w="1125"/>
        <w:gridCol w:w="136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Settlement blocked; XvP unavailable; consensus failure; finality engine down</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settlement continues with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function impacted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General inquiry</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br w:type="page"/>
      </w:r>
    </w:p>
    <w:p>
      <w:pPr>
        <w:pStyle w:val="H2"/>
        <w:numPr>
          <w:ilvl w:val="1"/>
          <w:numId w:val="1"/>
        </w:numPr>
      </w:pPr>
      <w:r>
        <w:t>Implementation Investment</w:t>
      </w:r>
    </w:p>
    <w:p>
      <w:pPr>
        <w:jc w:val="center"/>
      </w:pPr>
      <w:r>
        <w:drawing>
          <wp:inline xmlns:a="http://schemas.openxmlformats.org/drawingml/2006/main" xmlns:pic="http://schemas.openxmlformats.org/drawingml/2006/picture">
            <wp:extent cx="5486400" cy="17075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707502"/>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72"/>
        <w:gridCol w:w="1344"/>
        <w:gridCol w:w="42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Architecture</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EUR [CLIENT-SPECIFIC: ~200K-350K]</w:t>
            </w:r>
          </w:p>
        </w:tc>
      </w:tr>
      <w:tr>
        <w:trPr>
          <w:trHeight w:val="425" w:hRule="atLeast"/>
        </w:trPr>
        <w:tc>
          <w:tcPr>
            <w:tcW w:type="dxa" w:w="3249"/>
            <w:vAlign w:val="center"/>
          </w:tcPr>
          <w:p>
            <w:pPr>
              <w:spacing w:line="276" w:lineRule="auto" w:before="0" w:after="0"/>
            </w:pPr>
            <w:r/>
            <w:r>
              <w:rPr>
                <w:rFonts w:ascii="Figtree" w:hAnsi="Figtree"/>
                <w:b w:val="0"/>
                <w:i w:val="0"/>
                <w:sz w:val="20"/>
              </w:rPr>
              <w:t>Sovereign Deployment</w:t>
            </w:r>
          </w:p>
        </w:tc>
        <w:tc>
          <w:tcPr>
            <w:tcW w:type="dxa" w:w="3249"/>
            <w:vAlign w:val="center"/>
          </w:tcPr>
          <w:p>
            <w:pPr>
              <w:spacing w:line="276" w:lineRule="auto" w:before="0" w:after="0"/>
            </w:pPr>
            <w:r/>
            <w:r>
              <w:rPr>
                <w:rFonts w:ascii="Figtree" w:hAnsi="Figtree"/>
                <w:b w:val="0"/>
                <w:i w:val="0"/>
                <w:sz w:val="20"/>
              </w:rPr>
              <w:t>5 weeks</w:t>
            </w:r>
          </w:p>
        </w:tc>
        <w:tc>
          <w:tcPr>
            <w:tcW w:type="dxa" w:w="3249"/>
            <w:vAlign w:val="center"/>
          </w:tcPr>
          <w:p>
            <w:pPr>
              <w:spacing w:line="276" w:lineRule="auto" w:before="0" w:after="0"/>
            </w:pPr>
            <w:r/>
            <w:r>
              <w:rPr>
                <w:rFonts w:ascii="Figtree" w:hAnsi="Figtree"/>
                <w:b w:val="0"/>
                <w:i w:val="0"/>
                <w:sz w:val="20"/>
              </w:rPr>
              <w:t>EUR [CLIENT-SPECIFIC: ~300K-500K]</w:t>
            </w:r>
          </w:p>
        </w:tc>
      </w:tr>
      <w:tr>
        <w:trPr>
          <w:trHeight w:val="425" w:hRule="atLeast"/>
        </w:trPr>
        <w:tc>
          <w:tcPr>
            <w:tcW w:type="dxa" w:w="3249"/>
            <w:vAlign w:val="center"/>
          </w:tcPr>
          <w:p>
            <w:pPr>
              <w:spacing w:line="276" w:lineRule="auto" w:before="0" w:after="0"/>
            </w:pPr>
            <w:r/>
            <w:r>
              <w:rPr>
                <w:rFonts w:ascii="Figtree" w:hAnsi="Figtree"/>
                <w:b w:val="0"/>
                <w:i w:val="0"/>
                <w:sz w:val="20"/>
              </w:rPr>
              <w:t>Settlement Configuration</w:t>
            </w:r>
          </w:p>
        </w:tc>
        <w:tc>
          <w:tcPr>
            <w:tcW w:type="dxa" w:w="3249"/>
            <w:vAlign w:val="center"/>
          </w:tcPr>
          <w:p>
            <w:pPr>
              <w:spacing w:line="276" w:lineRule="auto" w:before="0" w:after="0"/>
            </w:pPr>
            <w:r/>
            <w:r>
              <w:rPr>
                <w:rFonts w:ascii="Figtree" w:hAnsi="Figtree"/>
                <w:b w:val="0"/>
                <w:i w:val="0"/>
                <w:sz w:val="20"/>
              </w:rPr>
              <w:t>5 weeks</w:t>
            </w:r>
          </w:p>
        </w:tc>
        <w:tc>
          <w:tcPr>
            <w:tcW w:type="dxa" w:w="3249"/>
            <w:vAlign w:val="center"/>
          </w:tcPr>
          <w:p>
            <w:pPr>
              <w:spacing w:line="276" w:lineRule="auto" w:before="0" w:after="0"/>
            </w:pPr>
            <w:r/>
            <w:r>
              <w:rPr>
                <w:rFonts w:ascii="Figtree" w:hAnsi="Figtree"/>
                <w:b w:val="0"/>
                <w:i w:val="0"/>
                <w:sz w:val="20"/>
              </w:rPr>
              <w:t>EUR [CLIENT-SPECIFIC: ~300K-480K]</w:t>
            </w:r>
          </w:p>
        </w:tc>
      </w:tr>
      <w:tr>
        <w:trPr>
          <w:trHeight w:val="425" w:hRule="atLeast"/>
        </w:trPr>
        <w:tc>
          <w:tcPr>
            <w:tcW w:type="dxa" w:w="3249"/>
            <w:vAlign w:val="center"/>
          </w:tcPr>
          <w:p>
            <w:pPr>
              <w:spacing w:line="276" w:lineRule="auto" w:before="0" w:after="0"/>
            </w:pPr>
            <w:r/>
            <w:r>
              <w:rPr>
                <w:rFonts w:ascii="Figtree" w:hAnsi="Figtree"/>
                <w:b w:val="0"/>
                <w:i w:val="0"/>
                <w:sz w:val="20"/>
              </w:rPr>
              <w:t>TARGET2 Integration and Testing</w:t>
            </w:r>
          </w:p>
        </w:tc>
        <w:tc>
          <w:tcPr>
            <w:tcW w:type="dxa" w:w="3249"/>
            <w:vAlign w:val="center"/>
          </w:tcPr>
          <w:p>
            <w:pPr>
              <w:spacing w:line="276" w:lineRule="auto" w:before="0" w:after="0"/>
            </w:pPr>
            <w:r/>
            <w:r>
              <w:rPr>
                <w:rFonts w:ascii="Figtree" w:hAnsi="Figtree"/>
                <w:b w:val="0"/>
                <w:i w:val="0"/>
                <w:sz w:val="20"/>
              </w:rPr>
              <w:t>11 weeks</w:t>
            </w:r>
          </w:p>
        </w:tc>
        <w:tc>
          <w:tcPr>
            <w:tcW w:type="dxa" w:w="3249"/>
            <w:vAlign w:val="center"/>
          </w:tcPr>
          <w:p>
            <w:pPr>
              <w:spacing w:line="276" w:lineRule="auto" w:before="0" w:after="0"/>
            </w:pPr>
            <w:r/>
            <w:r>
              <w:rPr>
                <w:rFonts w:ascii="Figtree" w:hAnsi="Figtree"/>
                <w:b w:val="0"/>
                <w:i w:val="0"/>
                <w:sz w:val="20"/>
              </w:rPr>
              <w:t>EUR [CLIENT-SPECIFIC: ~550K-900K]</w:t>
            </w:r>
          </w:p>
        </w:tc>
      </w:tr>
      <w:tr>
        <w:trPr>
          <w:trHeight w:val="425" w:hRule="atLeast"/>
        </w:trPr>
        <w:tc>
          <w:tcPr>
            <w:tcW w:type="dxa" w:w="3249"/>
            <w:vAlign w:val="center"/>
          </w:tcPr>
          <w:p>
            <w:pPr>
              <w:spacing w:line="276" w:lineRule="auto" w:before="0" w:after="0"/>
            </w:pPr>
            <w:r/>
            <w:r>
              <w:rPr>
                <w:rFonts w:ascii="Figtree" w:hAnsi="Figtree"/>
                <w:b w:val="0"/>
                <w:i w:val="0"/>
                <w:sz w:val="20"/>
              </w:rPr>
              <w:t>Production and Parallel Run</w:t>
            </w:r>
          </w:p>
        </w:tc>
        <w:tc>
          <w:tcPr>
            <w:tcW w:type="dxa" w:w="3249"/>
            <w:vAlign w:val="center"/>
          </w:tcPr>
          <w:p>
            <w:pPr>
              <w:spacing w:line="276" w:lineRule="auto" w:before="0" w:after="0"/>
            </w:pPr>
            <w:r/>
            <w:r>
              <w:rPr>
                <w:rFonts w:ascii="Figtree" w:hAnsi="Figtree"/>
                <w:b w:val="0"/>
                <w:i w:val="0"/>
                <w:sz w:val="20"/>
              </w:rPr>
              <w:t>5 weeks</w:t>
            </w:r>
          </w:p>
        </w:tc>
        <w:tc>
          <w:tcPr>
            <w:tcW w:type="dxa" w:w="3249"/>
            <w:vAlign w:val="center"/>
          </w:tcPr>
          <w:p>
            <w:pPr>
              <w:spacing w:line="276" w:lineRule="auto" w:before="0" w:after="0"/>
            </w:pPr>
            <w:r/>
            <w:r>
              <w:rPr>
                <w:rFonts w:ascii="Figtree" w:hAnsi="Figtree"/>
                <w:b w:val="0"/>
                <w:i w:val="0"/>
                <w:sz w:val="20"/>
              </w:rPr>
              <w:t>EUR [CLIENT-SPECIFIC: ~250K-400K]</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32 weeks</w:t>
            </w:r>
          </w:p>
        </w:tc>
        <w:tc>
          <w:tcPr>
            <w:tcW w:type="dxa" w:w="3249"/>
            <w:vAlign w:val="center"/>
          </w:tcPr>
          <w:p>
            <w:pPr>
              <w:spacing w:line="276" w:lineRule="auto" w:before="0" w:after="0"/>
            </w:pPr>
            <w:r/>
            <w:r>
              <w:rPr>
                <w:rFonts w:ascii="Figtree" w:hAnsi="Figtree"/>
                <w:b/>
                <w:i w:val="0"/>
                <w:sz w:val="20"/>
              </w:rPr>
              <w:t>EUR [CLIENT-SPECIFIC: ~1.75M-2.9M]</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2"/>
        <w:gridCol w:w="1597"/>
        <w:gridCol w:w="1597"/>
        <w:gridCol w:w="1597"/>
        <w:gridCol w:w="1597"/>
        <w:gridCol w:w="17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~3.2M]</w:t>
            </w:r>
          </w:p>
        </w:tc>
        <w:tc>
          <w:tcPr>
            <w:tcW w:type="dxa" w:w="1624"/>
            <w:vAlign w:val="center"/>
          </w:tcPr>
          <w:p>
            <w:pPr>
              <w:spacing w:line="276" w:lineRule="auto" w:before="0" w:after="0"/>
            </w:pPr>
            <w:r/>
            <w:r>
              <w:rPr>
                <w:rFonts w:ascii="Figtree" w:hAnsi="Figtree"/>
                <w:b w:val="0"/>
                <w:i w:val="0"/>
                <w:sz w:val="20"/>
              </w:rPr>
              <w:t>EUR [CLIENT-SPECIFIC: ~2.3M]</w:t>
            </w:r>
          </w:p>
        </w:tc>
        <w:tc>
          <w:tcPr>
            <w:tcW w:type="dxa" w:w="1624"/>
            <w:vAlign w:val="center"/>
          </w:tcPr>
          <w:p>
            <w:pPr>
              <w:spacing w:line="276" w:lineRule="auto" w:before="0" w:after="0"/>
            </w:pPr>
            <w:r/>
            <w:r>
              <w:rPr>
                <w:rFonts w:ascii="Figtree" w:hAnsi="Figtree"/>
                <w:b w:val="0"/>
                <w:i w:val="0"/>
                <w:sz w:val="20"/>
              </w:rPr>
              <w:t>EUR [CLIENT-SPECIFIC: ~600K]</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~6.5M]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~3.2M]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~600K]</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~4.25M]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~3.2M]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~600K]</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~4.25M]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~15M]</w:t>
            </w:r>
          </w:p>
        </w:tc>
      </w:tr>
    </w:tbl>
    <w:p>
      <w:pPr>
        <w:spacing w:before="0" w:after="0" w:line="120" w:lineRule="exact"/>
      </w:pPr>
    </w:p>
    <w:p>
      <w:pPr>
        <w:pStyle w:val="H3"/>
        <w:numPr>
          <w:ilvl w:val="2"/>
          <w:numId w:val="1"/>
        </w:numPr>
      </w:pPr>
      <w:r>
        <w:t>Build vs.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02"/>
        <w:gridCol w:w="2801"/>
        <w:gridCol w:w="2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(Sovereign)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r>
      <w:tr>
        <w:trPr>
          <w:trHeight w:val="425" w:hRule="atLeast"/>
        </w:trPr>
        <w:tc>
          <w:tcPr>
            <w:tcW w:type="dxa" w:w="3249"/>
            <w:vAlign w:val="center"/>
          </w:tcPr>
          <w:p>
            <w:pPr>
              <w:spacing w:line="276" w:lineRule="auto" w:before="0" w:after="0"/>
            </w:pPr>
            <w:r/>
            <w:r>
              <w:rPr>
                <w:rFonts w:ascii="Figtree" w:hAnsi="Figtree"/>
                <w:b w:val="0"/>
                <w:i w:val="0"/>
                <w:sz w:val="20"/>
              </w:rPr>
              <w:t>3-year cost</w:t>
            </w:r>
          </w:p>
        </w:tc>
        <w:tc>
          <w:tcPr>
            <w:tcW w:type="dxa" w:w="3249"/>
            <w:vAlign w:val="center"/>
          </w:tcPr>
          <w:p>
            <w:pPr>
              <w:spacing w:line="276" w:lineRule="auto" w:before="0" w:after="0"/>
            </w:pPr>
            <w:r/>
            <w:r>
              <w:rPr>
                <w:rFonts w:ascii="Figtree" w:hAnsi="Figtree"/>
                <w:b w:val="0"/>
                <w:i w:val="0"/>
                <w:sz w:val="20"/>
              </w:rPr>
              <w:t>EUR ~15M</w:t>
            </w:r>
          </w:p>
        </w:tc>
        <w:tc>
          <w:tcPr>
            <w:tcW w:type="dxa" w:w="3249"/>
            <w:vAlign w:val="center"/>
          </w:tcPr>
          <w:p>
            <w:pPr>
              <w:spacing w:line="276" w:lineRule="auto" w:before="0" w:after="0"/>
            </w:pPr>
            <w:r/>
            <w:r>
              <w:rPr>
                <w:rFonts w:ascii="Figtree" w:hAnsi="Figtree"/>
                <w:b w:val="0"/>
                <w:i w:val="0"/>
                <w:sz w:val="20"/>
              </w:rPr>
              <w:t>EUR 30-55M+</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32 weeks</w:t>
            </w:r>
          </w:p>
        </w:tc>
        <w:tc>
          <w:tcPr>
            <w:tcW w:type="dxa" w:w="3249"/>
            <w:vAlign w:val="center"/>
          </w:tcPr>
          <w:p>
            <w:pPr>
              <w:spacing w:line="276" w:lineRule="auto" w:before="0" w:after="0"/>
            </w:pPr>
            <w:r/>
            <w:r>
              <w:rPr>
                <w:rFonts w:ascii="Figtree" w:hAnsi="Figtree"/>
                <w:b w:val="0"/>
                <w:i w:val="0"/>
                <w:sz w:val="20"/>
              </w:rPr>
              <w:t>36-48 months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 validation</w:t>
            </w:r>
          </w:p>
        </w:tc>
        <w:tc>
          <w:tcPr>
            <w:tcW w:type="dxa" w:w="3249"/>
            <w:vAlign w:val="center"/>
          </w:tcPr>
          <w:p>
            <w:pPr>
              <w:spacing w:line="276" w:lineRule="auto" w:before="0" w:after="0"/>
            </w:pPr>
            <w:r/>
            <w:r>
              <w:rPr>
                <w:rFonts w:ascii="Figtree" w:hAnsi="Figtree"/>
                <w:b w:val="0"/>
                <w:i w:val="0"/>
                <w:sz w:val="20"/>
              </w:rPr>
              <w:t>7+ years production</w:t>
            </w:r>
          </w:p>
        </w:tc>
        <w:tc>
          <w:tcPr>
            <w:tcW w:type="dxa" w:w="3249"/>
            <w:vAlign w:val="center"/>
          </w:tcPr>
          <w:p>
            <w:pPr>
              <w:spacing w:line="276" w:lineRule="auto" w:before="0" w:after="0"/>
            </w:pPr>
            <w:r/>
            <w:r>
              <w:rPr>
                <w:rFonts w:ascii="Figtree" w:hAnsi="Figtree"/>
                <w:b w:val="0"/>
                <w:i w:val="0"/>
                <w:sz w:val="20"/>
              </w:rPr>
              <w:t>None at launch</w:t>
            </w:r>
          </w:p>
        </w:tc>
      </w:tr>
      <w:tr>
        <w:trPr>
          <w:trHeight w:val="425" w:hRule="atLeast"/>
        </w:trPr>
        <w:tc>
          <w:tcPr>
            <w:tcW w:type="dxa" w:w="3249"/>
            <w:vAlign w:val="center"/>
          </w:tcPr>
          <w:p>
            <w:pPr>
              <w:spacing w:line="276" w:lineRule="auto" w:before="0" w:after="0"/>
            </w:pPr>
            <w:r/>
            <w:r>
              <w:rPr>
                <w:rFonts w:ascii="Figtree" w:hAnsi="Figtree"/>
                <w:b w:val="0"/>
                <w:i w:val="0"/>
                <w:sz w:val="20"/>
              </w:rPr>
              <w:t>TARGET2 integration</w:t>
            </w:r>
          </w:p>
        </w:tc>
        <w:tc>
          <w:tcPr>
            <w:tcW w:type="dxa" w:w="3249"/>
            <w:vAlign w:val="center"/>
          </w:tcPr>
          <w:p>
            <w:pPr>
              <w:spacing w:line="276" w:lineRule="auto" w:before="0" w:after="0"/>
            </w:pPr>
            <w:r/>
            <w:r>
              <w:rPr>
                <w:rFonts w:ascii="Figtree" w:hAnsi="Figtree"/>
                <w:b w:val="0"/>
                <w:i w:val="0"/>
                <w:sz w:val="20"/>
              </w:rPr>
              <w:t>REST API framework</w:t>
            </w:r>
          </w:p>
        </w:tc>
        <w:tc>
          <w:tcPr>
            <w:tcW w:type="dxa" w:w="3249"/>
            <w:vAlign w:val="center"/>
          </w:tcPr>
          <w:p>
            <w:pPr>
              <w:spacing w:line="276" w:lineRule="auto" w:before="0" w:after="0"/>
            </w:pPr>
            <w:r/>
            <w:r>
              <w:rPr>
                <w:rFonts w:ascii="Figtree" w:hAnsi="Figtree"/>
                <w:b w:val="0"/>
                <w:i w:val="0"/>
                <w:sz w:val="20"/>
              </w:rPr>
              <w:t>Custom build</w:t>
            </w:r>
          </w:p>
        </w:tc>
      </w:tr>
      <w:tr>
        <w:trPr>
          <w:trHeight w:val="425" w:hRule="atLeast"/>
        </w:trPr>
        <w:tc>
          <w:tcPr>
            <w:tcW w:type="dxa" w:w="3249"/>
            <w:vAlign w:val="center"/>
          </w:tcPr>
          <w:p>
            <w:pPr>
              <w:spacing w:line="276" w:lineRule="auto" w:before="0" w:after="0"/>
            </w:pPr>
            <w:r/>
            <w:r>
              <w:rPr>
                <w:rFonts w:ascii="Figtree" w:hAnsi="Figtree"/>
                <w:b w:val="0"/>
                <w:i w:val="0"/>
                <w:sz w:val="20"/>
              </w:rPr>
              <w:t>CPMI-IOSCO readiness at launch</w:t>
            </w:r>
          </w:p>
        </w:tc>
        <w:tc>
          <w:tcPr>
            <w:tcW w:type="dxa" w:w="3249"/>
            <w:vAlign w:val="center"/>
          </w:tcPr>
          <w:p>
            <w:pPr>
              <w:spacing w:line="276" w:lineRule="auto" w:before="0" w:after="0"/>
            </w:pPr>
            <w:r/>
            <w:r>
              <w:rPr>
                <w:rFonts w:ascii="Figtree" w:hAnsi="Figtree"/>
                <w:b w:val="0"/>
                <w:i w:val="0"/>
                <w:sz w:val="20"/>
              </w:rPr>
              <w:t>Pre-documented</w:t>
            </w:r>
          </w:p>
        </w:tc>
        <w:tc>
          <w:tcPr>
            <w:tcW w:type="dxa" w:w="3249"/>
            <w:vAlign w:val="center"/>
          </w:tcPr>
          <w:p>
            <w:pPr>
              <w:spacing w:line="276" w:lineRule="auto" w:before="0" w:after="0"/>
            </w:pPr>
            <w:r/>
            <w:r>
              <w:rPr>
                <w:rFonts w:ascii="Figtree" w:hAnsi="Figtree"/>
                <w:b w:val="0"/>
                <w:i w:val="0"/>
                <w:sz w:val="20"/>
              </w:rPr>
              <w:t>Must be developed</w:t>
            </w:r>
          </w:p>
        </w:tc>
      </w:tr>
      <w:tr>
        <w:trPr>
          <w:trHeight w:val="425" w:hRule="atLeast"/>
        </w:trPr>
        <w:tc>
          <w:tcPr>
            <w:tcW w:type="dxa" w:w="3249"/>
            <w:vAlign w:val="center"/>
          </w:tcPr>
          <w:p>
            <w:pPr>
              <w:spacing w:line="276" w:lineRule="auto" w:before="0" w:after="0"/>
            </w:pPr>
            <w:r/>
            <w:r>
              <w:rPr>
                <w:rFonts w:ascii="Figtree" w:hAnsi="Figtree"/>
                <w:b w:val="0"/>
                <w:i w:val="0"/>
                <w:sz w:val="20"/>
              </w:rPr>
              <w:t>Eurosystem extension</w:t>
            </w:r>
          </w:p>
        </w:tc>
        <w:tc>
          <w:tcPr>
            <w:tcW w:type="dxa" w:w="3249"/>
            <w:vAlign w:val="center"/>
          </w:tcPr>
          <w:p>
            <w:pPr>
              <w:spacing w:line="276" w:lineRule="auto" w:before="0" w:after="0"/>
            </w:pPr>
            <w:r/>
            <w:r>
              <w:rPr>
                <w:rFonts w:ascii="Figtree" w:hAnsi="Figtree"/>
                <w:b w:val="0"/>
                <w:i w:val="0"/>
                <w:sz w:val="20"/>
              </w:rPr>
              <w:t>Marginal cost per NCB</w:t>
            </w:r>
          </w:p>
        </w:tc>
        <w:tc>
          <w:tcPr>
            <w:tcW w:type="dxa" w:w="3249"/>
            <w:vAlign w:val="center"/>
          </w:tcPr>
          <w:p>
            <w:pPr>
              <w:spacing w:line="276" w:lineRule="auto" w:before="0" w:after="0"/>
            </w:pPr>
            <w:r/>
            <w:r>
              <w:rPr>
                <w:rFonts w:ascii="Figtree" w:hAnsi="Figtree"/>
                <w:b w:val="0"/>
                <w:i w:val="0"/>
                <w:sz w:val="20"/>
              </w:rPr>
              <w:t>Near-full rebuild</w:t>
            </w:r>
          </w:p>
        </w:tc>
      </w:tr>
    </w:tbl>
    <w:p>
      <w:pPr>
        <w:spacing w:before="0" w:after="0" w:line="120" w:lineRule="exact"/>
      </w:pP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Sovereign Platform License Agreement (3-year initial term with Eurosystem extension option), Fixed-Price Implementation Agreement (parallel run as contractual acceptance criterion), Enterprise Support Agreement (co-terminus, DORA-aligned).</w:t>
      </w:r>
    </w:p>
    <w:p>
      <w:pPr>
        <w:pStyle w:val="H3"/>
        <w:numPr>
          <w:ilvl w:val="2"/>
          <w:numId w:val="1"/>
        </w:numPr>
      </w:pPr>
      <w:r>
        <w:t>Payment Schedule</w:t>
      </w:r>
    </w:p>
    <w:p>
      <w:r>
        <w:rPr>
          <w:rFonts w:ascii="Figtree" w:hAnsi="Figtree"/>
          <w:b w:val="0"/>
          <w:i w:val="0"/>
          <w:sz w:val="22"/>
        </w:rPr>
        <w:t>Implementation: 20% at signing, 15% per phase gate, 10% at production acceptance. License and support: Annual in advance.</w:t>
      </w:r>
    </w:p>
    <w:p>
      <w:pPr>
        <w:pStyle w:val="H3"/>
        <w:numPr>
          <w:ilvl w:val="2"/>
          <w:numId w:val="1"/>
        </w:numPr>
      </w:pPr>
      <w:r>
        <w:t>Eurosystem Extension</w:t>
      </w:r>
    </w:p>
    <w:p>
      <w:r>
        <w:rPr>
          <w:rFonts w:ascii="Figtree" w:hAnsi="Figtree"/>
          <w:b w:val="0"/>
          <w:i w:val="0"/>
          <w:sz w:val="22"/>
        </w:rPr>
        <w:t>The Sovereign tier includes a pre-negotiated extension path for national central bank deployments within the Eurosystem at reduced incremental license cost per entity.</w:t>
      </w:r>
    </w:p>
    <w:p>
      <w:pPr>
        <w:pStyle w:val="H3"/>
        <w:numPr>
          <w:ilvl w:val="2"/>
          <w:numId w:val="1"/>
        </w:numPr>
      </w:pPr>
      <w:r>
        <w:t>IP and Data</w:t>
      </w:r>
    </w:p>
    <w:p>
      <w:r>
        <w:rPr>
          <w:rFonts w:ascii="Figtree" w:hAnsi="Figtree"/>
          <w:b w:val="0"/>
          <w:i w:val="0"/>
          <w:sz w:val="22"/>
        </w:rPr>
        <w:t>DALP platform IP: SettleMint. Settlement records, participant data, monetary policy parameters, positions: ECB. TARGET2 integration adapter: ECB on delivery. Configurations: ECB.</w:t>
      </w:r>
    </w:p>
    <w:p>
      <w:pPr>
        <w:pStyle w:val="H3"/>
        <w:numPr>
          <w:ilvl w:val="2"/>
          <w:numId w:val="1"/>
        </w:numPr>
      </w:pPr>
      <w:r>
        <w:t>Exit</w:t>
      </w:r>
    </w:p>
    <w:p>
      <w:r>
        <w:rPr>
          <w:rFonts w:ascii="Figtree" w:hAnsi="Figtree"/>
          <w:b w:val="0"/>
          <w:i w:val="0"/>
          <w:sz w:val="22"/>
        </w:rPr>
        <w:t>120-day transition assistance. Full data export. CPMI-IOSCO record preservation (minimum 10 years for settlement records). On-chain state on ECB's Besu network accessible independently. Eurosystem notification provisions.</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84"/>
        <w:gridCol w:w="718"/>
        <w:gridCol w:w="1683"/>
        <w:gridCol w:w="1059"/>
        <w:gridCol w:w="44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Most comparable: central bank CBDC; settlement finality; FMI governance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(XvP)</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XvP settlement; CSDR alignment; post-trade scale</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CBDC digital dirham</w:t>
            </w:r>
          </w:p>
        </w:tc>
        <w:tc>
          <w:tcPr>
            <w:tcW w:type="dxa" w:w="1949"/>
            <w:vAlign w:val="center"/>
          </w:tcPr>
          <w:p>
            <w:pPr>
              <w:spacing w:line="276" w:lineRule="auto" w:before="0" w:after="0"/>
            </w:pPr>
            <w:r/>
            <w:r>
              <w:rPr>
                <w:rFonts w:ascii="Figtree" w:hAnsi="Figtree"/>
                <w:b w:val="0"/>
                <w:i w:val="0"/>
                <w:sz w:val="20"/>
              </w:rPr>
              <w:t>Central bank</w:t>
            </w:r>
          </w:p>
        </w:tc>
        <w:tc>
          <w:tcPr>
            <w:tcW w:type="dxa" w:w="1949"/>
            <w:vAlign w:val="center"/>
          </w:tcPr>
          <w:p>
            <w:pPr>
              <w:spacing w:line="276" w:lineRule="auto" w:before="0" w:after="0"/>
            </w:pPr>
            <w:r/>
            <w:r>
              <w:rPr>
                <w:rFonts w:ascii="Figtree" w:hAnsi="Figtree"/>
                <w:b w:val="0"/>
                <w:i w:val="0"/>
                <w:sz w:val="20"/>
              </w:rPr>
              <w:t>Central bank digital currency; sovereign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Deutsche Borse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Digital asset trading venue</w:t>
            </w:r>
          </w:p>
        </w:tc>
        <w:tc>
          <w:tcPr>
            <w:tcW w:type="dxa" w:w="1949"/>
            <w:vAlign w:val="center"/>
          </w:tcPr>
          <w:p>
            <w:pPr>
              <w:spacing w:line="276" w:lineRule="auto" w:before="0" w:after="0"/>
            </w:pPr>
            <w:r/>
            <w:r>
              <w:rPr>
                <w:rFonts w:ascii="Figtree" w:hAnsi="Figtree"/>
                <w:b w:val="0"/>
                <w:i w:val="0"/>
                <w:sz w:val="20"/>
              </w:rPr>
              <w:t>Exchange/FMI</w:t>
            </w:r>
          </w:p>
        </w:tc>
        <w:tc>
          <w:tcPr>
            <w:tcW w:type="dxa" w:w="1949"/>
            <w:vAlign w:val="center"/>
          </w:tcPr>
          <w:p>
            <w:pPr>
              <w:spacing w:line="276" w:lineRule="auto" w:before="0" w:after="0"/>
            </w:pPr>
            <w:r/>
            <w:r>
              <w:rPr>
                <w:rFonts w:ascii="Figtree" w:hAnsi="Figtree"/>
                <w:b w:val="0"/>
                <w:i w:val="0"/>
                <w:sz w:val="20"/>
              </w:rPr>
              <w:t>BaFin-regulated; MiCA alignment</w:t>
            </w:r>
          </w:p>
        </w:tc>
      </w:tr>
    </w:tbl>
    <w:p>
      <w:pPr>
        <w:spacing w:before="0" w:after="0" w:line="120" w:lineRule="exact"/>
      </w:pP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34"/>
        <w:gridCol w:w="27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Commercial Q and A</w:t>
            </w:r>
          </w:p>
        </w:tc>
        <w:tc>
          <w:tcPr>
            <w:tcW w:type="dxa" w:w="4873"/>
            <w:vAlign w:val="center"/>
          </w:tcPr>
          <w:p>
            <w:pPr>
              <w:spacing w:line="276" w:lineRule="auto" w:before="0" w:after="0"/>
            </w:pPr>
            <w:r/>
            <w:r>
              <w:rPr>
                <w:rFonts w:ascii="Figtree" w:hAnsi="Figtree"/>
                <w:b w:val="0"/>
                <w:i w:val="0"/>
                <w:sz w:val="20"/>
              </w:rPr>
              <w:t>Within 2 weeks</w:t>
            </w:r>
          </w:p>
        </w:tc>
      </w:tr>
      <w:tr>
        <w:trPr>
          <w:trHeight w:val="425" w:hRule="atLeast"/>
        </w:trPr>
        <w:tc>
          <w:tcPr>
            <w:tcW w:type="dxa" w:w="4873"/>
            <w:vAlign w:val="center"/>
          </w:tcPr>
          <w:p>
            <w:pPr>
              <w:spacing w:line="276" w:lineRule="auto" w:before="0" w:after="0"/>
            </w:pPr>
            <w:r/>
            <w:r>
              <w:rPr>
                <w:rFonts w:ascii="Figtree" w:hAnsi="Figtree"/>
                <w:b w:val="0"/>
                <w:i w:val="0"/>
                <w:sz w:val="20"/>
              </w:rPr>
              <w:t>Settlement architecture scoping workshop</w:t>
            </w:r>
          </w:p>
        </w:tc>
        <w:tc>
          <w:tcPr>
            <w:tcW w:type="dxa" w:w="4873"/>
            <w:vAlign w:val="center"/>
          </w:tcPr>
          <w:p>
            <w:pPr>
              <w:spacing w:line="276" w:lineRule="auto" w:before="0" w:after="0"/>
            </w:pPr>
            <w:r/>
            <w:r>
              <w:rPr>
                <w:rFonts w:ascii="Figtree" w:hAnsi="Figtree"/>
                <w:b w:val="0"/>
                <w:i w:val="0"/>
                <w:sz w:val="20"/>
              </w:rPr>
              <w:t>Week 3-4</w:t>
            </w:r>
          </w:p>
        </w:tc>
      </w:tr>
      <w:tr>
        <w:trPr>
          <w:trHeight w:val="425" w:hRule="atLeast"/>
        </w:trPr>
        <w:tc>
          <w:tcPr>
            <w:tcW w:type="dxa" w:w="4873"/>
            <w:vAlign w:val="center"/>
          </w:tcPr>
          <w:p>
            <w:pPr>
              <w:spacing w:line="276" w:lineRule="auto" w:before="0" w:after="0"/>
            </w:pPr>
            <w:r/>
            <w:r>
              <w:rPr>
                <w:rFonts w:ascii="Figtree" w:hAnsi="Figtree"/>
                <w:b w:val="0"/>
                <w:i w:val="0"/>
                <w:sz w:val="20"/>
              </w:rPr>
              <w:t>TARGET2 integration design session</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Eurosystem governance mapping</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Technical due diligence</w:t>
            </w:r>
          </w:p>
        </w:tc>
        <w:tc>
          <w:tcPr>
            <w:tcW w:type="dxa" w:w="4873"/>
            <w:vAlign w:val="center"/>
          </w:tcPr>
          <w:p>
            <w:pPr>
              <w:spacing w:line="276" w:lineRule="auto" w:before="0" w:after="0"/>
            </w:pPr>
            <w:r/>
            <w:r>
              <w:rPr>
                <w:rFonts w:ascii="Figtree" w:hAnsi="Figtree"/>
                <w:b w:val="0"/>
                <w:i w:val="0"/>
                <w:sz w:val="20"/>
              </w:rPr>
              <w:t>Week 4-6</w:t>
            </w:r>
          </w:p>
        </w:tc>
      </w:tr>
      <w:tr>
        <w:trPr>
          <w:trHeight w:val="425" w:hRule="atLeast"/>
        </w:trPr>
        <w:tc>
          <w:tcPr>
            <w:tcW w:type="dxa" w:w="4873"/>
            <w:vAlign w:val="center"/>
          </w:tcPr>
          <w:p>
            <w:pPr>
              <w:spacing w:line="276" w:lineRule="auto" w:before="0" w:after="0"/>
            </w:pPr>
            <w:r/>
            <w:r>
              <w:rPr>
                <w:rFonts w:ascii="Figtree" w:hAnsi="Figtree"/>
                <w:b w:val="0"/>
                <w:i w:val="0"/>
                <w:sz w:val="20"/>
              </w:rPr>
              <w:t>CPMI-IOSCO gap analysis</w:t>
            </w:r>
          </w:p>
        </w:tc>
        <w:tc>
          <w:tcPr>
            <w:tcW w:type="dxa" w:w="4873"/>
            <w:vAlign w:val="center"/>
          </w:tcPr>
          <w:p>
            <w:pPr>
              <w:spacing w:line="276" w:lineRule="auto" w:before="0" w:after="0"/>
            </w:pPr>
            <w:r/>
            <w:r>
              <w:rPr>
                <w:rFonts w:ascii="Figtree" w:hAnsi="Figtree"/>
                <w:b w:val="0"/>
                <w:i w:val="0"/>
                <w:sz w:val="20"/>
              </w:rPr>
              <w:t>Week 5-6</w:t>
            </w:r>
          </w:p>
        </w:tc>
      </w:tr>
      <w:tr>
        <w:trPr>
          <w:trHeight w:val="425" w:hRule="atLeast"/>
        </w:trPr>
        <w:tc>
          <w:tcPr>
            <w:tcW w:type="dxa" w:w="4873"/>
            <w:vAlign w:val="center"/>
          </w:tcPr>
          <w:p>
            <w:pPr>
              <w:spacing w:line="276" w:lineRule="auto" w:before="0" w:after="0"/>
            </w:pPr>
            <w:r/>
            <w:r>
              <w:rPr>
                <w:rFonts w:ascii="Figtree" w:hAnsi="Figtree"/>
                <w:b w:val="0"/>
                <w:i w:val="0"/>
                <w:sz w:val="20"/>
              </w:rPr>
              <w:t>Firm commercial proposal</w:t>
            </w:r>
          </w:p>
        </w:tc>
        <w:tc>
          <w:tcPr>
            <w:tcW w:type="dxa" w:w="4873"/>
            <w:vAlign w:val="center"/>
          </w:tcPr>
          <w:p>
            <w:pPr>
              <w:spacing w:line="276" w:lineRule="auto" w:before="0" w:after="0"/>
            </w:pPr>
            <w:r/>
            <w:r>
              <w:rPr>
                <w:rFonts w:ascii="Figtree" w:hAnsi="Figtree"/>
                <w:b w:val="0"/>
                <w:i w:val="0"/>
                <w:sz w:val="20"/>
              </w:rPr>
              <w:t>Week 6-8</w:t>
            </w:r>
          </w:p>
        </w:tc>
      </w:tr>
      <w:tr>
        <w:trPr>
          <w:trHeight w:val="425" w:hRule="atLeast"/>
        </w:trPr>
        <w:tc>
          <w:tcPr>
            <w:tcW w:type="dxa" w:w="4873"/>
            <w:vAlign w:val="center"/>
          </w:tcPr>
          <w:p>
            <w:pPr>
              <w:spacing w:line="276" w:lineRule="auto" w:before="0" w:after="0"/>
            </w:pPr>
            <w:r/>
            <w:r>
              <w:rPr>
                <w:rFonts w:ascii="Figtree" w:hAnsi="Figtree"/>
                <w:b w:val="0"/>
                <w:i w:val="0"/>
                <w:sz w:val="20"/>
              </w:rPr>
              <w:t>NCB extension discussion</w:t>
            </w:r>
          </w:p>
        </w:tc>
        <w:tc>
          <w:tcPr>
            <w:tcW w:type="dxa" w:w="4873"/>
            <w:vAlign w:val="center"/>
          </w:tcPr>
          <w:p>
            <w:pPr>
              <w:spacing w:line="276" w:lineRule="auto" w:before="0" w:after="0"/>
            </w:pPr>
            <w:r/>
            <w:r>
              <w:rPr>
                <w:rFonts w:ascii="Figtree" w:hAnsi="Figtree"/>
                <w:b w:val="0"/>
                <w:i w:val="0"/>
                <w:sz w:val="20"/>
              </w:rPr>
              <w:t>Week 7-9</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 9-14</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