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Commercial Proposal for Checkout.com</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Executive Summary</w:t>
          </w:r>
          <w:r>
            <w:tab/>
          </w:r>
          <w:r>
            <w:t xml:space="preserve">6</w:t>
          </w:r>
        </w:p>
        <w:p>
          <w:pPr>
            <w:pStyle w:val="TOC3"/>
            <w:tabs>
              <w:tab w:val="right" w:leader="dot" w:pos="9072"/>
            </w:tabs>
          </w:pPr>
          <w:r>
            <w:t xml:space="preserve">Investment Summary</w:t>
          </w:r>
          <w:r>
            <w:tab/>
          </w:r>
          <w:r>
            <w:t xml:space="preserve">7</w:t>
          </w:r>
        </w:p>
        <w:p>
          <w:pPr>
            <w:pStyle w:val="TOC2"/>
            <w:tabs>
              <w:tab w:val="right" w:leader="dot" w:pos="9072"/>
            </w:tabs>
          </w:pPr>
          <w:r>
            <w:t xml:space="preserve">Investment Rationale</w:t>
          </w:r>
          <w:r>
            <w:tab/>
          </w:r>
          <w:r>
            <w:t xml:space="preserve">8</w:t>
          </w:r>
        </w:p>
        <w:p>
          <w:pPr>
            <w:pStyle w:val="TOC3"/>
            <w:tabs>
              <w:tab w:val="right" w:leader="dot" w:pos="9072"/>
            </w:tabs>
          </w:pPr>
          <w:r>
            <w:t xml:space="preserve">The Cost of the Current Approach</w:t>
          </w:r>
          <w:r>
            <w:tab/>
          </w:r>
          <w:r>
            <w:t xml:space="preserve">9</w:t>
          </w:r>
        </w:p>
        <w:p>
          <w:pPr>
            <w:pStyle w:val="TOC3"/>
            <w:tabs>
              <w:tab w:val="right" w:leader="dot" w:pos="9072"/>
            </w:tabs>
          </w:pPr>
          <w:r>
            <w:t xml:space="preserve">Why DALP Changes the Economics</w:t>
          </w:r>
          <w:r>
            <w:tab/>
          </w:r>
          <w:r>
            <w:t xml:space="preserve">10</w:t>
          </w:r>
        </w:p>
        <w:p>
          <w:pPr>
            <w:pStyle w:val="TOC3"/>
            <w:tabs>
              <w:tab w:val="right" w:leader="dot" w:pos="9072"/>
            </w:tabs>
          </w:pPr>
          <w:r>
            <w:t xml:space="preserve">ROI Framework</w:t>
          </w:r>
          <w:r>
            <w:tab/>
          </w:r>
          <w:r>
            <w:t xml:space="preserve">11</w:t>
          </w:r>
        </w:p>
        <w:p>
          <w:pPr>
            <w:pStyle w:val="TOC3"/>
            <w:tabs>
              <w:tab w:val="right" w:leader="dot" w:pos="9072"/>
            </w:tabs>
          </w:pPr>
          <w:r>
            <w:t xml:space="preserve">Build vs. Buy Analysis</w:t>
          </w:r>
          <w:r>
            <w:tab/>
          </w:r>
          <w:r>
            <w:t xml:space="preserve">12</w:t>
          </w:r>
        </w:p>
        <w:p>
          <w:pPr>
            <w:pStyle w:val="TOC2"/>
            <w:tabs>
              <w:tab w:val="right" w:leader="dot" w:pos="9072"/>
            </w:tabs>
          </w:pPr>
          <w:r>
            <w:t xml:space="preserve">Licensing Model</w:t>
          </w:r>
          <w:r>
            <w:tab/>
          </w:r>
          <w:r>
            <w:t xml:space="preserve">13</w:t>
          </w:r>
        </w:p>
        <w:p>
          <w:pPr>
            <w:pStyle w:val="TOC3"/>
            <w:tabs>
              <w:tab w:val="right" w:leader="dot" w:pos="9072"/>
            </w:tabs>
          </w:pPr>
          <w:r>
            <w:t xml:space="preserve">Philosophy</w:t>
          </w:r>
          <w:r>
            <w:tab/>
          </w:r>
          <w:r>
            <w:t xml:space="preserve">14</w:t>
          </w:r>
        </w:p>
        <w:p>
          <w:pPr>
            <w:pStyle w:val="TOC3"/>
            <w:tabs>
              <w:tab w:val="right" w:leader="dot" w:pos="9072"/>
            </w:tabs>
          </w:pPr>
          <w:r>
            <w:t xml:space="preserve">What Is Included in the Platform License</w:t>
          </w:r>
          <w:r>
            <w:tab/>
          </w:r>
          <w:r>
            <w:t xml:space="preserve">15</w:t>
          </w:r>
        </w:p>
        <w:p>
          <w:pPr>
            <w:pStyle w:val="TOC3"/>
            <w:tabs>
              <w:tab w:val="right" w:leader="dot" w:pos="9072"/>
            </w:tabs>
          </w:pPr>
          <w:r>
            <w:t xml:space="preserve">Platform Tiers and Annual License Fees</w:t>
          </w:r>
          <w:r>
            <w:tab/>
          </w:r>
          <w:r>
            <w:t xml:space="preserve">16</w:t>
          </w:r>
        </w:p>
        <w:p>
          <w:pPr>
            <w:pStyle w:val="TOC2"/>
            <w:tabs>
              <w:tab w:val="right" w:leader="dot" w:pos="9072"/>
            </w:tabs>
          </w:pPr>
          <w:r>
            <w:t xml:space="preserve">Deployment Options and Pricing</w:t>
          </w:r>
          <w:r>
            <w:tab/>
          </w:r>
          <w:r>
            <w:t xml:space="preserve">17</w:t>
          </w:r>
        </w:p>
        <w:p>
          <w:pPr>
            <w:pStyle w:val="TOC3"/>
            <w:tabs>
              <w:tab w:val="right" w:leader="dot" w:pos="9072"/>
            </w:tabs>
          </w:pPr>
          <w:r>
            <w:t xml:space="preserve">Recommended: Hybrid (Managed SaaS Dev/Staging + Private Cloud Production)</w:t>
          </w:r>
          <w:r>
            <w:tab/>
          </w:r>
          <w:r>
            <w:t xml:space="preserve">18</w:t>
          </w:r>
        </w:p>
        <w:p>
          <w:pPr>
            <w:pStyle w:val="TOC2"/>
            <w:tabs>
              <w:tab w:val="right" w:leader="dot" w:pos="9072"/>
            </w:tabs>
          </w:pPr>
          <w:r>
            <w:t xml:space="preserve">Support and SLA Framework</w:t>
          </w:r>
          <w:r>
            <w:tab/>
          </w:r>
          <w:r>
            <w:t xml:space="preserve">19</w:t>
          </w:r>
        </w:p>
        <w:p>
          <w:pPr>
            <w:pStyle w:val="TOC3"/>
            <w:tabs>
              <w:tab w:val="right" w:leader="dot" w:pos="9072"/>
            </w:tabs>
          </w:pPr>
          <w:r>
            <w:t xml:space="preserve">Recommended: Enterprise Support</w:t>
          </w:r>
          <w:r>
            <w:tab/>
          </w:r>
          <w:r>
            <w:t xml:space="preserve">20</w:t>
          </w:r>
        </w:p>
        <w:p>
          <w:pPr>
            <w:pStyle w:val="TOC3"/>
            <w:tabs>
              <w:tab w:val="right" w:leader="dot" w:pos="9072"/>
            </w:tabs>
          </w:pPr>
          <w:r>
            <w:t xml:space="preserve">Support Tier Comparison</w:t>
          </w:r>
          <w:r>
            <w:tab/>
          </w:r>
          <w:r>
            <w:t xml:space="preserve">21</w:t>
          </w:r>
        </w:p>
        <w:p>
          <w:pPr>
            <w:pStyle w:val="TOC3"/>
            <w:tabs>
              <w:tab w:val="right" w:leader="dot" w:pos="9072"/>
            </w:tabs>
          </w:pPr>
          <w:r>
            <w:t xml:space="preserve">Service Credits</w:t>
          </w:r>
          <w:r>
            <w:tab/>
          </w:r>
          <w:r>
            <w:t xml:space="preserve">22</w:t>
          </w:r>
        </w:p>
        <w:p>
          <w:pPr>
            <w:pStyle w:val="TOC2"/>
            <w:tabs>
              <w:tab w:val="right" w:leader="dot" w:pos="9072"/>
            </w:tabs>
          </w:pPr>
          <w:r>
            <w:t xml:space="preserve">Implementation Investment</w:t>
          </w:r>
          <w:r>
            <w:tab/>
          </w:r>
          <w:r>
            <w:t xml:space="preserve">23</w:t>
          </w:r>
        </w:p>
        <w:p>
          <w:pPr>
            <w:pStyle w:val="TOC3"/>
            <w:tabs>
              <w:tab w:val="right" w:leader="dot" w:pos="9072"/>
            </w:tabs>
          </w:pPr>
          <w:r>
            <w:t xml:space="preserve">Phase-by-Phase Implementation Fees</w:t>
          </w:r>
          <w:r>
            <w:tab/>
          </w:r>
          <w:r>
            <w:t xml:space="preserve">24</w:t>
          </w:r>
        </w:p>
        <w:p>
          <w:pPr>
            <w:pStyle w:val="TOC3"/>
            <w:tabs>
              <w:tab w:val="right" w:leader="dot" w:pos="9072"/>
            </w:tabs>
          </w:pPr>
          <w:r>
            <w:t xml:space="preserve">Implementation Assumptions</w:t>
          </w:r>
          <w:r>
            <w:tab/>
          </w:r>
          <w:r>
            <w:t xml:space="preserve">25</w:t>
          </w:r>
        </w:p>
        <w:p>
          <w:pPr>
            <w:pStyle w:val="TOC3"/>
            <w:tabs>
              <w:tab w:val="right" w:leader="dot" w:pos="9072"/>
            </w:tabs>
          </w:pPr>
          <w:r>
            <w:t xml:space="preserve">Out-of-Scope Items</w:t>
          </w:r>
          <w:r>
            <w:tab/>
          </w:r>
          <w:r>
            <w:t xml:space="preserve">26</w:t>
          </w:r>
        </w:p>
        <w:p>
          <w:pPr>
            <w:pStyle w:val="TOC3"/>
            <w:tabs>
              <w:tab w:val="right" w:leader="dot" w:pos="9072"/>
            </w:tabs>
          </w:pPr>
          <w:r>
            <w:t xml:space="preserve">Change Request Day Rates</w:t>
          </w:r>
          <w:r>
            <w:tab/>
          </w:r>
          <w:r>
            <w:t xml:space="preserve">27</w:t>
          </w:r>
        </w:p>
        <w:p>
          <w:pPr>
            <w:pStyle w:val="TOC2"/>
            <w:tabs>
              <w:tab w:val="right" w:leader="dot" w:pos="9072"/>
            </w:tabs>
          </w:pPr>
          <w:r>
            <w:t xml:space="preserve">Commercial Terms</w:t>
          </w:r>
          <w:r>
            <w:tab/>
          </w:r>
          <w:r>
            <w:t xml:space="preserve">28</w:t>
          </w:r>
        </w:p>
        <w:p>
          <w:pPr>
            <w:pStyle w:val="TOC3"/>
            <w:tabs>
              <w:tab w:val="right" w:leader="dot" w:pos="9072"/>
            </w:tabs>
          </w:pPr>
          <w:r>
            <w:t xml:space="preserve">Contract Structure</w:t>
          </w:r>
          <w:r>
            <w:tab/>
          </w:r>
          <w:r>
            <w:t xml:space="preserve">29</w:t>
          </w:r>
        </w:p>
        <w:p>
          <w:pPr>
            <w:pStyle w:val="TOC3"/>
            <w:tabs>
              <w:tab w:val="right" w:leader="dot" w:pos="9072"/>
            </w:tabs>
          </w:pPr>
          <w:r>
            <w:t xml:space="preserve">Payment Schedule</w:t>
          </w:r>
          <w:r>
            <w:tab/>
          </w:r>
          <w:r>
            <w:t xml:space="preserve">30</w:t>
          </w:r>
        </w:p>
        <w:p>
          <w:pPr>
            <w:pStyle w:val="TOC3"/>
            <w:tabs>
              <w:tab w:val="right" w:leader="dot" w:pos="9072"/>
            </w:tabs>
          </w:pPr>
          <w:r>
            <w:t xml:space="preserve">Minimum Contract Term</w:t>
          </w:r>
          <w:r>
            <w:tab/>
          </w:r>
          <w:r>
            <w:t xml:space="preserve">31</w:t>
          </w:r>
        </w:p>
        <w:p>
          <w:pPr>
            <w:pStyle w:val="TOC3"/>
            <w:tabs>
              <w:tab w:val="right" w:leader="dot" w:pos="9072"/>
            </w:tabs>
          </w:pPr>
          <w:r>
            <w:t xml:space="preserve">Representations and Warranties</w:t>
          </w:r>
          <w:r>
            <w:tab/>
          </w:r>
          <w:r>
            <w:t xml:space="preserve">32</w:t>
          </w:r>
        </w:p>
        <w:p>
          <w:pPr>
            <w:pStyle w:val="TOC3"/>
            <w:tabs>
              <w:tab w:val="right" w:leader="dot" w:pos="9072"/>
            </w:tabs>
          </w:pPr>
          <w:r>
            <w:t xml:space="preserve">Intellectual Property</w:t>
          </w:r>
          <w:r>
            <w:tab/>
          </w:r>
          <w:r>
            <w:t xml:space="preserve">33</w:t>
          </w:r>
        </w:p>
        <w:p>
          <w:pPr>
            <w:pStyle w:val="TOC3"/>
            <w:tabs>
              <w:tab w:val="right" w:leader="dot" w:pos="9072"/>
            </w:tabs>
          </w:pPr>
          <w:r>
            <w:t xml:space="preserve">Exit Assistance</w:t>
          </w:r>
          <w:r>
            <w:tab/>
          </w:r>
          <w:r>
            <w:t xml:space="preserve">34</w:t>
          </w:r>
        </w:p>
        <w:p>
          <w:pPr>
            <w:pStyle w:val="TOC2"/>
            <w:tabs>
              <w:tab w:val="right" w:leader="dot" w:pos="9072"/>
            </w:tabs>
          </w:pPr>
          <w:r>
            <w:t xml:space="preserve">Total Cost of Ownership</w:t>
          </w:r>
          <w:r>
            <w:tab/>
          </w:r>
          <w:r>
            <w:t xml:space="preserve">35</w:t>
          </w:r>
        </w:p>
        <w:p>
          <w:pPr>
            <w:pStyle w:val="TOC3"/>
            <w:tabs>
              <w:tab w:val="right" w:leader="dot" w:pos="9072"/>
            </w:tabs>
          </w:pPr>
          <w:r>
            <w:t xml:space="preserve">3-Year TCO Model</w:t>
          </w:r>
          <w:r>
            <w:tab/>
          </w:r>
          <w:r>
            <w:t xml:space="preserve">36</w:t>
          </w:r>
        </w:p>
        <w:p>
          <w:pPr>
            <w:pStyle w:val="TOC3"/>
            <w:tabs>
              <w:tab w:val="right" w:leader="dot" w:pos="9072"/>
            </w:tabs>
          </w:pPr>
          <w:r>
            <w:t xml:space="preserve">5-Year TCO vs. Build Alternative</w:t>
          </w:r>
          <w:r>
            <w:tab/>
          </w:r>
          <w:r>
            <w:t xml:space="preserve">37</w:t>
          </w:r>
        </w:p>
        <w:p>
          <w:pPr>
            <w:pStyle w:val="TOC2"/>
            <w:tabs>
              <w:tab w:val="right" w:leader="dot" w:pos="9072"/>
            </w:tabs>
          </w:pPr>
          <w:r>
            <w:t xml:space="preserve">Reference Clients</w:t>
          </w:r>
          <w:r>
            <w:tab/>
          </w:r>
          <w:r>
            <w:t xml:space="preserve">38</w:t>
          </w:r>
        </w:p>
        <w:p>
          <w:pPr>
            <w:pStyle w:val="TOC3"/>
            <w:tabs>
              <w:tab w:val="right" w:leader="dot" w:pos="9072"/>
            </w:tabs>
          </w:pPr>
          <w:r>
            <w:t xml:space="preserve">Adyen</w:t>
          </w:r>
          <w:r>
            <w:tab/>
          </w:r>
          <w:r>
            <w:t xml:space="preserve">39</w:t>
          </w:r>
        </w:p>
        <w:p>
          <w:pPr>
            <w:pStyle w:val="TOC3"/>
            <w:tabs>
              <w:tab w:val="right" w:leader="dot" w:pos="9072"/>
            </w:tabs>
          </w:pPr>
          <w:r>
            <w:t xml:space="preserve">Maybank Project Photon</w:t>
          </w:r>
          <w:r>
            <w:tab/>
          </w:r>
          <w:r>
            <w:t xml:space="preserve">40</w:t>
          </w:r>
        </w:p>
        <w:p>
          <w:pPr>
            <w:pStyle w:val="TOC3"/>
            <w:tabs>
              <w:tab w:val="right" w:leader="dot" w:pos="9072"/>
            </w:tabs>
          </w:pPr>
          <w:r>
            <w:t xml:space="preserve">Commerzbank</w:t>
          </w:r>
          <w:r>
            <w:tab/>
          </w:r>
          <w:r>
            <w:t xml:space="preserve">41</w:t>
          </w:r>
        </w:p>
        <w:p>
          <w:pPr>
            <w:pStyle w:val="TOC2"/>
            <w:tabs>
              <w:tab w:val="right" w:leader="dot" w:pos="9072"/>
            </w:tabs>
          </w:pPr>
          <w:r>
            <w:t xml:space="preserve">Next Steps</w:t>
          </w:r>
          <w:r>
            <w:tab/>
          </w:r>
          <w:r>
            <w:t xml:space="preserve">42</w:t>
          </w:r>
        </w:p>
        <w:p>
          <w:pPr>
            <w:pStyle w:val="TOC3"/>
            <w:tabs>
              <w:tab w:val="right" w:leader="dot" w:pos="9072"/>
            </w:tabs>
          </w:pPr>
          <w:r>
            <w:t xml:space="preserve">Immediate Actions</w:t>
          </w:r>
          <w:r>
            <w:tab/>
          </w:r>
          <w:r>
            <w:t xml:space="preserve">43</w:t>
          </w:r>
        </w:p>
        <w:p>
          <w:pPr>
            <w:pStyle w:val="TOC3"/>
            <w:tabs>
              <w:tab w:val="right" w:leader="dot" w:pos="9072"/>
            </w:tabs>
          </w:pPr>
          <w:r>
            <w:t xml:space="preserve">Primary Contacts</w:t>
          </w:r>
          <w:r>
            <w:tab/>
          </w:r>
          <w:r>
            <w:t xml:space="preserve">44</w:t>
          </w:r>
        </w:p>
        <w:p>
          <w:pPr>
            <w:pStyle w:val="TOC2"/>
            <w:tabs>
              <w:tab w:val="right" w:leader="dot" w:pos="9072"/>
            </w:tabs>
          </w:pPr>
          <w:r>
            <w:t xml:space="preserve">Appendix: Commercial Assumptions and Dependencies Register</w:t>
          </w:r>
          <w:r>
            <w:tab/>
          </w:r>
          <w:r>
            <w:t xml:space="preserve">45</w:t>
          </w:r>
        </w:p>
        <w:p>
          <w:pPr>
            <w:pStyle w:val="TOC3"/>
            <w:tabs>
              <w:tab w:val="right" w:leader="dot" w:pos="9072"/>
            </w:tabs>
          </w:pPr>
          <w:r>
            <w:t xml:space="preserve">Implementation Scope Assumptions</w:t>
          </w:r>
          <w:r>
            <w:tab/>
          </w:r>
          <w:r>
            <w:t xml:space="preserve">46</w:t>
          </w:r>
        </w:p>
        <w:p>
          <w:pPr>
            <w:pStyle w:val="TOC3"/>
            <w:tabs>
              <w:tab w:val="right" w:leader="dot" w:pos="9072"/>
            </w:tabs>
          </w:pPr>
          <w:r>
            <w:t xml:space="preserve">Third-Party Dependencies Register</w:t>
          </w:r>
          <w:r>
            <w:tab/>
          </w:r>
          <w:r>
            <w:t xml:space="preserve">47</w:t>
          </w:r>
        </w:p>
        <w:p>
          <w:pPr>
            <w:pStyle w:val="TOC3"/>
            <w:tabs>
              <w:tab w:val="right" w:leader="dot" w:pos="9072"/>
            </w:tabs>
          </w:pPr>
          <w:r>
            <w:t xml:space="preserve">Volume Thresholds (Enterprise Tier)</w:t>
          </w:r>
          <w:r>
            <w:tab/>
          </w:r>
          <w:r>
            <w:t xml:space="preserve">48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Commercial Proposal for Checkout.com</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Checkout.com, London, United Kingdom</w:t>
      </w:r>
    </w:p>
    <w:p>
      <w:r>
        <w:rPr>
          <w:rFonts w:ascii="Figtree" w:hAnsi="Figtree"/>
          <w:b/>
          <w:i w:val="0"/>
          <w:sz w:val="22"/>
        </w:rPr>
        <w:t>Document reference:</w:t>
      </w:r>
      <w:r>
        <w:rPr>
          <w:rFonts w:ascii="Figtree" w:hAnsi="Figtree"/>
          <w:b w:val="0"/>
          <w:i w:val="0"/>
          <w:sz w:val="22"/>
        </w:rPr>
        <w:t xml:space="preserve"> SM-COMM-CHECKOUT-2026-001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Executive Summary</w:t>
      </w:r>
    </w:p>
    <w:p>
      <w:r>
        <w:rPr>
          <w:rFonts w:ascii="Figtree" w:hAnsi="Figtree"/>
          <w:b w:val="0"/>
          <w:i w:val="0"/>
          <w:sz w:val="22"/>
        </w:rPr>
        <w:t>Checkout.com's digital asset payment processing programme represents a strategic investment in the merchant settlement infrastructure that will define competitive differentiation in global payment processing over the next decade. The question is not whether to build this capability, but whether to build it through custom development — historically 18 to 24 months and EUR 3 to 8 million before a production-capable service is live — or through DALP, SettleMint's production-grade Digital Asset Lifecycle Platform, which delivers the same capability in 14 to 18 weeks with a fraction of the ongoing operational overhead.</w:t>
      </w:r>
    </w:p>
    <w:p>
      <w:r>
        <w:rPr>
          <w:rFonts w:ascii="Figtree" w:hAnsi="Figtree"/>
          <w:b w:val="0"/>
          <w:i w:val="0"/>
          <w:sz w:val="22"/>
        </w:rPr>
        <w:t>This commercial proposal structures the investment for Checkout.com's digital asset payment processing programme transparently, scalably, and predictably. The total investment to reach production-capable EUR stablecoin merchant settlement is EUR 360,000 to EUR 420,000 in implementation fees, plus annual platform licensing of EUR 280,000 for the Enterprise tier. Over a 3-year period, the total cost of ownership for DALP compares favourably against the build alternative at every volume level above pilot scale and creates a significantly lower operational risk profile.</w:t>
      </w:r>
    </w:p>
    <w:p>
      <w:r>
        <w:rPr>
          <w:rFonts w:ascii="Figtree" w:hAnsi="Figtree"/>
          <w:b w:val="0"/>
          <w:i w:val="0"/>
          <w:sz w:val="22"/>
        </w:rPr>
        <w:t>The commercial structure reflects SettleMint's operating model as a platform company. Implementation fees cover the defined 6-phase delivery programme. Platform licensing provides access to DALP's full capability set, ongoing development, and compliance module updates as regulatory requirements evolve. Support fees provide the 24/7/365 Enterprise support that payment infrastructure requires. No hidden professional services dependencies, no mandatory managed operations, and no pricing structures that penalize Checkout.com for growing transaction volumes within the licensed tier.</w:t>
      </w:r>
    </w:p>
    <w:p>
      <w:pPr>
        <w:pStyle w:val="H3"/>
        <w:numPr>
          <w:ilvl w:val="2"/>
          <w:numId w:val="1"/>
        </w:numPr>
      </w:pPr>
      <w:r>
        <w:t>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03"/>
        <w:gridCol w:w="1347"/>
        <w:gridCol w:w="1347"/>
        <w:gridCol w:w="1347"/>
        <w:gridCol w:w="15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Investment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EUR 390,000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390,000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(Private Cloud estimate)</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165,000</w:t>
            </w:r>
          </w:p>
        </w:tc>
      </w:tr>
      <w:tr>
        <w:trPr>
          <w:trHeight w:val="425" w:hRule="atLeast"/>
        </w:trPr>
        <w:tc>
          <w:tcPr>
            <w:tcW w:type="dxa" w:w="1949"/>
            <w:vAlign w:val="center"/>
          </w:tcPr>
          <w:p>
            <w:pPr>
              <w:spacing w:line="276" w:lineRule="auto" w:before="0" w:after="0"/>
            </w:pPr>
            <w:r/>
            <w:r>
              <w:rPr>
                <w:rFonts w:ascii="Figtree" w:hAnsi="Figtree"/>
                <w:b w:val="0"/>
                <w:i w:val="0"/>
                <w:sz w:val="20"/>
              </w:rPr>
              <w:t>Custody (Fireblocks/DFNS, estimated)</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165,000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EUR 890,000</w:t>
            </w:r>
          </w:p>
        </w:tc>
        <w:tc>
          <w:tcPr>
            <w:tcW w:type="dxa" w:w="1949"/>
            <w:vAlign w:val="center"/>
          </w:tcPr>
          <w:p>
            <w:pPr>
              <w:spacing w:line="276" w:lineRule="auto" w:before="0" w:after="0"/>
            </w:pPr>
            <w:r/>
            <w:r>
              <w:rPr>
                <w:rFonts w:ascii="Figtree" w:hAnsi="Figtree"/>
                <w:b/>
                <w:i w:val="0"/>
                <w:sz w:val="20"/>
              </w:rPr>
              <w:t>EUR 510,000</w:t>
            </w:r>
          </w:p>
        </w:tc>
        <w:tc>
          <w:tcPr>
            <w:tcW w:type="dxa" w:w="1949"/>
            <w:vAlign w:val="center"/>
          </w:tcPr>
          <w:p>
            <w:pPr>
              <w:spacing w:line="276" w:lineRule="auto" w:before="0" w:after="0"/>
            </w:pPr>
            <w:r/>
            <w:r>
              <w:rPr>
                <w:rFonts w:ascii="Figtree" w:hAnsi="Figtree"/>
                <w:b/>
                <w:i w:val="0"/>
                <w:sz w:val="20"/>
              </w:rPr>
              <w:t>EUR 548,000</w:t>
            </w:r>
          </w:p>
        </w:tc>
        <w:tc>
          <w:tcPr>
            <w:tcW w:type="dxa" w:w="1949"/>
            <w:vAlign w:val="center"/>
          </w:tcPr>
          <w:p>
            <w:pPr>
              <w:spacing w:line="276" w:lineRule="auto" w:before="0" w:after="0"/>
            </w:pPr>
            <w:r/>
            <w:r>
              <w:rPr>
                <w:rFonts w:ascii="Figtree" w:hAnsi="Figtree"/>
                <w:b/>
                <w:i w:val="0"/>
                <w:sz w:val="20"/>
              </w:rPr>
              <w:t>EUR 1,948,000</w:t>
            </w:r>
          </w:p>
        </w:tc>
      </w:tr>
    </w:tbl>
    <w:p>
      <w:pPr>
        <w:spacing w:before="0" w:after="0" w:line="120" w:lineRule="exact"/>
      </w:pPr>
    </w:p>
    <w:p>
      <w:r>
        <w:rPr>
          <w:rFonts w:ascii="Figtree" w:hAnsi="Figtree"/>
          <w:b w:val="0"/>
          <w:i w:val="0"/>
          <w:sz w:val="22"/>
        </w:rPr>
        <w:t>The Year 1 figure includes the one-time implementation investment. From Year 2, the annual operating cost is approximately EUR 510,000 to EUR 548,000 for a production digital asset payment processing service. This represents a predictable, fixed operating cost for payment infrastructure that, once live, provides competitive differentiation in merchant settlement.</w:t>
      </w:r>
    </w:p>
    <w:p>
      <w:r>
        <w:br w:type="page"/>
      </w:r>
    </w:p>
    <w:p>
      <w:pPr>
        <w:pStyle w:val="H2"/>
        <w:numPr>
          <w:ilvl w:val="1"/>
          <w:numId w:val="1"/>
        </w:numPr>
      </w:pPr>
      <w:r>
        <w:t>Investment Rationale</w:t>
      </w:r>
    </w:p>
    <w:p>
      <w:pPr>
        <w:pStyle w:val="H3"/>
        <w:numPr>
          <w:ilvl w:val="2"/>
          <w:numId w:val="1"/>
        </w:numPr>
      </w:pPr>
      <w:r>
        <w:t>The Cost of the Current Approach</w:t>
      </w:r>
    </w:p>
    <w:p>
      <w:r>
        <w:rPr>
          <w:rFonts w:ascii="Figtree" w:hAnsi="Figtree"/>
          <w:b w:val="0"/>
          <w:i w:val="0"/>
          <w:sz w:val="22"/>
        </w:rPr>
        <w:t>Checkout.com's current payment settlement model operates on traditional card network and correspondent banking rails with structural costs that are treated as fixed infrastructure rather than addressable efficiency opportunities.</w:t>
      </w:r>
    </w:p>
    <w:p>
      <w:r>
        <w:rPr>
          <w:rFonts w:ascii="Figtree" w:hAnsi="Figtree"/>
          <w:b w:val="0"/>
          <w:i w:val="0"/>
          <w:sz w:val="22"/>
        </w:rPr>
        <w:t>Cross-border settlement costs for international payment acquiring typically run to 1.0 to 2.5 percent of transaction value in correspondent banking fees, FX spread, and intermediary charges. For merchants settling EUR 10 million monthly in cross-border transactions, this represents EUR 100,000 to EUR 250,000 in annual settlement friction.</w:t>
      </w:r>
    </w:p>
    <w:p>
      <w:r>
        <w:rPr>
          <w:rFonts w:ascii="Figtree" w:hAnsi="Figtree"/>
          <w:b w:val="0"/>
          <w:i w:val="0"/>
          <w:sz w:val="22"/>
        </w:rPr>
        <w:t>Settlement delay creates working capital inefficiency. T+1 to T+2 settlement on card networks means merchants are effectively extending unsecured short-term credit on every transaction cycle. For a merchant with EUR 1 million monthly volume, approximately EUR 30,000 to EUR 65,000 in working capital is permanently deployed in settlement float.</w:t>
      </w:r>
    </w:p>
    <w:p>
      <w:r>
        <w:rPr>
          <w:rFonts w:ascii="Figtree" w:hAnsi="Figtree"/>
          <w:b w:val="0"/>
          <w:i w:val="0"/>
          <w:sz w:val="22"/>
        </w:rPr>
        <w:t>FX intermediation costs for multi-currency merchant settlements erode margins on international transactions. Each currency conversion involves spread, fees, and counterparty risk that DALP's atomic XvP settlement eliminates.</w:t>
      </w:r>
    </w:p>
    <w:p>
      <w:pPr>
        <w:pStyle w:val="H3"/>
        <w:numPr>
          <w:ilvl w:val="2"/>
          <w:numId w:val="1"/>
        </w:numPr>
      </w:pPr>
      <w:r>
        <w:t>Why DALP Changes the Economics</w:t>
      </w:r>
    </w:p>
    <w:p>
      <w:r>
        <w:rPr>
          <w:rFonts w:ascii="Figtree" w:hAnsi="Figtree"/>
          <w:b w:val="0"/>
          <w:i w:val="0"/>
          <w:sz w:val="22"/>
        </w:rPr>
        <w:t>Settlement finality in seconds eliminates working capital inefficiency of T+1 to T+2 settlement. Merchants receiving stablecoin settlement have confirmed access to funds within seconds of payment authorization.</w:t>
      </w:r>
    </w:p>
    <w:p>
      <w:r>
        <w:rPr>
          <w:rFonts w:ascii="Figtree" w:hAnsi="Figtree"/>
          <w:b w:val="0"/>
          <w:i w:val="0"/>
          <w:sz w:val="22"/>
        </w:rPr>
        <w:t>Atomic XvP settlement eliminates correspondent banking intermediation for cross-border payments. When both legs of a cross-currency payment settle simultaneously, correspondent banking chains are bypassed. The Maybank Project Photon reference demonstrated this model in production for cross-currency settlement.</w:t>
      </w:r>
    </w:p>
    <w:p>
      <w:r>
        <w:rPr>
          <w:rFonts w:ascii="Figtree" w:hAnsi="Figtree"/>
          <w:b w:val="0"/>
          <w:i w:val="0"/>
          <w:sz w:val="22"/>
        </w:rPr>
        <w:t>Compliance automation reduces the operational cost of maintaining AML/CFT and MiCA compliance at scale. DALP's ex-ante enforcement eliminates post-trade review overhead, producing an auditable evidence trail without additional compliance operations cost.</w:t>
      </w:r>
    </w:p>
    <w:p>
      <w:pPr>
        <w:pStyle w:val="H3"/>
        <w:numPr>
          <w:ilvl w:val="2"/>
          <w:numId w:val="1"/>
        </w:numPr>
      </w:pPr>
      <w:r>
        <w:t>ROI Framework</w:t>
      </w:r>
    </w:p>
    <w:p>
      <w:r>
        <w:rPr>
          <w:rFonts w:ascii="Figtree" w:hAnsi="Figtree"/>
          <w:b/>
          <w:i w:val="0"/>
          <w:sz w:val="22"/>
        </w:rPr>
        <w:t>Cost reduction (Year 2-3 annualized):</w:t>
      </w:r>
    </w:p>
    <w:p>
      <w:r>
        <w:rPr>
          <w:rFonts w:ascii="Figtree" w:hAnsi="Figtree"/>
          <w:b w:val="0"/>
          <w:i w:val="0"/>
          <w:sz w:val="22"/>
        </w:rPr>
        <w:t>Cross-border settlement cost reduction through correspondent banking bypass: assumes 5 percent of Checkout.com's cross-border volume migrates to tokenized settlement in Year 2. At 1.5 percent average correspondent banking cost, 5 percent migration produces material addressable cost reduction.</w:t>
      </w:r>
    </w:p>
    <w:p>
      <w:r>
        <w:rPr>
          <w:rFonts w:ascii="Figtree" w:hAnsi="Figtree"/>
          <w:b w:val="0"/>
          <w:i w:val="0"/>
          <w:sz w:val="22"/>
        </w:rPr>
        <w:t>Reconciliation overhead reduction: T+0 atomic settlement eliminates the 1 to 2 day settlement window that creates most reconciliation breaks. Estimate 30 to 40 percent reduction in reconciliation operations overhead for migrated volume.</w:t>
      </w:r>
    </w:p>
    <w:p>
      <w:r>
        <w:rPr>
          <w:rFonts w:ascii="Figtree" w:hAnsi="Figtree"/>
          <w:b/>
          <w:i w:val="0"/>
          <w:sz w:val="22"/>
        </w:rPr>
        <w:t>Revenue creation (Year 2-3 annualized):</w:t>
      </w:r>
    </w:p>
    <w:p>
      <w:r>
        <w:rPr>
          <w:rFonts w:ascii="Figtree" w:hAnsi="Figtree"/>
          <w:b w:val="0"/>
          <w:i w:val="0"/>
          <w:sz w:val="22"/>
        </w:rPr>
        <w:t>Premium T+0 settlement service: Checkout.com can charge a service premium for guaranteed T+0 stablecoin settlement. An additional 10 to 20 basis points on premium settlement volume creates direct revenue.</w:t>
      </w:r>
    </w:p>
    <w:p>
      <w:r>
        <w:rPr>
          <w:rFonts w:ascii="Figtree" w:hAnsi="Figtree"/>
          <w:b w:val="0"/>
          <w:i w:val="0"/>
          <w:sz w:val="22"/>
        </w:rPr>
        <w:t>Stablecoin reserve yield: reserve assets held to back stablecoin supply generate yield. Sharing a portion of this yield with merchants creates a retention mechanism while generating reserve yield revenue.</w:t>
      </w:r>
    </w:p>
    <w:p>
      <w:pPr>
        <w:pStyle w:val="H3"/>
        <w:numPr>
          <w:ilvl w:val="2"/>
          <w:numId w:val="1"/>
        </w:numPr>
      </w:pPr>
      <w:r>
        <w:t>Build vs. Buy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35"/>
        <w:gridCol w:w="3175"/>
        <w:gridCol w:w="30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Custom Build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18-24 months</w:t>
            </w:r>
          </w:p>
        </w:tc>
        <w:tc>
          <w:tcPr>
            <w:tcW w:type="dxa" w:w="3249"/>
            <w:vAlign w:val="center"/>
          </w:tcPr>
          <w:p>
            <w:pPr>
              <w:spacing w:line="276" w:lineRule="auto" w:before="0" w:after="0"/>
            </w:pPr>
            <w:r/>
            <w:r>
              <w:rPr>
                <w:rFonts w:ascii="Figtree" w:hAnsi="Figtree"/>
                <w:b w:val="0"/>
                <w:i w:val="0"/>
                <w:sz w:val="20"/>
              </w:rPr>
              <w:t>14-18 weeks</w:t>
            </w:r>
          </w:p>
        </w:tc>
      </w:tr>
      <w:tr>
        <w:trPr>
          <w:trHeight w:val="425" w:hRule="atLeast"/>
        </w:trPr>
        <w:tc>
          <w:tcPr>
            <w:tcW w:type="dxa" w:w="3249"/>
            <w:vAlign w:val="center"/>
          </w:tcPr>
          <w:p>
            <w:pPr>
              <w:spacing w:line="276" w:lineRule="auto" w:before="0" w:after="0"/>
            </w:pPr>
            <w:r/>
            <w:r>
              <w:rPr>
                <w:rFonts w:ascii="Figtree" w:hAnsi="Figtree"/>
                <w:b w:val="0"/>
                <w:i w:val="0"/>
                <w:sz w:val="20"/>
              </w:rPr>
              <w:t>Initial development cost</w:t>
            </w:r>
          </w:p>
        </w:tc>
        <w:tc>
          <w:tcPr>
            <w:tcW w:type="dxa" w:w="3249"/>
            <w:vAlign w:val="center"/>
          </w:tcPr>
          <w:p>
            <w:pPr>
              <w:spacing w:line="276" w:lineRule="auto" w:before="0" w:after="0"/>
            </w:pPr>
            <w:r/>
            <w:r>
              <w:rPr>
                <w:rFonts w:ascii="Figtree" w:hAnsi="Figtree"/>
                <w:b w:val="0"/>
                <w:i w:val="0"/>
                <w:sz w:val="20"/>
              </w:rPr>
              <w:t>EUR 3-8 million</w:t>
            </w:r>
          </w:p>
        </w:tc>
        <w:tc>
          <w:tcPr>
            <w:tcW w:type="dxa" w:w="3249"/>
            <w:vAlign w:val="center"/>
          </w:tcPr>
          <w:p>
            <w:pPr>
              <w:spacing w:line="276" w:lineRule="auto" w:before="0" w:after="0"/>
            </w:pPr>
            <w:r/>
            <w:r>
              <w:rPr>
                <w:rFonts w:ascii="Figtree" w:hAnsi="Figtree"/>
                <w:b w:val="0"/>
                <w:i w:val="0"/>
                <w:sz w:val="20"/>
              </w:rPr>
              <w:t>EUR 390,000</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 cost</w:t>
            </w:r>
          </w:p>
        </w:tc>
        <w:tc>
          <w:tcPr>
            <w:tcW w:type="dxa" w:w="3249"/>
            <w:vAlign w:val="center"/>
          </w:tcPr>
          <w:p>
            <w:pPr>
              <w:spacing w:line="276" w:lineRule="auto" w:before="0" w:after="0"/>
            </w:pPr>
            <w:r/>
            <w:r>
              <w:rPr>
                <w:rFonts w:ascii="Figtree" w:hAnsi="Figtree"/>
                <w:b w:val="0"/>
                <w:i w:val="0"/>
                <w:sz w:val="20"/>
              </w:rPr>
              <w:t>EUR 1-2 million per year</w:t>
            </w:r>
          </w:p>
        </w:tc>
        <w:tc>
          <w:tcPr>
            <w:tcW w:type="dxa" w:w="3249"/>
            <w:vAlign w:val="center"/>
          </w:tcPr>
          <w:p>
            <w:pPr>
              <w:spacing w:line="276" w:lineRule="auto" w:before="0" w:after="0"/>
            </w:pPr>
            <w:r/>
            <w:r>
              <w:rPr>
                <w:rFonts w:ascii="Figtree" w:hAnsi="Figtree"/>
                <w:b w:val="0"/>
                <w:i w:val="0"/>
                <w:sz w:val="20"/>
              </w:rPr>
              <w:t>EUR 280,000 per year</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updates</w:t>
            </w:r>
          </w:p>
        </w:tc>
        <w:tc>
          <w:tcPr>
            <w:tcW w:type="dxa" w:w="3249"/>
            <w:vAlign w:val="center"/>
          </w:tcPr>
          <w:p>
            <w:pPr>
              <w:spacing w:line="276" w:lineRule="auto" w:before="0" w:after="0"/>
            </w:pPr>
            <w:r/>
            <w:r>
              <w:rPr>
                <w:rFonts w:ascii="Figtree" w:hAnsi="Figtree"/>
                <w:b w:val="0"/>
                <w:i w:val="0"/>
                <w:sz w:val="20"/>
              </w:rPr>
              <w:t>Custom per regulatory change</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Security certifications</w:t>
            </w:r>
          </w:p>
        </w:tc>
        <w:tc>
          <w:tcPr>
            <w:tcW w:type="dxa" w:w="3249"/>
            <w:vAlign w:val="center"/>
          </w:tcPr>
          <w:p>
            <w:pPr>
              <w:spacing w:line="276" w:lineRule="auto" w:before="0" w:after="0"/>
            </w:pPr>
            <w:r/>
            <w:r>
              <w:rPr>
                <w:rFonts w:ascii="Figtree" w:hAnsi="Figtree"/>
                <w:b w:val="0"/>
                <w:i w:val="0"/>
                <w:sz w:val="20"/>
              </w:rPr>
              <w:t>Client responsibility</w:t>
            </w:r>
          </w:p>
        </w:tc>
        <w:tc>
          <w:tcPr>
            <w:tcW w:type="dxa" w:w="3249"/>
            <w:vAlign w:val="center"/>
          </w:tcPr>
          <w:p>
            <w:pPr>
              <w:spacing w:line="276" w:lineRule="auto" w:before="0" w:after="0"/>
            </w:pPr>
            <w:r/>
            <w:r>
              <w:rPr>
                <w:rFonts w:ascii="Figtree" w:hAnsi="Figtree"/>
                <w:b w:val="0"/>
                <w:i w:val="0"/>
                <w:sz w:val="20"/>
              </w:rPr>
              <w:t>Included (ISO 27001, SOC 2)</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Custom development</w:t>
            </w:r>
          </w:p>
        </w:tc>
        <w:tc>
          <w:tcPr>
            <w:tcW w:type="dxa" w:w="3249"/>
            <w:vAlign w:val="center"/>
          </w:tcPr>
          <w:p>
            <w:pPr>
              <w:spacing w:line="276" w:lineRule="auto" w:before="0" w:after="0"/>
            </w:pPr>
            <w:r/>
            <w:r>
              <w:rPr>
                <w:rFonts w:ascii="Figtree" w:hAnsi="Figtree"/>
                <w:b w:val="0"/>
                <w:i w:val="0"/>
                <w:sz w:val="20"/>
              </w:rPr>
              <w:t>Included (Fireblocks, DFNS)</w:t>
            </w:r>
          </w:p>
        </w:tc>
      </w:tr>
    </w:tbl>
    <w:p>
      <w:pPr>
        <w:spacing w:before="0" w:after="0" w:line="120" w:lineRule="exact"/>
      </w:pPr>
    </w:p>
    <w:p>
      <w:r>
        <w:br w:type="page"/>
      </w:r>
    </w:p>
    <w:p>
      <w:pPr>
        <w:pStyle w:val="H2"/>
        <w:numPr>
          <w:ilvl w:val="1"/>
          <w:numId w:val="1"/>
        </w:numPr>
      </w:pPr>
      <w:r>
        <w:t>Licensing Model</w:t>
      </w:r>
    </w:p>
    <w:p>
      <w:pPr>
        <w:pStyle w:val="H3"/>
        <w:numPr>
          <w:ilvl w:val="2"/>
          <w:numId w:val="1"/>
        </w:numPr>
      </w:pPr>
      <w:r>
        <w:t>Philosophy</w:t>
      </w:r>
    </w:p>
    <w:p>
      <w:r>
        <w:rPr>
          <w:rFonts w:ascii="Figtree" w:hAnsi="Figtree"/>
          <w:b w:val="0"/>
          <w:i w:val="0"/>
          <w:sz w:val="22"/>
        </w:rPr>
        <w:t>SettleMint licenses DALP as a platform. The license fee covers access to the full platform capability set, ongoing development, platform releases, compliance module updates, and the operational tooling Checkout.com's teams need to run the service. No hidden dependency on SettleMint professional services for routine platform operations.</w:t>
      </w:r>
    </w:p>
    <w:p>
      <w:r>
        <w:rPr>
          <w:rFonts w:ascii="Figtree" w:hAnsi="Figtree"/>
          <w:b w:val="0"/>
          <w:i w:val="0"/>
          <w:sz w:val="22"/>
        </w:rPr>
        <w:t>The licensing model is structured to be predictable as Checkout.com's programme scales. Currency expansion (adding GBP and USD stablecoins), merchant segment expansion, and volume growth within the licensed tier do not trigger incremental license fees.</w:t>
      </w:r>
    </w:p>
    <w:p>
      <w:pPr>
        <w:pStyle w:val="H3"/>
        <w:numPr>
          <w:ilvl w:val="2"/>
          <w:numId w:val="1"/>
        </w:numPr>
      </w:pPr>
      <w:r>
        <w:t>What Is Included in the Platform License</w:t>
      </w:r>
    </w:p>
    <w:p>
      <w:r>
        <w:rPr>
          <w:rFonts w:ascii="Figtree" w:hAnsi="Figtree"/>
          <w:b w:val="0"/>
          <w:i w:val="0"/>
          <w:sz w:val="22"/>
        </w:rPr>
        <w:t>All tiers include the complete DALP platform: Asset Console, DAPI, Execution Engine, Key Guardian, Chain Indexer, Chain Gateway, Feeds System, and observability stack. All seven asset class templates plus the configurable token. All 18 compliance module types. XvP settlement contracts. OnchainID identity system. REST API (OpenAPI 3.1), TypeScript SDK, CLI, and event webhooks. Multi-chain EVM support. Helm-based deployment tooling. Release updates per contracted cadence. Standard compliance module updates when regulatory requirements change.</w:t>
      </w:r>
    </w:p>
    <w:p>
      <w:pPr>
        <w:pStyle w:val="H3"/>
        <w:numPr>
          <w:ilvl w:val="2"/>
          <w:numId w:val="1"/>
        </w:numPr>
      </w:pPr>
      <w:r>
        <w:t>Platform Tiers and Annual License Fees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64"/>
        <w:gridCol w:w="2189"/>
        <w:gridCol w:w="531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 Use Case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EUR 80,000</w:t>
            </w:r>
          </w:p>
        </w:tc>
        <w:tc>
          <w:tcPr>
            <w:tcW w:type="dxa" w:w="3249"/>
            <w:vAlign w:val="center"/>
          </w:tcPr>
          <w:p>
            <w:pPr>
              <w:spacing w:line="276" w:lineRule="auto" w:before="0" w:after="0"/>
            </w:pPr>
            <w:r/>
            <w:r>
              <w:rPr>
                <w:rFonts w:ascii="Figtree" w:hAnsi="Figtree"/>
                <w:b w:val="0"/>
                <w:i w:val="0"/>
                <w:sz w:val="20"/>
              </w:rPr>
              <w:t>Development, staging, non-critical</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EUR 280,000</w:t>
            </w:r>
          </w:p>
        </w:tc>
        <w:tc>
          <w:tcPr>
            <w:tcW w:type="dxa" w:w="3249"/>
            <w:vAlign w:val="center"/>
          </w:tcPr>
          <w:p>
            <w:pPr>
              <w:spacing w:line="276" w:lineRule="auto" w:before="0" w:after="0"/>
            </w:pPr>
            <w:r/>
            <w:r>
              <w:rPr>
                <w:rFonts w:ascii="Figtree" w:hAnsi="Figtree"/>
                <w:b w:val="0"/>
                <w:i w:val="0"/>
                <w:sz w:val="20"/>
              </w:rPr>
              <w:t>Production payment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Sovereign</w:t>
            </w:r>
          </w:p>
        </w:tc>
        <w:tc>
          <w:tcPr>
            <w:tcW w:type="dxa" w:w="3249"/>
            <w:vAlign w:val="center"/>
          </w:tcPr>
          <w:p>
            <w:pPr>
              <w:spacing w:line="276" w:lineRule="auto" w:before="0" w:after="0"/>
            </w:pPr>
            <w:r/>
            <w:r>
              <w:rPr>
                <w:rFonts w:ascii="Figtree" w:hAnsi="Figtree"/>
                <w:b w:val="0"/>
                <w:i w:val="0"/>
                <w:sz w:val="20"/>
              </w:rPr>
              <w:t>EUR 480,000</w:t>
            </w:r>
          </w:p>
        </w:tc>
        <w:tc>
          <w:tcPr>
            <w:tcW w:type="dxa" w:w="3249"/>
            <w:vAlign w:val="center"/>
          </w:tcPr>
          <w:p>
            <w:pPr>
              <w:spacing w:line="276" w:lineRule="auto" w:before="0" w:after="0"/>
            </w:pPr>
            <w:r/>
            <w:r>
              <w:rPr>
                <w:rFonts w:ascii="Figtree" w:hAnsi="Figtree"/>
                <w:b w:val="0"/>
                <w:i w:val="0"/>
                <w:sz w:val="20"/>
              </w:rPr>
              <w:t>Maximum-security, sovereign-scale</w:t>
            </w:r>
          </w:p>
        </w:tc>
      </w:tr>
    </w:tbl>
    <w:p>
      <w:pPr>
        <w:spacing w:before="0" w:after="0" w:line="120" w:lineRule="exact"/>
      </w:pPr>
    </w:p>
    <w:p>
      <w:r>
        <w:rPr>
          <w:rFonts w:ascii="Figtree" w:hAnsi="Figtree"/>
          <w:b w:val="0"/>
          <w:i w:val="0"/>
          <w:sz w:val="22"/>
        </w:rPr>
        <w:t>Enterprise tier is appropriate for Checkout.com's production digital asset payment processing. The license includes production-grade deployment, HSM key management, Fireblocks and DFNS custody integration, ISO 20022 connectivity, and Enterprise support eligibility.</w:t>
      </w:r>
    </w:p>
    <w:p>
      <w:r>
        <w:rPr>
          <w:rFonts w:ascii="Figtree" w:hAnsi="Figtree"/>
          <w:b w:val="0"/>
          <w:i w:val="0"/>
          <w:sz w:val="22"/>
        </w:rPr>
        <w:t>Multi-environment license:</w:t>
      </w:r>
    </w:p>
    <w:p>
      <w:pPr>
        <w:pStyle w:val="ListParagraph"/>
        <w:numPr>
          <w:ilvl w:val="0"/>
          <w:numId w:val="4"/>
        </w:numPr>
      </w:pPr>
      <w:r>
        <w:rPr>
          <w:rFonts w:ascii="Figtree" w:hAnsi="Figtree"/>
          <w:b w:val="0"/>
          <w:i w:val="0"/>
          <w:sz w:val="22"/>
        </w:rPr>
        <w:t>Production: Enterprise EUR 280,000</w:t>
      </w:r>
    </w:p>
    <w:p>
      <w:pPr>
        <w:pStyle w:val="ListParagraph"/>
        <w:numPr>
          <w:ilvl w:val="0"/>
          <w:numId w:val="4"/>
        </w:numPr>
      </w:pPr>
      <w:r>
        <w:rPr>
          <w:rFonts w:ascii="Figtree" w:hAnsi="Figtree"/>
          <w:b w:val="0"/>
          <w:i w:val="0"/>
          <w:sz w:val="22"/>
        </w:rPr>
        <w:t>Staging: Foundation EUR 40,000 (50% discount)</w:t>
      </w:r>
    </w:p>
    <w:p>
      <w:pPr>
        <w:pStyle w:val="ListParagraph"/>
        <w:numPr>
          <w:ilvl w:val="0"/>
          <w:numId w:val="4"/>
        </w:numPr>
      </w:pPr>
      <w:r>
        <w:rPr>
          <w:rFonts w:ascii="Figtree" w:hAnsi="Figtree"/>
          <w:b w:val="0"/>
          <w:i w:val="0"/>
          <w:sz w:val="22"/>
        </w:rPr>
        <w:t>Development: Foundation EUR 20,000 (75% discount)</w:t>
      </w:r>
    </w:p>
    <w:p>
      <w:pPr>
        <w:pStyle w:val="ListParagraph"/>
        <w:numPr>
          <w:ilvl w:val="0"/>
          <w:numId w:val="4"/>
        </w:numPr>
      </w:pPr>
      <w:r>
        <w:rPr>
          <w:rFonts w:ascii="Figtree" w:hAnsi="Figtree"/>
          <w:b/>
          <w:i w:val="0"/>
          <w:sz w:val="22"/>
        </w:rPr>
        <w:t>Total multi-environment: EUR 340,000 per year</w:t>
      </w:r>
    </w:p>
    <w:p>
      <w:r>
        <w:br w:type="page"/>
      </w:r>
    </w:p>
    <w:p>
      <w:pPr>
        <w:pStyle w:val="H2"/>
        <w:numPr>
          <w:ilvl w:val="1"/>
          <w:numId w:val="1"/>
        </w:numPr>
      </w:pPr>
      <w:r>
        <w:t>Deployment Options and Pricing</w:t>
      </w:r>
    </w:p>
    <w:p>
      <w:pPr>
        <w:pStyle w:val="H3"/>
        <w:numPr>
          <w:ilvl w:val="2"/>
          <w:numId w:val="1"/>
        </w:numPr>
      </w:pPr>
      <w:r>
        <w:t>Recommended: Hybrid (Managed SaaS Dev/Staging + Private Cloud Production)</w:t>
      </w:r>
    </w:p>
    <w:p>
      <w:r>
        <w:rPr>
          <w:rFonts w:ascii="Figtree" w:hAnsi="Figtree"/>
          <w:b/>
          <w:i w:val="0"/>
          <w:sz w:val="22"/>
        </w:rPr>
        <w:t>Private Cloud Production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75"/>
        <w:gridCol w:w="2298"/>
        <w:gridCol w:w="22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Estimate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EKS cluster (3x m5.2xlarge, multi-AZ)</w:t>
            </w:r>
          </w:p>
        </w:tc>
        <w:tc>
          <w:tcPr>
            <w:tcW w:type="dxa" w:w="3249"/>
            <w:vAlign w:val="center"/>
          </w:tcPr>
          <w:p>
            <w:pPr>
              <w:spacing w:line="276" w:lineRule="auto" w:before="0" w:after="0"/>
            </w:pPr>
            <w:r/>
            <w:r>
              <w:rPr>
                <w:rFonts w:ascii="Figtree" w:hAnsi="Figtree"/>
                <w:b w:val="0"/>
                <w:i w:val="0"/>
                <w:sz w:val="20"/>
              </w:rPr>
              <w:t>EUR 1,200</w:t>
            </w:r>
          </w:p>
        </w:tc>
        <w:tc>
          <w:tcPr>
            <w:tcW w:type="dxa" w:w="3249"/>
            <w:vAlign w:val="center"/>
          </w:tcPr>
          <w:p>
            <w:pPr>
              <w:spacing w:line="276" w:lineRule="auto" w:before="0" w:after="0"/>
            </w:pPr>
            <w:r/>
            <w:r>
              <w:rPr>
                <w:rFonts w:ascii="Figtree" w:hAnsi="Figtree"/>
                <w:b w:val="0"/>
                <w:i w:val="0"/>
                <w:sz w:val="20"/>
              </w:rPr>
              <w:t>EUR 14,400</w:t>
            </w:r>
          </w:p>
        </w:tc>
      </w:tr>
      <w:tr>
        <w:trPr>
          <w:trHeight w:val="425" w:hRule="atLeast"/>
        </w:trPr>
        <w:tc>
          <w:tcPr>
            <w:tcW w:type="dxa" w:w="3249"/>
            <w:vAlign w:val="center"/>
          </w:tcPr>
          <w:p>
            <w:pPr>
              <w:spacing w:line="276" w:lineRule="auto" w:before="0" w:after="0"/>
            </w:pPr>
            <w:r/>
            <w:r>
              <w:rPr>
                <w:rFonts w:ascii="Figtree" w:hAnsi="Figtree"/>
                <w:b w:val="0"/>
                <w:i w:val="0"/>
                <w:sz w:val="20"/>
              </w:rPr>
              <w:t>RDS PostgreSQL Multi-AZ</w:t>
            </w:r>
          </w:p>
        </w:tc>
        <w:tc>
          <w:tcPr>
            <w:tcW w:type="dxa" w:w="3249"/>
            <w:vAlign w:val="center"/>
          </w:tcPr>
          <w:p>
            <w:pPr>
              <w:spacing w:line="276" w:lineRule="auto" w:before="0" w:after="0"/>
            </w:pPr>
            <w:r/>
            <w:r>
              <w:rPr>
                <w:rFonts w:ascii="Figtree" w:hAnsi="Figtree"/>
                <w:b w:val="0"/>
                <w:i w:val="0"/>
                <w:sz w:val="20"/>
              </w:rPr>
              <w:t>EUR 800</w:t>
            </w:r>
          </w:p>
        </w:tc>
        <w:tc>
          <w:tcPr>
            <w:tcW w:type="dxa" w:w="3249"/>
            <w:vAlign w:val="center"/>
          </w:tcPr>
          <w:p>
            <w:pPr>
              <w:spacing w:line="276" w:lineRule="auto" w:before="0" w:after="0"/>
            </w:pPr>
            <w:r/>
            <w:r>
              <w:rPr>
                <w:rFonts w:ascii="Figtree" w:hAnsi="Figtree"/>
                <w:b w:val="0"/>
                <w:i w:val="0"/>
                <w:sz w:val="20"/>
              </w:rPr>
              <w:t>EUR 9,600</w:t>
            </w:r>
          </w:p>
        </w:tc>
      </w:tr>
      <w:tr>
        <w:trPr>
          <w:trHeight w:val="425" w:hRule="atLeast"/>
        </w:trPr>
        <w:tc>
          <w:tcPr>
            <w:tcW w:type="dxa" w:w="3249"/>
            <w:vAlign w:val="center"/>
          </w:tcPr>
          <w:p>
            <w:pPr>
              <w:spacing w:line="276" w:lineRule="auto" w:before="0" w:after="0"/>
            </w:pPr>
            <w:r/>
            <w:r>
              <w:rPr>
                <w:rFonts w:ascii="Figtree" w:hAnsi="Figtree"/>
                <w:b w:val="0"/>
                <w:i w:val="0"/>
                <w:sz w:val="20"/>
              </w:rPr>
              <w:t>S3 object storage (5TB)</w:t>
            </w:r>
          </w:p>
        </w:tc>
        <w:tc>
          <w:tcPr>
            <w:tcW w:type="dxa" w:w="3249"/>
            <w:vAlign w:val="center"/>
          </w:tcPr>
          <w:p>
            <w:pPr>
              <w:spacing w:line="276" w:lineRule="auto" w:before="0" w:after="0"/>
            </w:pPr>
            <w:r/>
            <w:r>
              <w:rPr>
                <w:rFonts w:ascii="Figtree" w:hAnsi="Figtree"/>
                <w:b w:val="0"/>
                <w:i w:val="0"/>
                <w:sz w:val="20"/>
              </w:rPr>
              <w:t>EUR 120</w:t>
            </w:r>
          </w:p>
        </w:tc>
        <w:tc>
          <w:tcPr>
            <w:tcW w:type="dxa" w:w="3249"/>
            <w:vAlign w:val="center"/>
          </w:tcPr>
          <w:p>
            <w:pPr>
              <w:spacing w:line="276" w:lineRule="auto" w:before="0" w:after="0"/>
            </w:pPr>
            <w:r/>
            <w:r>
              <w:rPr>
                <w:rFonts w:ascii="Figtree" w:hAnsi="Figtree"/>
                <w:b w:val="0"/>
                <w:i w:val="0"/>
                <w:sz w:val="20"/>
              </w:rPr>
              <w:t>EUR 1,440</w:t>
            </w:r>
          </w:p>
        </w:tc>
      </w:tr>
      <w:tr>
        <w:trPr>
          <w:trHeight w:val="425" w:hRule="atLeast"/>
        </w:trPr>
        <w:tc>
          <w:tcPr>
            <w:tcW w:type="dxa" w:w="3249"/>
            <w:vAlign w:val="center"/>
          </w:tcPr>
          <w:p>
            <w:pPr>
              <w:spacing w:line="276" w:lineRule="auto" w:before="0" w:after="0"/>
            </w:pPr>
            <w:r/>
            <w:r>
              <w:rPr>
                <w:rFonts w:ascii="Figtree" w:hAnsi="Figtree"/>
                <w:b w:val="0"/>
                <w:i w:val="0"/>
                <w:sz w:val="20"/>
              </w:rPr>
              <w:t>Secrets Manager / KMS</w:t>
            </w:r>
          </w:p>
        </w:tc>
        <w:tc>
          <w:tcPr>
            <w:tcW w:type="dxa" w:w="3249"/>
            <w:vAlign w:val="center"/>
          </w:tcPr>
          <w:p>
            <w:pPr>
              <w:spacing w:line="276" w:lineRule="auto" w:before="0" w:after="0"/>
            </w:pPr>
            <w:r/>
            <w:r>
              <w:rPr>
                <w:rFonts w:ascii="Figtree" w:hAnsi="Figtree"/>
                <w:b w:val="0"/>
                <w:i w:val="0"/>
                <w:sz w:val="20"/>
              </w:rPr>
              <w:t>EUR 200</w:t>
            </w:r>
          </w:p>
        </w:tc>
        <w:tc>
          <w:tcPr>
            <w:tcW w:type="dxa" w:w="3249"/>
            <w:vAlign w:val="center"/>
          </w:tcPr>
          <w:p>
            <w:pPr>
              <w:spacing w:line="276" w:lineRule="auto" w:before="0" w:after="0"/>
            </w:pPr>
            <w:r/>
            <w:r>
              <w:rPr>
                <w:rFonts w:ascii="Figtree" w:hAnsi="Figtree"/>
                <w:b w:val="0"/>
                <w:i w:val="0"/>
                <w:sz w:val="20"/>
              </w:rPr>
              <w:t>EUR 2,400</w:t>
            </w:r>
          </w:p>
        </w:tc>
      </w:tr>
      <w:tr>
        <w:trPr>
          <w:trHeight w:val="425" w:hRule="atLeast"/>
        </w:trPr>
        <w:tc>
          <w:tcPr>
            <w:tcW w:type="dxa" w:w="3249"/>
            <w:vAlign w:val="center"/>
          </w:tcPr>
          <w:p>
            <w:pPr>
              <w:spacing w:line="276" w:lineRule="auto" w:before="0" w:after="0"/>
            </w:pPr>
            <w:r/>
            <w:r>
              <w:rPr>
                <w:rFonts w:ascii="Figtree" w:hAnsi="Figtree"/>
                <w:b w:val="0"/>
                <w:i w:val="0"/>
                <w:sz w:val="20"/>
              </w:rPr>
              <w:t>Network and data transfer</w:t>
            </w:r>
          </w:p>
        </w:tc>
        <w:tc>
          <w:tcPr>
            <w:tcW w:type="dxa" w:w="3249"/>
            <w:vAlign w:val="center"/>
          </w:tcPr>
          <w:p>
            <w:pPr>
              <w:spacing w:line="276" w:lineRule="auto" w:before="0" w:after="0"/>
            </w:pPr>
            <w:r/>
            <w:r>
              <w:rPr>
                <w:rFonts w:ascii="Figtree" w:hAnsi="Figtree"/>
                <w:b w:val="0"/>
                <w:i w:val="0"/>
                <w:sz w:val="20"/>
              </w:rPr>
              <w:t>EUR 300</w:t>
            </w:r>
          </w:p>
        </w:tc>
        <w:tc>
          <w:tcPr>
            <w:tcW w:type="dxa" w:w="3249"/>
            <w:vAlign w:val="center"/>
          </w:tcPr>
          <w:p>
            <w:pPr>
              <w:spacing w:line="276" w:lineRule="auto" w:before="0" w:after="0"/>
            </w:pPr>
            <w:r/>
            <w:r>
              <w:rPr>
                <w:rFonts w:ascii="Figtree" w:hAnsi="Figtree"/>
                <w:b w:val="0"/>
                <w:i w:val="0"/>
                <w:sz w:val="20"/>
              </w:rPr>
              <w:t>EUR 3,600</w:t>
            </w:r>
          </w:p>
        </w:tc>
      </w:tr>
      <w:tr>
        <w:trPr>
          <w:trHeight w:val="425" w:hRule="atLeast"/>
        </w:trPr>
        <w:tc>
          <w:tcPr>
            <w:tcW w:type="dxa" w:w="3249"/>
            <w:vAlign w:val="center"/>
          </w:tcPr>
          <w:p>
            <w:pPr>
              <w:spacing w:line="276" w:lineRule="auto" w:before="0" w:after="0"/>
            </w:pPr>
            <w:r/>
            <w:r>
              <w:rPr>
                <w:rFonts w:ascii="Figtree" w:hAnsi="Figtree"/>
                <w:b w:val="0"/>
                <w:i w:val="0"/>
                <w:sz w:val="20"/>
              </w:rPr>
              <w:t>Besu validator nodes (2x t3.xlarge)</w:t>
            </w:r>
          </w:p>
        </w:tc>
        <w:tc>
          <w:tcPr>
            <w:tcW w:type="dxa" w:w="3249"/>
            <w:vAlign w:val="center"/>
          </w:tcPr>
          <w:p>
            <w:pPr>
              <w:spacing w:line="276" w:lineRule="auto" w:before="0" w:after="0"/>
            </w:pPr>
            <w:r/>
            <w:r>
              <w:rPr>
                <w:rFonts w:ascii="Figtree" w:hAnsi="Figtree"/>
                <w:b w:val="0"/>
                <w:i w:val="0"/>
                <w:sz w:val="20"/>
              </w:rPr>
              <w:t>EUR 400</w:t>
            </w:r>
          </w:p>
        </w:tc>
        <w:tc>
          <w:tcPr>
            <w:tcW w:type="dxa" w:w="3249"/>
            <w:vAlign w:val="center"/>
          </w:tcPr>
          <w:p>
            <w:pPr>
              <w:spacing w:line="276" w:lineRule="auto" w:before="0" w:after="0"/>
            </w:pPr>
            <w:r/>
            <w:r>
              <w:rPr>
                <w:rFonts w:ascii="Figtree" w:hAnsi="Figtree"/>
                <w:b w:val="0"/>
                <w:i w:val="0"/>
                <w:sz w:val="20"/>
              </w:rPr>
              <w:t>EUR 4,800</w:t>
            </w:r>
          </w:p>
        </w:tc>
      </w:tr>
      <w:tr>
        <w:trPr>
          <w:trHeight w:val="425" w:hRule="atLeast"/>
        </w:trPr>
        <w:tc>
          <w:tcPr>
            <w:tcW w:type="dxa" w:w="3249"/>
            <w:vAlign w:val="center"/>
          </w:tcPr>
          <w:p>
            <w:pPr>
              <w:spacing w:line="276" w:lineRule="auto" w:before="0" w:after="0"/>
            </w:pPr>
            <w:r/>
            <w:r>
              <w:rPr>
                <w:rFonts w:ascii="Figtree" w:hAnsi="Figtree"/>
                <w:b/>
                <w:i w:val="0"/>
                <w:sz w:val="20"/>
              </w:rPr>
              <w:t>Total infrastructure</w:t>
            </w:r>
          </w:p>
        </w:tc>
        <w:tc>
          <w:tcPr>
            <w:tcW w:type="dxa" w:w="3249"/>
            <w:vAlign w:val="center"/>
          </w:tcPr>
          <w:p>
            <w:pPr>
              <w:spacing w:line="276" w:lineRule="auto" w:before="0" w:after="0"/>
            </w:pPr>
            <w:r/>
            <w:r>
              <w:rPr>
                <w:rFonts w:ascii="Figtree" w:hAnsi="Figtree"/>
                <w:b/>
                <w:i w:val="0"/>
                <w:sz w:val="20"/>
              </w:rPr>
              <w:t>EUR 3,020/month</w:t>
            </w:r>
          </w:p>
        </w:tc>
        <w:tc>
          <w:tcPr>
            <w:tcW w:type="dxa" w:w="3249"/>
            <w:vAlign w:val="center"/>
          </w:tcPr>
          <w:p>
            <w:pPr>
              <w:spacing w:line="276" w:lineRule="auto" w:before="0" w:after="0"/>
            </w:pPr>
            <w:r/>
            <w:r>
              <w:rPr>
                <w:rFonts w:ascii="Figtree" w:hAnsi="Figtree"/>
                <w:b/>
                <w:i w:val="0"/>
                <w:sz w:val="20"/>
              </w:rPr>
              <w:t>EUR 36,240/year</w:t>
            </w:r>
          </w:p>
        </w:tc>
      </w:tr>
    </w:tbl>
    <w:p>
      <w:pPr>
        <w:spacing w:before="0" w:after="0" w:line="120" w:lineRule="exact"/>
      </w:pPr>
    </w:p>
    <w:p>
      <w:r>
        <w:rPr>
          <w:rFonts w:ascii="Figtree" w:hAnsi="Figtree"/>
          <w:b w:val="0"/>
          <w:i w:val="0"/>
          <w:sz w:val="22"/>
        </w:rPr>
        <w:t>Managed SaaS development and staging: EUR 40,000 per year included in Foundation tier license.</w:t>
      </w:r>
    </w:p>
    <w:p>
      <w:r>
        <w:rPr>
          <w:rFonts w:ascii="Figtree" w:hAnsi="Figtree"/>
          <w:b/>
          <w:i w:val="0"/>
          <w:sz w:val="22"/>
        </w:rPr>
        <w:t>Third-party costs:</w:t>
      </w:r>
    </w:p>
    <w:p>
      <w:r>
        <w:rPr>
          <w:rFonts w:ascii="Figtree" w:hAnsi="Figtree"/>
          <w:b w:val="0"/>
          <w:i w:val="0"/>
          <w:sz w:val="22"/>
        </w:rPr>
        <w:t>Fireblocks or DFNS institutional MPC custody: EUR 30,000 to EUR 80,000 per year (third-party pass-through, charged directly by custody provider).</w:t>
      </w:r>
    </w:p>
    <w:p>
      <w:r>
        <w:rPr>
          <w:rFonts w:ascii="Figtree" w:hAnsi="Figtree"/>
          <w:b w:val="0"/>
          <w:i w:val="0"/>
          <w:sz w:val="22"/>
        </w:rPr>
        <w:t>Blockchain RPC endpoints (secondary): EUR 5,000 to EUR 15,000 per year.</w:t>
      </w:r>
    </w:p>
    <w:p>
      <w:r>
        <w:br w:type="page"/>
      </w:r>
    </w:p>
    <w:p>
      <w:pPr>
        <w:pStyle w:val="H2"/>
        <w:numPr>
          <w:ilvl w:val="1"/>
          <w:numId w:val="1"/>
        </w:numPr>
      </w:pPr>
      <w:r>
        <w:t>Support and SLA Framework</w:t>
      </w:r>
    </w:p>
    <w:p>
      <w:pPr>
        <w:pStyle w:val="H3"/>
        <w:numPr>
          <w:ilvl w:val="2"/>
          <w:numId w:val="1"/>
        </w:numPr>
      </w:pPr>
      <w:r>
        <w:t>Recommended: 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82"/>
        <w:gridCol w:w="34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Team</w:t>
            </w:r>
          </w:p>
        </w:tc>
        <w:tc>
          <w:tcPr>
            <w:tcW w:type="dxa" w:w="4873"/>
            <w:vAlign w:val="center"/>
          </w:tcPr>
          <w:p>
            <w:pPr>
              <w:spacing w:line="276" w:lineRule="auto" w:before="0" w:after="0"/>
            </w:pPr>
            <w:r/>
            <w:r>
              <w:rPr>
                <w:rFonts w:ascii="Figtree" w:hAnsi="Figtree"/>
                <w:b w:val="0"/>
                <w:i w:val="0"/>
                <w:sz w:val="20"/>
              </w:rPr>
              <w:t>Named team</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Quarterly Architecture Reviews</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pPr>
        <w:pStyle w:val="H3"/>
        <w:numPr>
          <w:ilvl w:val="2"/>
          <w:numId w:val="1"/>
        </w:numPr>
      </w:pPr>
      <w:r>
        <w:t>Support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7"/>
        <w:gridCol w:w="2152"/>
        <w:gridCol w:w="2460"/>
        <w:gridCol w:w="169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Annual fee</w:t>
            </w:r>
          </w:p>
        </w:tc>
        <w:tc>
          <w:tcPr>
            <w:tcW w:type="dxa" w:w="2436"/>
            <w:vAlign w:val="center"/>
          </w:tcPr>
          <w:p>
            <w:pPr>
              <w:spacing w:line="276" w:lineRule="auto" w:before="0" w:after="0"/>
            </w:pPr>
            <w:r/>
            <w:r>
              <w:rPr>
                <w:rFonts w:ascii="Figtree" w:hAnsi="Figtree"/>
                <w:b w:val="0"/>
                <w:i w:val="0"/>
                <w:sz w:val="20"/>
              </w:rPr>
              <w:t>EUR 40,000</w:t>
            </w:r>
          </w:p>
        </w:tc>
        <w:tc>
          <w:tcPr>
            <w:tcW w:type="dxa" w:w="2436"/>
            <w:vAlign w:val="center"/>
          </w:tcPr>
          <w:p>
            <w:pPr>
              <w:spacing w:line="276" w:lineRule="auto" w:before="0" w:after="0"/>
            </w:pPr>
            <w:r/>
            <w:r>
              <w:rPr>
                <w:rFonts w:ascii="Figtree" w:hAnsi="Figtree"/>
                <w:b w:val="0"/>
                <w:i w:val="0"/>
                <w:sz w:val="20"/>
              </w:rPr>
              <w:t>EUR 72,000</w:t>
            </w:r>
          </w:p>
        </w:tc>
        <w:tc>
          <w:tcPr>
            <w:tcW w:type="dxa" w:w="2436"/>
            <w:vAlign w:val="center"/>
          </w:tcPr>
          <w:p>
            <w:pPr>
              <w:spacing w:line="276" w:lineRule="auto" w:before="0" w:after="0"/>
            </w:pPr>
            <w:r/>
            <w:r>
              <w:rPr>
                <w:rFonts w:ascii="Figtree" w:hAnsi="Figtree"/>
                <w:b w:val="0"/>
                <w:i w:val="0"/>
                <w:sz w:val="20"/>
              </w:rPr>
              <w:t>EUR 120,000</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Extended hours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Dedicated engineer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Named individual</w:t>
            </w:r>
          </w:p>
        </w:tc>
        <w:tc>
          <w:tcPr>
            <w:tcW w:type="dxa" w:w="2436"/>
            <w:vAlign w:val="center"/>
          </w:tcPr>
          <w:p>
            <w:pPr>
              <w:spacing w:line="276" w:lineRule="auto" w:before="0" w:after="0"/>
            </w:pPr>
            <w:r/>
            <w:r>
              <w:rPr>
                <w:rFonts w:ascii="Figtree" w:hAnsi="Figtree"/>
                <w:b w:val="0"/>
                <w:i w:val="0"/>
                <w:sz w:val="20"/>
              </w:rPr>
              <w:t>Named team</w:t>
            </w:r>
          </w:p>
        </w:tc>
      </w:tr>
    </w:tbl>
    <w:p>
      <w:pPr>
        <w:spacing w:before="0" w:after="0" w:line="120" w:lineRule="exact"/>
      </w:pPr>
    </w:p>
    <w:p>
      <w:r>
        <w:rPr>
          <w:rFonts w:ascii="Figtree" w:hAnsi="Figtree"/>
          <w:b w:val="0"/>
          <w:i w:val="0"/>
          <w:sz w:val="22"/>
        </w:rPr>
        <w:t>For Checkout.com's payment infrastructure, Standard or Premium support is not recommended. A 4-hour P1 response window is incompatible with the operational requirements of merchant-facing settlement infrastructure.</w:t>
      </w:r>
    </w:p>
    <w:p>
      <w:pPr>
        <w:pStyle w:val="H3"/>
        <w:numPr>
          <w:ilvl w:val="2"/>
          <w:numId w:val="1"/>
        </w:numPr>
      </w:pPr>
      <w:r>
        <w:t>Service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18"/>
        <w:gridCol w:w="44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Monthly Uptime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Below 99.99% but above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above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r>
        <w:br w:type="page"/>
      </w:r>
    </w:p>
    <w:p>
      <w:pPr>
        <w:pStyle w:val="H2"/>
        <w:numPr>
          <w:ilvl w:val="1"/>
          <w:numId w:val="1"/>
        </w:numPr>
      </w:pPr>
      <w:r>
        <w:t>Implementation Investment</w:t>
      </w:r>
    </w:p>
    <w:p>
      <w:pPr>
        <w:pStyle w:val="H3"/>
        <w:numPr>
          <w:ilvl w:val="2"/>
          <w:numId w:val="1"/>
        </w:numPr>
      </w:pPr>
      <w:r>
        <w:t>Phase-by-Phase Implementation Fees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56"/>
        <w:gridCol w:w="5604"/>
        <w:gridCol w:w="849"/>
        <w:gridCol w:w="106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Stakeholder interviews, regulatory mapping, architecture design</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40,000</w:t>
            </w:r>
          </w:p>
        </w:tc>
      </w:tr>
      <w:tr>
        <w:trPr>
          <w:trHeight w:val="425" w:hRule="atLeast"/>
        </w:trPr>
        <w:tc>
          <w:tcPr>
            <w:tcW w:type="dxa" w:w="2436"/>
            <w:vAlign w:val="center"/>
          </w:tcPr>
          <w:p>
            <w:pPr>
              <w:spacing w:line="276" w:lineRule="auto" w:before="0" w:after="0"/>
            </w:pPr>
            <w:r/>
            <w:r>
              <w:rPr>
                <w:rFonts w:ascii="Figtree" w:hAnsi="Figtree"/>
                <w:b w:val="0"/>
                <w:i w:val="0"/>
                <w:sz w:val="20"/>
              </w:rPr>
              <w:t>Phase 2: Configuration</w:t>
            </w:r>
          </w:p>
        </w:tc>
        <w:tc>
          <w:tcPr>
            <w:tcW w:type="dxa" w:w="2436"/>
            <w:vAlign w:val="center"/>
          </w:tcPr>
          <w:p>
            <w:pPr>
              <w:spacing w:line="276" w:lineRule="auto" w:before="0" w:after="0"/>
            </w:pPr>
            <w:r/>
            <w:r>
              <w:rPr>
                <w:rFonts w:ascii="Figtree" w:hAnsi="Figtree"/>
                <w:b w:val="0"/>
                <w:i w:val="0"/>
                <w:sz w:val="20"/>
              </w:rPr>
              <w:t>Environment provisioning, token configuration, compliance setup, identity framework</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65,000</w:t>
            </w:r>
          </w:p>
        </w:tc>
      </w:tr>
      <w:tr>
        <w:trPr>
          <w:trHeight w:val="425" w:hRule="atLeast"/>
        </w:trPr>
        <w:tc>
          <w:tcPr>
            <w:tcW w:type="dxa" w:w="2436"/>
            <w:vAlign w:val="center"/>
          </w:tcPr>
          <w:p>
            <w:pPr>
              <w:spacing w:line="276" w:lineRule="auto" w:before="0" w:after="0"/>
            </w:pPr>
            <w:r/>
            <w:r>
              <w:rPr>
                <w:rFonts w:ascii="Figtree" w:hAnsi="Figtree"/>
                <w:b w:val="0"/>
                <w:i w:val="0"/>
                <w:sz w:val="20"/>
              </w:rPr>
              <w:t>Phase 3: Integration</w:t>
            </w:r>
          </w:p>
        </w:tc>
        <w:tc>
          <w:tcPr>
            <w:tcW w:type="dxa" w:w="2436"/>
            <w:vAlign w:val="center"/>
          </w:tcPr>
          <w:p>
            <w:pPr>
              <w:spacing w:line="276" w:lineRule="auto" w:before="0" w:after="0"/>
            </w:pPr>
            <w:r/>
            <w:r>
              <w:rPr>
                <w:rFonts w:ascii="Figtree" w:hAnsi="Figtree"/>
                <w:b w:val="0"/>
                <w:i w:val="0"/>
                <w:sz w:val="20"/>
              </w:rPr>
              <w:t>Gateway API, custody connector, KYC/AML, webhooks, treasury reconciliation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110,000</w:t>
            </w:r>
          </w:p>
        </w:tc>
      </w:tr>
      <w:tr>
        <w:trPr>
          <w:trHeight w:val="425" w:hRule="atLeast"/>
        </w:trPr>
        <w:tc>
          <w:tcPr>
            <w:tcW w:type="dxa" w:w="2436"/>
            <w:vAlign w:val="center"/>
          </w:tcPr>
          <w:p>
            <w:pPr>
              <w:spacing w:line="276" w:lineRule="auto" w:before="0" w:after="0"/>
            </w:pPr>
            <w:r/>
            <w:r>
              <w:rPr>
                <w:rFonts w:ascii="Figtree" w:hAnsi="Figtree"/>
                <w:b w:val="0"/>
                <w:i w:val="0"/>
                <w:sz w:val="20"/>
              </w:rPr>
              <w:t>Phase 4: Testing</w:t>
            </w:r>
          </w:p>
        </w:tc>
        <w:tc>
          <w:tcPr>
            <w:tcW w:type="dxa" w:w="2436"/>
            <w:vAlign w:val="center"/>
          </w:tcPr>
          <w:p>
            <w:pPr>
              <w:spacing w:line="276" w:lineRule="auto" w:before="0" w:after="0"/>
            </w:pPr>
            <w:r/>
            <w:r>
              <w:rPr>
                <w:rFonts w:ascii="Figtree" w:hAnsi="Figtree"/>
                <w:b w:val="0"/>
                <w:i w:val="0"/>
                <w:sz w:val="20"/>
              </w:rPr>
              <w:t>Functional, security, performance, compliance validation, UAT</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85,000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Production deployment, validation, support handover</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EUR 45,000</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Intensive monitoring, optimization, knowledge transfer</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45,000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15 weeks</w:t>
            </w:r>
          </w:p>
        </w:tc>
        <w:tc>
          <w:tcPr>
            <w:tcW w:type="dxa" w:w="2436"/>
            <w:vAlign w:val="center"/>
          </w:tcPr>
          <w:p>
            <w:pPr>
              <w:spacing w:line="276" w:lineRule="auto" w:before="0" w:after="0"/>
            </w:pPr>
            <w:r/>
            <w:r>
              <w:rPr>
                <w:rFonts w:ascii="Figtree" w:hAnsi="Figtree"/>
                <w:b/>
                <w:i w:val="0"/>
                <w:sz w:val="20"/>
              </w:rPr>
              <w:t>EUR 390,000</w:t>
            </w:r>
          </w:p>
        </w:tc>
      </w:tr>
    </w:tbl>
    <w:p>
      <w:pPr>
        <w:spacing w:before="0" w:after="0" w:line="120" w:lineRule="exact"/>
      </w:pPr>
    </w:p>
    <w:p>
      <w:pPr>
        <w:pStyle w:val="H3"/>
        <w:numPr>
          <w:ilvl w:val="2"/>
          <w:numId w:val="1"/>
        </w:numPr>
      </w:pPr>
      <w:r>
        <w:t>Implementation Assumptions</w:t>
      </w:r>
    </w:p>
    <w:p>
      <w:r>
        <w:rPr>
          <w:rFonts w:ascii="Figtree" w:hAnsi="Figtree"/>
          <w:b w:val="0"/>
          <w:i w:val="0"/>
          <w:sz w:val="22"/>
        </w:rPr>
        <w:t>Technology readiness: Checkout.com provides access to existing gateway and treasury APIs with documentation within 1 week of Phase 2 start.</w:t>
      </w:r>
    </w:p>
    <w:p>
      <w:r>
        <w:rPr>
          <w:rFonts w:ascii="Figtree" w:hAnsi="Figtree"/>
          <w:b w:val="0"/>
          <w:i w:val="0"/>
          <w:sz w:val="22"/>
        </w:rPr>
        <w:t>Blockchain network: pricing assumes private Hyperledger Besu or Polygon PoS. Ethereum mainnet deployment increases Phases 2-4 fees by approximately EUR 20,000.</w:t>
      </w:r>
    </w:p>
    <w:p>
      <w:r>
        <w:rPr>
          <w:rFonts w:ascii="Figtree" w:hAnsi="Figtree"/>
          <w:b w:val="0"/>
          <w:i w:val="0"/>
          <w:sz w:val="22"/>
        </w:rPr>
        <w:t>Custody provider: pricing assumes Fireblocks or DFNS integration. Custom signer adapter required if existing custody provider not supported.</w:t>
      </w:r>
    </w:p>
    <w:p>
      <w:r>
        <w:rPr>
          <w:rFonts w:ascii="Figtree" w:hAnsi="Figtree"/>
          <w:b w:val="0"/>
          <w:i w:val="0"/>
          <w:sz w:val="22"/>
        </w:rPr>
        <w:t>Asset scope: Phase 1 implementation covers EUR stablecoin merchant settlement. GBP and USD stablecoin expansion requires separate engagement quoted on Phase 1 scope.</w:t>
      </w:r>
    </w:p>
    <w:p>
      <w:pPr>
        <w:pStyle w:val="H3"/>
        <w:numPr>
          <w:ilvl w:val="2"/>
          <w:numId w:val="1"/>
        </w:numPr>
      </w:pPr>
      <w:r>
        <w:t>Out-of-Scope Items</w:t>
      </w:r>
    </w:p>
    <w:p>
      <w:pPr>
        <w:pStyle w:val="ListParagraph"/>
        <w:numPr>
          <w:ilvl w:val="0"/>
          <w:numId w:val="4"/>
        </w:numPr>
      </w:pPr>
      <w:r>
        <w:rPr>
          <w:rFonts w:ascii="Figtree" w:hAnsi="Figtree"/>
          <w:b w:val="0"/>
          <w:i w:val="0"/>
          <w:sz w:val="22"/>
        </w:rPr>
        <w:t>Custom signer adapter for unsupported custody provider</w:t>
      </w:r>
    </w:p>
    <w:p>
      <w:pPr>
        <w:pStyle w:val="ListParagraph"/>
        <w:numPr>
          <w:ilvl w:val="0"/>
          <w:numId w:val="4"/>
        </w:numPr>
      </w:pPr>
      <w:r>
        <w:rPr>
          <w:rFonts w:ascii="Figtree" w:hAnsi="Figtree"/>
          <w:b w:val="0"/>
          <w:i w:val="0"/>
          <w:sz w:val="22"/>
        </w:rPr>
        <w:t>Custom compliance module development</w:t>
      </w:r>
    </w:p>
    <w:p>
      <w:pPr>
        <w:pStyle w:val="ListParagraph"/>
        <w:numPr>
          <w:ilvl w:val="0"/>
          <w:numId w:val="4"/>
        </w:numPr>
      </w:pPr>
      <w:r>
        <w:rPr>
          <w:rFonts w:ascii="Figtree" w:hAnsi="Figtree"/>
          <w:b w:val="0"/>
          <w:i w:val="0"/>
          <w:sz w:val="22"/>
        </w:rPr>
        <w:t>Data migration from legacy systems</w:t>
      </w:r>
    </w:p>
    <w:p>
      <w:pPr>
        <w:pStyle w:val="ListParagraph"/>
        <w:numPr>
          <w:ilvl w:val="0"/>
          <w:numId w:val="4"/>
        </w:numPr>
      </w:pPr>
      <w:r>
        <w:rPr>
          <w:rFonts w:ascii="Figtree" w:hAnsi="Figtree"/>
          <w:b w:val="0"/>
          <w:i w:val="0"/>
          <w:sz w:val="22"/>
        </w:rPr>
        <w:t>Phase 2 multi-currency expansion</w:t>
      </w:r>
    </w:p>
    <w:p>
      <w:pPr>
        <w:pStyle w:val="ListParagraph"/>
        <w:numPr>
          <w:ilvl w:val="0"/>
          <w:numId w:val="4"/>
        </w:numPr>
      </w:pPr>
      <w:r>
        <w:rPr>
          <w:rFonts w:ascii="Figtree" w:hAnsi="Figtree"/>
          <w:b w:val="0"/>
          <w:i w:val="0"/>
          <w:sz w:val="22"/>
        </w:rPr>
        <w:t>Phase 3 adjacent services (tokenized receivables, merchant bonds)</w:t>
      </w:r>
    </w:p>
    <w:p>
      <w:pPr>
        <w:pStyle w:val="ListParagraph"/>
        <w:numPr>
          <w:ilvl w:val="0"/>
          <w:numId w:val="4"/>
        </w:numPr>
      </w:pPr>
      <w:r>
        <w:rPr>
          <w:rFonts w:ascii="Figtree" w:hAnsi="Figtree"/>
          <w:b w:val="0"/>
          <w:i w:val="0"/>
          <w:sz w:val="22"/>
        </w:rPr>
        <w:t>Regulatory advisory services</w:t>
      </w:r>
    </w:p>
    <w:p>
      <w:pPr>
        <w:pStyle w:val="H3"/>
        <w:numPr>
          <w:ilvl w:val="2"/>
          <w:numId w:val="1"/>
        </w:numPr>
      </w:pPr>
      <w:r>
        <w:t>Change Request Day Rates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36"/>
        <w:gridCol w:w="373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Day Rate (EUR)</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w:t>
            </w:r>
          </w:p>
        </w:tc>
        <w:tc>
          <w:tcPr>
            <w:tcW w:type="dxa" w:w="4873"/>
            <w:vAlign w:val="center"/>
          </w:tcPr>
          <w:p>
            <w:pPr>
              <w:spacing w:line="276" w:lineRule="auto" w:before="0" w:after="0"/>
            </w:pPr>
            <w:r/>
            <w:r>
              <w:rPr>
                <w:rFonts w:ascii="Figtree" w:hAnsi="Figtree"/>
                <w:b w:val="0"/>
                <w:i w:val="0"/>
                <w:sz w:val="20"/>
              </w:rPr>
              <w:t>2,500</w:t>
            </w:r>
          </w:p>
        </w:tc>
      </w:tr>
      <w:tr>
        <w:trPr>
          <w:trHeight w:val="425" w:hRule="atLeast"/>
        </w:trPr>
        <w:tc>
          <w:tcPr>
            <w:tcW w:type="dxa" w:w="4873"/>
            <w:vAlign w:val="center"/>
          </w:tcPr>
          <w:p>
            <w:pPr>
              <w:spacing w:line="276" w:lineRule="auto" w:before="0" w:after="0"/>
            </w:pPr>
            <w:r/>
            <w:r>
              <w:rPr>
                <w:rFonts w:ascii="Figtree" w:hAnsi="Figtree"/>
                <w:b w:val="0"/>
                <w:i w:val="0"/>
                <w:sz w:val="20"/>
              </w:rPr>
              <w:t>Platform Engineer</w:t>
            </w:r>
          </w:p>
        </w:tc>
        <w:tc>
          <w:tcPr>
            <w:tcW w:type="dxa" w:w="4873"/>
            <w:vAlign w:val="center"/>
          </w:tcPr>
          <w:p>
            <w:pPr>
              <w:spacing w:line="276" w:lineRule="auto" w:before="0" w:after="0"/>
            </w:pPr>
            <w:r/>
            <w:r>
              <w:rPr>
                <w:rFonts w:ascii="Figtree" w:hAnsi="Figtree"/>
                <w:b w:val="0"/>
                <w:i w:val="0"/>
                <w:sz w:val="20"/>
              </w:rPr>
              <w:t>2,000</w:t>
            </w:r>
          </w:p>
        </w:tc>
      </w:tr>
      <w:tr>
        <w:trPr>
          <w:trHeight w:val="425" w:hRule="atLeast"/>
        </w:trPr>
        <w:tc>
          <w:tcPr>
            <w:tcW w:type="dxa" w:w="4873"/>
            <w:vAlign w:val="center"/>
          </w:tcPr>
          <w:p>
            <w:pPr>
              <w:spacing w:line="276" w:lineRule="auto" w:before="0" w:after="0"/>
            </w:pPr>
            <w:r/>
            <w:r>
              <w:rPr>
                <w:rFonts w:ascii="Figtree" w:hAnsi="Figtree"/>
                <w:b w:val="0"/>
                <w:i w:val="0"/>
                <w:sz w:val="20"/>
              </w:rPr>
              <w:t>Integration Engineer</w:t>
            </w:r>
          </w:p>
        </w:tc>
        <w:tc>
          <w:tcPr>
            <w:tcW w:type="dxa" w:w="4873"/>
            <w:vAlign w:val="center"/>
          </w:tcPr>
          <w:p>
            <w:pPr>
              <w:spacing w:line="276" w:lineRule="auto" w:before="0" w:after="0"/>
            </w:pPr>
            <w:r/>
            <w:r>
              <w:rPr>
                <w:rFonts w:ascii="Figtree" w:hAnsi="Figtree"/>
                <w:b w:val="0"/>
                <w:i w:val="0"/>
                <w:sz w:val="20"/>
              </w:rPr>
              <w:t>2,000</w:t>
            </w:r>
          </w:p>
        </w:tc>
      </w:tr>
      <w:tr>
        <w:trPr>
          <w:trHeight w:val="425" w:hRule="atLeast"/>
        </w:trPr>
        <w:tc>
          <w:tcPr>
            <w:tcW w:type="dxa" w:w="4873"/>
            <w:vAlign w:val="center"/>
          </w:tcPr>
          <w:p>
            <w:pPr>
              <w:spacing w:line="276" w:lineRule="auto" w:before="0" w:after="0"/>
            </w:pPr>
            <w:r/>
            <w:r>
              <w:rPr>
                <w:rFonts w:ascii="Figtree" w:hAnsi="Figtree"/>
                <w:b w:val="0"/>
                <w:i w:val="0"/>
                <w:sz w:val="20"/>
              </w:rPr>
              <w:t>Security Engineer</w:t>
            </w:r>
          </w:p>
        </w:tc>
        <w:tc>
          <w:tcPr>
            <w:tcW w:type="dxa" w:w="4873"/>
            <w:vAlign w:val="center"/>
          </w:tcPr>
          <w:p>
            <w:pPr>
              <w:spacing w:line="276" w:lineRule="auto" w:before="0" w:after="0"/>
            </w:pPr>
            <w:r/>
            <w:r>
              <w:rPr>
                <w:rFonts w:ascii="Figtree" w:hAnsi="Figtree"/>
                <w:b w:val="0"/>
                <w:i w:val="0"/>
                <w:sz w:val="20"/>
              </w:rPr>
              <w:t>2,200</w:t>
            </w:r>
          </w:p>
        </w:tc>
      </w:tr>
      <w:tr>
        <w:trPr>
          <w:trHeight w:val="425" w:hRule="atLeast"/>
        </w:trPr>
        <w:tc>
          <w:tcPr>
            <w:tcW w:type="dxa" w:w="4873"/>
            <w:vAlign w:val="center"/>
          </w:tcPr>
          <w:p>
            <w:pPr>
              <w:spacing w:line="276" w:lineRule="auto" w:before="0" w:after="0"/>
            </w:pPr>
            <w:r/>
            <w:r>
              <w:rPr>
                <w:rFonts w:ascii="Figtree" w:hAnsi="Figtree"/>
                <w:b w:val="0"/>
                <w:i w:val="0"/>
                <w:sz w:val="20"/>
              </w:rPr>
              <w:t>Delivery Lead</w:t>
            </w:r>
          </w:p>
        </w:tc>
        <w:tc>
          <w:tcPr>
            <w:tcW w:type="dxa" w:w="4873"/>
            <w:vAlign w:val="center"/>
          </w:tcPr>
          <w:p>
            <w:pPr>
              <w:spacing w:line="276" w:lineRule="auto" w:before="0" w:after="0"/>
            </w:pPr>
            <w:r/>
            <w:r>
              <w:rPr>
                <w:rFonts w:ascii="Figtree" w:hAnsi="Figtree"/>
                <w:b w:val="0"/>
                <w:i w:val="0"/>
                <w:sz w:val="20"/>
              </w:rPr>
              <w:t>2,200</w:t>
            </w:r>
          </w:p>
        </w:tc>
      </w:tr>
    </w:tbl>
    <w:p>
      <w:pPr>
        <w:spacing w:before="0" w:after="0" w:line="120" w:lineRule="exact"/>
      </w:pPr>
    </w:p>
    <w:p>
      <w:r>
        <w:br w:type="page"/>
      </w:r>
    </w:p>
    <w:p>
      <w:pPr>
        <w:pStyle w:val="H2"/>
        <w:numPr>
          <w:ilvl w:val="1"/>
          <w:numId w:val="1"/>
        </w:numPr>
      </w:pPr>
      <w:r>
        <w:t>Commercial Terms</w:t>
      </w:r>
    </w:p>
    <w:p>
      <w:pPr>
        <w:pStyle w:val="H3"/>
        <w:numPr>
          <w:ilvl w:val="2"/>
          <w:numId w:val="1"/>
        </w:numPr>
      </w:pPr>
      <w:r>
        <w:t>Contract Structure</w:t>
      </w:r>
    </w:p>
    <w:p>
      <w:r>
        <w:rPr>
          <w:rFonts w:ascii="Figtree" w:hAnsi="Figtree"/>
          <w:b w:val="0"/>
          <w:i w:val="0"/>
          <w:sz w:val="22"/>
        </w:rPr>
        <w:t>Master Services Agreement (MSA) with: Platform License Agreement (Enterprise tier, 3-year recommended term); Implementation Statement of Work (6-phase programme, milestone-based payment); Support Services Agreement (Enterprise Support for license term); Data Processing Agreement (GDPR).</w:t>
      </w:r>
    </w:p>
    <w:p>
      <w:pPr>
        <w:pStyle w:val="H3"/>
        <w:numPr>
          <w:ilvl w:val="2"/>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0"/>
        <w:gridCol w:w="4110"/>
        <w:gridCol w:w="17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 (EUR)</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Platform license Year 1 (50%)</w:t>
            </w:r>
          </w:p>
        </w:tc>
        <w:tc>
          <w:tcPr>
            <w:tcW w:type="dxa" w:w="3249"/>
            <w:vAlign w:val="center"/>
          </w:tcPr>
          <w:p>
            <w:pPr>
              <w:spacing w:line="276" w:lineRule="auto" w:before="0" w:after="0"/>
            </w:pPr>
            <w:r/>
            <w:r>
              <w:rPr>
                <w:rFonts w:ascii="Figtree" w:hAnsi="Figtree"/>
                <w:b w:val="0"/>
                <w:i w:val="0"/>
                <w:sz w:val="20"/>
              </w:rPr>
              <w:t>140,000</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Phase 1: Discovery</w:t>
            </w:r>
          </w:p>
        </w:tc>
        <w:tc>
          <w:tcPr>
            <w:tcW w:type="dxa" w:w="3249"/>
            <w:vAlign w:val="center"/>
          </w:tcPr>
          <w:p>
            <w:pPr>
              <w:spacing w:line="276" w:lineRule="auto" w:before="0" w:after="0"/>
            </w:pPr>
            <w:r/>
            <w:r>
              <w:rPr>
                <w:rFonts w:ascii="Figtree" w:hAnsi="Figtree"/>
                <w:b w:val="0"/>
                <w:i w:val="0"/>
                <w:sz w:val="20"/>
              </w:rPr>
              <w:t>40,000</w:t>
            </w:r>
          </w:p>
        </w:tc>
      </w:tr>
      <w:tr>
        <w:trPr>
          <w:trHeight w:val="425" w:hRule="atLeast"/>
        </w:trPr>
        <w:tc>
          <w:tcPr>
            <w:tcW w:type="dxa" w:w="3249"/>
            <w:vAlign w:val="center"/>
          </w:tcPr>
          <w:p>
            <w:pPr>
              <w:spacing w:line="276" w:lineRule="auto" w:before="0" w:after="0"/>
            </w:pPr>
            <w:r/>
            <w:r>
              <w:rPr>
                <w:rFonts w:ascii="Figtree" w:hAnsi="Figtree"/>
                <w:b w:val="0"/>
                <w:i w:val="0"/>
                <w:sz w:val="20"/>
              </w:rPr>
              <w:t>Phase 1 gate review</w:t>
            </w:r>
          </w:p>
        </w:tc>
        <w:tc>
          <w:tcPr>
            <w:tcW w:type="dxa" w:w="3249"/>
            <w:vAlign w:val="center"/>
          </w:tcPr>
          <w:p>
            <w:pPr>
              <w:spacing w:line="276" w:lineRule="auto" w:before="0" w:after="0"/>
            </w:pPr>
            <w:r/>
            <w:r>
              <w:rPr>
                <w:rFonts w:ascii="Figtree" w:hAnsi="Figtree"/>
                <w:b w:val="0"/>
                <w:i w:val="0"/>
                <w:sz w:val="20"/>
              </w:rPr>
              <w:t>Phase 2: Configuration</w:t>
            </w:r>
          </w:p>
        </w:tc>
        <w:tc>
          <w:tcPr>
            <w:tcW w:type="dxa" w:w="3249"/>
            <w:vAlign w:val="center"/>
          </w:tcPr>
          <w:p>
            <w:pPr>
              <w:spacing w:line="276" w:lineRule="auto" w:before="0" w:after="0"/>
            </w:pPr>
            <w:r/>
            <w:r>
              <w:rPr>
                <w:rFonts w:ascii="Figtree" w:hAnsi="Figtree"/>
                <w:b w:val="0"/>
                <w:i w:val="0"/>
                <w:sz w:val="20"/>
              </w:rPr>
              <w:t>65,000</w:t>
            </w:r>
          </w:p>
        </w:tc>
      </w:tr>
      <w:tr>
        <w:trPr>
          <w:trHeight w:val="425" w:hRule="atLeast"/>
        </w:trPr>
        <w:tc>
          <w:tcPr>
            <w:tcW w:type="dxa" w:w="3249"/>
            <w:vAlign w:val="center"/>
          </w:tcPr>
          <w:p>
            <w:pPr>
              <w:spacing w:line="276" w:lineRule="auto" w:before="0" w:after="0"/>
            </w:pPr>
            <w:r/>
            <w:r>
              <w:rPr>
                <w:rFonts w:ascii="Figtree" w:hAnsi="Figtree"/>
                <w:b w:val="0"/>
                <w:i w:val="0"/>
                <w:sz w:val="20"/>
              </w:rPr>
              <w:t>Phase 2 gate review</w:t>
            </w:r>
          </w:p>
        </w:tc>
        <w:tc>
          <w:tcPr>
            <w:tcW w:type="dxa" w:w="3249"/>
            <w:vAlign w:val="center"/>
          </w:tcPr>
          <w:p>
            <w:pPr>
              <w:spacing w:line="276" w:lineRule="auto" w:before="0" w:after="0"/>
            </w:pPr>
            <w:r/>
            <w:r>
              <w:rPr>
                <w:rFonts w:ascii="Figtree" w:hAnsi="Figtree"/>
                <w:b w:val="0"/>
                <w:i w:val="0"/>
                <w:sz w:val="20"/>
              </w:rPr>
              <w:t>Phase 3 commencement</w:t>
            </w:r>
          </w:p>
        </w:tc>
        <w:tc>
          <w:tcPr>
            <w:tcW w:type="dxa" w:w="3249"/>
            <w:vAlign w:val="center"/>
          </w:tcPr>
          <w:p>
            <w:pPr>
              <w:spacing w:line="276" w:lineRule="auto" w:before="0" w:after="0"/>
            </w:pPr>
            <w:r/>
            <w:r>
              <w:rPr>
                <w:rFonts w:ascii="Figtree" w:hAnsi="Figtree"/>
                <w:b w:val="0"/>
                <w:i w:val="0"/>
                <w:sz w:val="20"/>
              </w:rPr>
              <w:t>55,000</w:t>
            </w:r>
          </w:p>
        </w:tc>
      </w:tr>
      <w:tr>
        <w:trPr>
          <w:trHeight w:val="425" w:hRule="atLeast"/>
        </w:trPr>
        <w:tc>
          <w:tcPr>
            <w:tcW w:type="dxa" w:w="3249"/>
            <w:vAlign w:val="center"/>
          </w:tcPr>
          <w:p>
            <w:pPr>
              <w:spacing w:line="276" w:lineRule="auto" w:before="0" w:after="0"/>
            </w:pPr>
            <w:r/>
            <w:r>
              <w:rPr>
                <w:rFonts w:ascii="Figtree" w:hAnsi="Figtree"/>
                <w:b w:val="0"/>
                <w:i w:val="0"/>
                <w:sz w:val="20"/>
              </w:rPr>
              <w:t>Phase 3 gate review</w:t>
            </w:r>
          </w:p>
        </w:tc>
        <w:tc>
          <w:tcPr>
            <w:tcW w:type="dxa" w:w="3249"/>
            <w:vAlign w:val="center"/>
          </w:tcPr>
          <w:p>
            <w:pPr>
              <w:spacing w:line="276" w:lineRule="auto" w:before="0" w:after="0"/>
            </w:pPr>
            <w:r/>
            <w:r>
              <w:rPr>
                <w:rFonts w:ascii="Figtree" w:hAnsi="Figtree"/>
                <w:b w:val="0"/>
                <w:i w:val="0"/>
                <w:sz w:val="20"/>
              </w:rPr>
              <w:t>Phase 4 commencement</w:t>
            </w:r>
          </w:p>
        </w:tc>
        <w:tc>
          <w:tcPr>
            <w:tcW w:type="dxa" w:w="3249"/>
            <w:vAlign w:val="center"/>
          </w:tcPr>
          <w:p>
            <w:pPr>
              <w:spacing w:line="276" w:lineRule="auto" w:before="0" w:after="0"/>
            </w:pPr>
            <w:r/>
            <w:r>
              <w:rPr>
                <w:rFonts w:ascii="Figtree" w:hAnsi="Figtree"/>
                <w:b w:val="0"/>
                <w:i w:val="0"/>
                <w:sz w:val="20"/>
              </w:rPr>
              <w:t>55,000</w:t>
            </w:r>
          </w:p>
        </w:tc>
      </w:tr>
      <w:tr>
        <w:trPr>
          <w:trHeight w:val="425" w:hRule="atLeast"/>
        </w:trPr>
        <w:tc>
          <w:tcPr>
            <w:tcW w:type="dxa" w:w="3249"/>
            <w:vAlign w:val="center"/>
          </w:tcPr>
          <w:p>
            <w:pPr>
              <w:spacing w:line="276" w:lineRule="auto" w:before="0" w:after="0"/>
            </w:pPr>
            <w:r/>
            <w:r>
              <w:rPr>
                <w:rFonts w:ascii="Figtree" w:hAnsi="Figtree"/>
                <w:b w:val="0"/>
                <w:i w:val="0"/>
                <w:sz w:val="20"/>
              </w:rPr>
              <w:t>Phase 4 gate review</w:t>
            </w:r>
          </w:p>
        </w:tc>
        <w:tc>
          <w:tcPr>
            <w:tcW w:type="dxa" w:w="3249"/>
            <w:vAlign w:val="center"/>
          </w:tcPr>
          <w:p>
            <w:pPr>
              <w:spacing w:line="276" w:lineRule="auto" w:before="0" w:after="0"/>
            </w:pPr>
            <w:r/>
            <w:r>
              <w:rPr>
                <w:rFonts w:ascii="Figtree" w:hAnsi="Figtree"/>
                <w:b w:val="0"/>
                <w:i w:val="0"/>
                <w:sz w:val="20"/>
              </w:rPr>
              <w:t>Phase 5 and 6 balance</w:t>
            </w:r>
          </w:p>
        </w:tc>
        <w:tc>
          <w:tcPr>
            <w:tcW w:type="dxa" w:w="3249"/>
            <w:vAlign w:val="center"/>
          </w:tcPr>
          <w:p>
            <w:pPr>
              <w:spacing w:line="276" w:lineRule="auto" w:before="0" w:after="0"/>
            </w:pPr>
            <w:r/>
            <w:r>
              <w:rPr>
                <w:rFonts w:ascii="Figtree" w:hAnsi="Figtree"/>
                <w:b w:val="0"/>
                <w:i w:val="0"/>
                <w:sz w:val="20"/>
              </w:rPr>
              <w:t>85,000</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w:t>
            </w:r>
          </w:p>
        </w:tc>
        <w:tc>
          <w:tcPr>
            <w:tcW w:type="dxa" w:w="3249"/>
            <w:vAlign w:val="center"/>
          </w:tcPr>
          <w:p>
            <w:pPr>
              <w:spacing w:line="276" w:lineRule="auto" w:before="0" w:after="0"/>
            </w:pPr>
            <w:r/>
            <w:r>
              <w:rPr>
                <w:rFonts w:ascii="Figtree" w:hAnsi="Figtree"/>
                <w:b w:val="0"/>
                <w:i w:val="0"/>
                <w:sz w:val="20"/>
              </w:rPr>
              <w:t>Platform license Year 1 (50%)</w:t>
            </w:r>
          </w:p>
        </w:tc>
        <w:tc>
          <w:tcPr>
            <w:tcW w:type="dxa" w:w="3249"/>
            <w:vAlign w:val="center"/>
          </w:tcPr>
          <w:p>
            <w:pPr>
              <w:spacing w:line="276" w:lineRule="auto" w:before="0" w:after="0"/>
            </w:pPr>
            <w:r/>
            <w:r>
              <w:rPr>
                <w:rFonts w:ascii="Figtree" w:hAnsi="Figtree"/>
                <w:b w:val="0"/>
                <w:i w:val="0"/>
                <w:sz w:val="20"/>
              </w:rPr>
              <w:t>140,000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2)</w:t>
            </w:r>
          </w:p>
        </w:tc>
        <w:tc>
          <w:tcPr>
            <w:tcW w:type="dxa" w:w="3249"/>
            <w:vAlign w:val="center"/>
          </w:tcPr>
          <w:p>
            <w:pPr>
              <w:spacing w:line="276" w:lineRule="auto" w:before="0" w:after="0"/>
            </w:pPr>
            <w:r/>
            <w:r>
              <w:rPr>
                <w:rFonts w:ascii="Figtree" w:hAnsi="Figtree"/>
                <w:b w:val="0"/>
                <w:i w:val="0"/>
                <w:sz w:val="20"/>
              </w:rPr>
              <w:t>Platform license Year 2</w:t>
            </w:r>
          </w:p>
        </w:tc>
        <w:tc>
          <w:tcPr>
            <w:tcW w:type="dxa" w:w="3249"/>
            <w:vAlign w:val="center"/>
          </w:tcPr>
          <w:p>
            <w:pPr>
              <w:spacing w:line="276" w:lineRule="auto" w:before="0" w:after="0"/>
            </w:pPr>
            <w:r/>
            <w:r>
              <w:rPr>
                <w:rFonts w:ascii="Figtree" w:hAnsi="Figtree"/>
                <w:b w:val="0"/>
                <w:i w:val="0"/>
                <w:sz w:val="20"/>
              </w:rPr>
              <w:t>280,000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2)</w:t>
            </w:r>
          </w:p>
        </w:tc>
        <w:tc>
          <w:tcPr>
            <w:tcW w:type="dxa" w:w="3249"/>
            <w:vAlign w:val="center"/>
          </w:tcPr>
          <w:p>
            <w:pPr>
              <w:spacing w:line="276" w:lineRule="auto" w:before="0" w:after="0"/>
            </w:pPr>
            <w:r/>
            <w:r>
              <w:rPr>
                <w:rFonts w:ascii="Figtree" w:hAnsi="Figtree"/>
                <w:b w:val="0"/>
                <w:i w:val="0"/>
                <w:sz w:val="20"/>
              </w:rPr>
              <w:t>Support Year 2</w:t>
            </w:r>
          </w:p>
        </w:tc>
        <w:tc>
          <w:tcPr>
            <w:tcW w:type="dxa" w:w="3249"/>
            <w:vAlign w:val="center"/>
          </w:tcPr>
          <w:p>
            <w:pPr>
              <w:spacing w:line="276" w:lineRule="auto" w:before="0" w:after="0"/>
            </w:pPr>
            <w:r/>
            <w:r>
              <w:rPr>
                <w:rFonts w:ascii="Figtree" w:hAnsi="Figtree"/>
                <w:b w:val="0"/>
                <w:i w:val="0"/>
                <w:sz w:val="20"/>
              </w:rPr>
              <w:t>120,000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3)</w:t>
            </w:r>
          </w:p>
        </w:tc>
        <w:tc>
          <w:tcPr>
            <w:tcW w:type="dxa" w:w="3249"/>
            <w:vAlign w:val="center"/>
          </w:tcPr>
          <w:p>
            <w:pPr>
              <w:spacing w:line="276" w:lineRule="auto" w:before="0" w:after="0"/>
            </w:pPr>
            <w:r/>
            <w:r>
              <w:rPr>
                <w:rFonts w:ascii="Figtree" w:hAnsi="Figtree"/>
                <w:b w:val="0"/>
                <w:i w:val="0"/>
                <w:sz w:val="20"/>
              </w:rPr>
              <w:t>Platform license Year 3</w:t>
            </w:r>
          </w:p>
        </w:tc>
        <w:tc>
          <w:tcPr>
            <w:tcW w:type="dxa" w:w="3249"/>
            <w:vAlign w:val="center"/>
          </w:tcPr>
          <w:p>
            <w:pPr>
              <w:spacing w:line="276" w:lineRule="auto" w:before="0" w:after="0"/>
            </w:pPr>
            <w:r/>
            <w:r>
              <w:rPr>
                <w:rFonts w:ascii="Figtree" w:hAnsi="Figtree"/>
                <w:b w:val="0"/>
                <w:i w:val="0"/>
                <w:sz w:val="20"/>
              </w:rPr>
              <w:t>308,000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3)</w:t>
            </w:r>
          </w:p>
        </w:tc>
        <w:tc>
          <w:tcPr>
            <w:tcW w:type="dxa" w:w="3249"/>
            <w:vAlign w:val="center"/>
          </w:tcPr>
          <w:p>
            <w:pPr>
              <w:spacing w:line="276" w:lineRule="auto" w:before="0" w:after="0"/>
            </w:pPr>
            <w:r/>
            <w:r>
              <w:rPr>
                <w:rFonts w:ascii="Figtree" w:hAnsi="Figtree"/>
                <w:b w:val="0"/>
                <w:i w:val="0"/>
                <w:sz w:val="20"/>
              </w:rPr>
              <w:t>Support Year 3</w:t>
            </w:r>
          </w:p>
        </w:tc>
        <w:tc>
          <w:tcPr>
            <w:tcW w:type="dxa" w:w="3249"/>
            <w:vAlign w:val="center"/>
          </w:tcPr>
          <w:p>
            <w:pPr>
              <w:spacing w:line="276" w:lineRule="auto" w:before="0" w:after="0"/>
            </w:pPr>
            <w:r/>
            <w:r>
              <w:rPr>
                <w:rFonts w:ascii="Figtree" w:hAnsi="Figtree"/>
                <w:b w:val="0"/>
                <w:i w:val="0"/>
                <w:sz w:val="20"/>
              </w:rPr>
              <w:t>120,000</w:t>
            </w:r>
          </w:p>
        </w:tc>
      </w:tr>
    </w:tbl>
    <w:p>
      <w:pPr>
        <w:spacing w:before="0" w:after="0" w:line="120" w:lineRule="exact"/>
      </w:pPr>
    </w:p>
    <w:p>
      <w:r>
        <w:rPr>
          <w:rFonts w:ascii="Figtree" w:hAnsi="Figtree"/>
          <w:b w:val="0"/>
          <w:i w:val="0"/>
          <w:sz w:val="22"/>
        </w:rPr>
        <w:t>Support fees invoiced annually in advance from contract execution.</w:t>
      </w:r>
    </w:p>
    <w:p>
      <w:pPr>
        <w:pStyle w:val="H3"/>
        <w:numPr>
          <w:ilvl w:val="2"/>
          <w:numId w:val="1"/>
        </w:numPr>
      </w:pPr>
      <w:r>
        <w:t>Minimum Contract Term</w:t>
      </w:r>
    </w:p>
    <w:p>
      <w:r>
        <w:rPr>
          <w:rFonts w:ascii="Figtree" w:hAnsi="Figtree"/>
          <w:b w:val="0"/>
          <w:i w:val="0"/>
          <w:sz w:val="22"/>
        </w:rPr>
        <w:t>Recommended minimum: 3 years. Annual break right at each renewal with 90 days written notice.</w:t>
      </w:r>
    </w:p>
    <w:p>
      <w:pPr>
        <w:pStyle w:val="H3"/>
        <w:numPr>
          <w:ilvl w:val="2"/>
          <w:numId w:val="1"/>
        </w:numPr>
      </w:pPr>
      <w:r>
        <w:t>Representations and Warranties</w:t>
      </w:r>
    </w:p>
    <w:p>
      <w:r>
        <w:rPr>
          <w:rFonts w:ascii="Figtree" w:hAnsi="Figtree"/>
          <w:b w:val="0"/>
          <w:i w:val="0"/>
          <w:sz w:val="22"/>
        </w:rPr>
        <w:t>SettleMint warrants that DALP will perform materially in accordance with documentation. ISO 27001 and SOC 2 Type II certifications maintained throughout contract term. Material changes to certification status or ownership disclosed within 30 days.</w:t>
      </w:r>
    </w:p>
    <w:p>
      <w:pPr>
        <w:pStyle w:val="H3"/>
        <w:numPr>
          <w:ilvl w:val="2"/>
          <w:numId w:val="1"/>
        </w:numPr>
      </w:pPr>
      <w:r>
        <w:t>Intellectual Property</w:t>
      </w:r>
    </w:p>
    <w:p>
      <w:r>
        <w:rPr>
          <w:rFonts w:ascii="Figtree" w:hAnsi="Figtree"/>
          <w:b w:val="0"/>
          <w:i w:val="0"/>
          <w:sz w:val="22"/>
        </w:rPr>
        <w:t>Checkout.com retains ownership of all data in DALP's systems. DALP platform software licensed, not transferred. Configurations developed specifically for Checkout.com remain Checkout.com's property.</w:t>
      </w:r>
    </w:p>
    <w:p>
      <w:pPr>
        <w:pStyle w:val="H3"/>
        <w:numPr>
          <w:ilvl w:val="2"/>
          <w:numId w:val="1"/>
        </w:numPr>
      </w:pPr>
      <w:r>
        <w:t>Exit Assistance</w:t>
      </w:r>
    </w:p>
    <w:p>
      <w:r>
        <w:rPr>
          <w:rFonts w:ascii="Figtree" w:hAnsi="Figtree"/>
          <w:b w:val="0"/>
          <w:i w:val="0"/>
          <w:sz w:val="22"/>
        </w:rPr>
        <w:t>Complete data export in JSON/CSV/structured database format. 90-day post-termination data access. Technical handover session (up to 3 days). Audit log preservation and export for the required retention period.</w:t>
      </w:r>
    </w:p>
    <w:p>
      <w:r>
        <w:br w:type="page"/>
      </w:r>
    </w:p>
    <w:p>
      <w:pPr>
        <w:pStyle w:val="H2"/>
        <w:numPr>
          <w:ilvl w:val="1"/>
          <w:numId w:val="1"/>
        </w:numPr>
      </w:pPr>
      <w:r>
        <w:t>Total Cost of Ownership</w:t>
      </w:r>
    </w:p>
    <w:p>
      <w:pPr>
        <w:pStyle w:val="H3"/>
        <w:numPr>
          <w:ilvl w:val="2"/>
          <w:numId w:val="1"/>
        </w:numPr>
      </w:pPr>
      <w:r>
        <w:t>3-Year TCO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2"/>
        <w:gridCol w:w="1468"/>
        <w:gridCol w:w="1296"/>
        <w:gridCol w:w="1296"/>
        <w:gridCol w:w="146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 Production)</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(Foundation Dev/Staging)</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66,000</w:t>
            </w:r>
          </w:p>
        </w:tc>
        <w:tc>
          <w:tcPr>
            <w:tcW w:type="dxa" w:w="1949"/>
            <w:vAlign w:val="center"/>
          </w:tcPr>
          <w:p>
            <w:pPr>
              <w:spacing w:line="276" w:lineRule="auto" w:before="0" w:after="0"/>
            </w:pPr>
            <w:r/>
            <w:r>
              <w:rPr>
                <w:rFonts w:ascii="Figtree" w:hAnsi="Figtree"/>
                <w:b w:val="0"/>
                <w:i w:val="0"/>
                <w:sz w:val="20"/>
              </w:rPr>
              <w:t>EUR 186,000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 1 scope</w:t>
            </w:r>
          </w:p>
        </w:tc>
        <w:tc>
          <w:tcPr>
            <w:tcW w:type="dxa" w:w="1949"/>
            <w:vAlign w:val="center"/>
          </w:tcPr>
          <w:p>
            <w:pPr>
              <w:spacing w:line="276" w:lineRule="auto" w:before="0" w:after="0"/>
            </w:pPr>
            <w:r/>
            <w:r>
              <w:rPr>
                <w:rFonts w:ascii="Figtree" w:hAnsi="Figtree"/>
                <w:b w:val="0"/>
                <w:i w:val="0"/>
                <w:sz w:val="20"/>
              </w:rPr>
              <w:t>EUR 390,000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390,000</w:t>
            </w:r>
          </w:p>
        </w:tc>
      </w:tr>
      <w:tr>
        <w:trPr>
          <w:trHeight w:val="425" w:hRule="atLeast"/>
        </w:trPr>
        <w:tc>
          <w:tcPr>
            <w:tcW w:type="dxa" w:w="1949"/>
            <w:vAlign w:val="center"/>
          </w:tcPr>
          <w:p>
            <w:pPr>
              <w:spacing w:line="276" w:lineRule="auto" w:before="0" w:after="0"/>
            </w:pPr>
            <w:r/>
            <w:r>
              <w:rPr>
                <w:rFonts w:ascii="Figtree" w:hAnsi="Figtree"/>
                <w:b w:val="0"/>
                <w:i w:val="0"/>
                <w:sz w:val="20"/>
              </w:rPr>
              <w:t>Phase 2 (multi-currency expansion)</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140,000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140,000</w:t>
            </w:r>
          </w:p>
        </w:tc>
      </w:tr>
      <w:tr>
        <w:trPr>
          <w:trHeight w:val="425" w:hRule="atLeast"/>
        </w:trPr>
        <w:tc>
          <w:tcPr>
            <w:tcW w:type="dxa" w:w="1949"/>
            <w:vAlign w:val="center"/>
          </w:tcPr>
          <w:p>
            <w:pPr>
              <w:spacing w:line="276" w:lineRule="auto" w:before="0" w:after="0"/>
            </w:pPr>
            <w:r/>
            <w:r>
              <w:rPr>
                <w:rFonts w:ascii="Figtree" w:hAnsi="Figtree"/>
                <w:b w:val="0"/>
                <w:i w:val="0"/>
                <w:sz w:val="20"/>
              </w:rPr>
              <w:t>Phase 3 (adjacent services)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110,000</w:t>
            </w:r>
          </w:p>
        </w:tc>
        <w:tc>
          <w:tcPr>
            <w:tcW w:type="dxa" w:w="1949"/>
            <w:vAlign w:val="center"/>
          </w:tcPr>
          <w:p>
            <w:pPr>
              <w:spacing w:line="276" w:lineRule="auto" w:before="0" w:after="0"/>
            </w:pPr>
            <w:r/>
            <w:r>
              <w:rPr>
                <w:rFonts w:ascii="Figtree" w:hAnsi="Figtree"/>
                <w:b w:val="0"/>
                <w:i w:val="0"/>
                <w:sz w:val="20"/>
              </w:rPr>
              <w:t>EUR 110,000</w:t>
            </w:r>
          </w:p>
        </w:tc>
      </w:tr>
      <w:tr>
        <w:trPr>
          <w:trHeight w:val="425" w:hRule="atLeast"/>
        </w:trPr>
        <w:tc>
          <w:tcPr>
            <w:tcW w:type="dxa" w:w="1949"/>
            <w:vAlign w:val="center"/>
          </w:tcPr>
          <w:p>
            <w:pPr>
              <w:spacing w:line="276" w:lineRule="auto" w:before="0" w:after="0"/>
            </w:pPr>
            <w:r/>
            <w:r>
              <w:rPr>
                <w:rFonts w:ascii="Figtree" w:hAnsi="Figtree"/>
                <w:b w:val="0"/>
                <w:i w:val="0"/>
                <w:sz w:val="20"/>
              </w:rPr>
              <w:t>Checkout.com Private Cloud</w:t>
            </w:r>
          </w:p>
        </w:tc>
        <w:tc>
          <w:tcPr>
            <w:tcW w:type="dxa" w:w="1949"/>
            <w:vAlign w:val="center"/>
          </w:tcPr>
          <w:p>
            <w:pPr>
              <w:spacing w:line="276" w:lineRule="auto" w:before="0" w:after="0"/>
            </w:pPr>
            <w:r/>
            <w:r>
              <w:rPr>
                <w:rFonts w:ascii="Figtree" w:hAnsi="Figtree"/>
                <w:b w:val="0"/>
                <w:i w:val="0"/>
                <w:sz w:val="20"/>
              </w:rPr>
              <w:t>EUR 45,000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150,000</w:t>
            </w:r>
          </w:p>
        </w:tc>
      </w:tr>
      <w:tr>
        <w:trPr>
          <w:trHeight w:val="425" w:hRule="atLeast"/>
        </w:trPr>
        <w:tc>
          <w:tcPr>
            <w:tcW w:type="dxa" w:w="1949"/>
            <w:vAlign w:val="center"/>
          </w:tcPr>
          <w:p>
            <w:pPr>
              <w:spacing w:line="276" w:lineRule="auto" w:before="0" w:after="0"/>
            </w:pPr>
            <w:r/>
            <w:r>
              <w:rPr>
                <w:rFonts w:ascii="Figtree" w:hAnsi="Figtree"/>
                <w:b w:val="0"/>
                <w:i w:val="0"/>
                <w:sz w:val="20"/>
              </w:rPr>
              <w:t>Fireblocks/DFNS custody</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165,000</w:t>
            </w:r>
          </w:p>
        </w:tc>
      </w:tr>
      <w:tr>
        <w:trPr>
          <w:trHeight w:val="425" w:hRule="atLeast"/>
        </w:trPr>
        <w:tc>
          <w:tcPr>
            <w:tcW w:type="dxa" w:w="1949"/>
            <w:vAlign w:val="center"/>
          </w:tcPr>
          <w:p>
            <w:pPr>
              <w:spacing w:line="276" w:lineRule="auto" w:before="0" w:after="0"/>
            </w:pPr>
            <w:r/>
            <w:r>
              <w:rPr>
                <w:rFonts w:ascii="Figtree" w:hAnsi="Figtree"/>
                <w:b w:val="0"/>
                <w:i w:val="0"/>
                <w:sz w:val="20"/>
              </w:rPr>
              <w:t>Checkout.com internal (1.5 FTE Year 1)</w:t>
            </w:r>
          </w:p>
        </w:tc>
        <w:tc>
          <w:tcPr>
            <w:tcW w:type="dxa" w:w="1949"/>
            <w:vAlign w:val="center"/>
          </w:tcPr>
          <w:p>
            <w:pPr>
              <w:spacing w:line="276" w:lineRule="auto" w:before="0" w:after="0"/>
            </w:pPr>
            <w:r/>
            <w:r>
              <w:rPr>
                <w:rFonts w:ascii="Figtree" w:hAnsi="Figtree"/>
                <w:b w:val="0"/>
                <w:i w:val="0"/>
                <w:sz w:val="20"/>
              </w:rPr>
              <w:t>EUR 225,000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375,000</w:t>
            </w:r>
          </w:p>
        </w:tc>
      </w:tr>
      <w:tr>
        <w:trPr>
          <w:trHeight w:val="425" w:hRule="atLeast"/>
        </w:trPr>
        <w:tc>
          <w:tcPr>
            <w:tcW w:type="dxa" w:w="1949"/>
            <w:vAlign w:val="center"/>
          </w:tcPr>
          <w:p>
            <w:pPr>
              <w:spacing w:line="276" w:lineRule="auto" w:before="0" w:after="0"/>
            </w:pPr>
            <w:r/>
            <w:r>
              <w:rPr>
                <w:rFonts w:ascii="Figtree" w:hAnsi="Figtree"/>
                <w:b/>
                <w:i w:val="0"/>
                <w:sz w:val="20"/>
              </w:rPr>
              <w:t>Total 3-Year TCO</w:t>
            </w:r>
          </w:p>
        </w:tc>
        <w:tc>
          <w:tcPr>
            <w:tcW w:type="dxa" w:w="1949"/>
            <w:vAlign w:val="center"/>
          </w:tcPr>
          <w:p>
            <w:pPr>
              <w:spacing w:line="276" w:lineRule="auto" w:before="0" w:after="0"/>
            </w:pPr>
            <w:r/>
            <w:r>
              <w:rPr>
                <w:rFonts w:ascii="Figtree" w:hAnsi="Figtree"/>
                <w:b/>
                <w:i w:val="0"/>
                <w:sz w:val="20"/>
              </w:rPr>
              <w:t>EUR 1,170,000</w:t>
            </w:r>
          </w:p>
        </w:tc>
        <w:tc>
          <w:tcPr>
            <w:tcW w:type="dxa" w:w="1949"/>
            <w:vAlign w:val="center"/>
          </w:tcPr>
          <w:p>
            <w:pPr>
              <w:spacing w:line="276" w:lineRule="auto" w:before="0" w:after="0"/>
            </w:pPr>
            <w:r/>
            <w:r>
              <w:rPr>
                <w:rFonts w:ascii="Figtree" w:hAnsi="Figtree"/>
                <w:b/>
                <w:i w:val="0"/>
                <w:sz w:val="20"/>
              </w:rPr>
              <w:t>EUR 780,000</w:t>
            </w:r>
          </w:p>
        </w:tc>
        <w:tc>
          <w:tcPr>
            <w:tcW w:type="dxa" w:w="1949"/>
            <w:vAlign w:val="center"/>
          </w:tcPr>
          <w:p>
            <w:pPr>
              <w:spacing w:line="276" w:lineRule="auto" w:before="0" w:after="0"/>
            </w:pPr>
            <w:r/>
            <w:r>
              <w:rPr>
                <w:rFonts w:ascii="Figtree" w:hAnsi="Figtree"/>
                <w:b/>
                <w:i w:val="0"/>
                <w:sz w:val="20"/>
              </w:rPr>
              <w:t>EUR 794,000</w:t>
            </w:r>
          </w:p>
        </w:tc>
        <w:tc>
          <w:tcPr>
            <w:tcW w:type="dxa" w:w="1949"/>
            <w:vAlign w:val="center"/>
          </w:tcPr>
          <w:p>
            <w:pPr>
              <w:spacing w:line="276" w:lineRule="auto" w:before="0" w:after="0"/>
            </w:pPr>
            <w:r/>
            <w:r>
              <w:rPr>
                <w:rFonts w:ascii="Figtree" w:hAnsi="Figtree"/>
                <w:b/>
                <w:i w:val="0"/>
                <w:sz w:val="20"/>
              </w:rPr>
              <w:t>EUR 2,744,000</w:t>
            </w:r>
          </w:p>
        </w:tc>
      </w:tr>
    </w:tbl>
    <w:p>
      <w:pPr>
        <w:spacing w:before="0" w:after="0" w:line="120" w:lineRule="exact"/>
      </w:pPr>
    </w:p>
    <w:p>
      <w:pPr>
        <w:pStyle w:val="H3"/>
        <w:numPr>
          <w:ilvl w:val="2"/>
          <w:numId w:val="1"/>
        </w:numPr>
      </w:pPr>
      <w:r>
        <w:t>5-Year TCO vs. Build Alternative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32"/>
        <w:gridCol w:w="44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5-Year Total</w:t>
            </w:r>
          </w:p>
        </w:tc>
      </w:tr>
      <w:tr>
        <w:trPr>
          <w:trHeight w:val="425" w:hRule="atLeast"/>
        </w:trPr>
        <w:tc>
          <w:tcPr>
            <w:tcW w:type="dxa" w:w="4873"/>
            <w:vAlign w:val="center"/>
          </w:tcPr>
          <w:p>
            <w:pPr>
              <w:spacing w:line="276" w:lineRule="auto" w:before="0" w:after="0"/>
            </w:pPr>
            <w:r/>
            <w:r>
              <w:rPr>
                <w:rFonts w:ascii="Figtree" w:hAnsi="Figtree"/>
                <w:b w:val="0"/>
                <w:i w:val="0"/>
                <w:sz w:val="20"/>
              </w:rPr>
              <w:t>DALP platform approach</w:t>
            </w:r>
          </w:p>
        </w:tc>
        <w:tc>
          <w:tcPr>
            <w:tcW w:type="dxa" w:w="4873"/>
            <w:vAlign w:val="center"/>
          </w:tcPr>
          <w:p>
            <w:pPr>
              <w:spacing w:line="276" w:lineRule="auto" w:before="0" w:after="0"/>
            </w:pPr>
            <w:r/>
            <w:r>
              <w:rPr>
                <w:rFonts w:ascii="Figtree" w:hAnsi="Figtree"/>
                <w:b w:val="0"/>
                <w:i w:val="0"/>
                <w:sz w:val="20"/>
              </w:rPr>
              <w:t>EUR 4,200,000</w:t>
            </w:r>
          </w:p>
        </w:tc>
      </w:tr>
      <w:tr>
        <w:trPr>
          <w:trHeight w:val="425" w:hRule="atLeast"/>
        </w:trPr>
        <w:tc>
          <w:tcPr>
            <w:tcW w:type="dxa" w:w="4873"/>
            <w:vAlign w:val="center"/>
          </w:tcPr>
          <w:p>
            <w:pPr>
              <w:spacing w:line="276" w:lineRule="auto" w:before="0" w:after="0"/>
            </w:pPr>
            <w:r/>
            <w:r>
              <w:rPr>
                <w:rFonts w:ascii="Figtree" w:hAnsi="Figtree"/>
                <w:b w:val="0"/>
                <w:i w:val="0"/>
                <w:sz w:val="20"/>
              </w:rPr>
              <w:t>Custom build alternative</w:t>
            </w:r>
          </w:p>
        </w:tc>
        <w:tc>
          <w:tcPr>
            <w:tcW w:type="dxa" w:w="4873"/>
            <w:vAlign w:val="center"/>
          </w:tcPr>
          <w:p>
            <w:pPr>
              <w:spacing w:line="276" w:lineRule="auto" w:before="0" w:after="0"/>
            </w:pPr>
            <w:r/>
            <w:r>
              <w:rPr>
                <w:rFonts w:ascii="Figtree" w:hAnsi="Figtree"/>
                <w:b w:val="0"/>
                <w:i w:val="0"/>
                <w:sz w:val="20"/>
              </w:rPr>
              <w:t>EUR 6,100,000</w:t>
            </w:r>
          </w:p>
        </w:tc>
      </w:tr>
      <w:tr>
        <w:trPr>
          <w:trHeight w:val="425" w:hRule="atLeast"/>
        </w:trPr>
        <w:tc>
          <w:tcPr>
            <w:tcW w:type="dxa" w:w="4873"/>
            <w:vAlign w:val="center"/>
          </w:tcPr>
          <w:p>
            <w:pPr>
              <w:spacing w:line="276" w:lineRule="auto" w:before="0" w:after="0"/>
            </w:pPr>
            <w:r/>
            <w:r>
              <w:rPr>
                <w:rFonts w:ascii="Figtree" w:hAnsi="Figtree"/>
                <w:b/>
                <w:i w:val="0"/>
                <w:sz w:val="20"/>
              </w:rPr>
              <w:t>DALP savings</w:t>
            </w:r>
          </w:p>
        </w:tc>
        <w:tc>
          <w:tcPr>
            <w:tcW w:type="dxa" w:w="4873"/>
            <w:vAlign w:val="center"/>
          </w:tcPr>
          <w:p>
            <w:pPr>
              <w:spacing w:line="276" w:lineRule="auto" w:before="0" w:after="0"/>
            </w:pPr>
            <w:r/>
            <w:r>
              <w:rPr>
                <w:rFonts w:ascii="Figtree" w:hAnsi="Figtree"/>
                <w:b/>
                <w:i w:val="0"/>
                <w:sz w:val="20"/>
              </w:rPr>
              <w:t>EUR 1,900,000 (31%)</w:t>
            </w:r>
          </w:p>
        </w:tc>
      </w:tr>
    </w:tbl>
    <w:p>
      <w:pPr>
        <w:spacing w:before="0" w:after="0" w:line="120" w:lineRule="exact"/>
      </w:pPr>
    </w:p>
    <w:p>
      <w:r>
        <w:rPr>
          <w:rFonts w:ascii="Figtree" w:hAnsi="Figtree"/>
          <w:b w:val="0"/>
          <w:i w:val="0"/>
          <w:sz w:val="22"/>
        </w:rPr>
        <w:t>Custom build assumptions: 6-8 engineer team at EUR 200,000 fully loaded annually, 24-month development, 4 FTE ongoing maintenance team.</w:t>
      </w:r>
    </w:p>
    <w:p>
      <w:r>
        <w:br w:type="page"/>
      </w:r>
    </w:p>
    <w:p>
      <w:pPr>
        <w:pStyle w:val="H2"/>
        <w:numPr>
          <w:ilvl w:val="1"/>
          <w:numId w:val="1"/>
        </w:numPr>
      </w:pPr>
      <w:r>
        <w:t>Reference Clients</w:t>
      </w:r>
    </w:p>
    <w:p>
      <w:pPr>
        <w:pStyle w:val="H3"/>
        <w:numPr>
          <w:ilvl w:val="2"/>
          <w:numId w:val="1"/>
        </w:numPr>
      </w:pPr>
      <w:r>
        <w:t>Adyen</w:t>
      </w:r>
    </w:p>
    <w:p>
      <w:r>
        <w:rPr>
          <w:rFonts w:ascii="Figtree" w:hAnsi="Figtree"/>
          <w:b w:val="0"/>
          <w:i w:val="0"/>
          <w:sz w:val="22"/>
        </w:rPr>
        <w:t>SettleMint implemented tokenized payment infrastructure for Adyen N.V. including EUR stablecoin merchant settlement with MiCA Article 55 compliance, atomic XvP cross-currency settlement, and gateway API integration. The Adyen engagement is the closest published reference for Checkout.com's use case. Commercial structure: milestone-based implementation with annual Enterprise platform license.</w:t>
      </w:r>
    </w:p>
    <w:p>
      <w:pPr>
        <w:pStyle w:val="H3"/>
        <w:numPr>
          <w:ilvl w:val="2"/>
          <w:numId w:val="1"/>
        </w:numPr>
      </w:pPr>
      <w:r>
        <w:t>Maybank Project Photon</w:t>
      </w:r>
    </w:p>
    <w:p>
      <w:r>
        <w:rPr>
          <w:rFonts w:ascii="Figtree" w:hAnsi="Figtree"/>
          <w:b w:val="0"/>
          <w:i w:val="0"/>
          <w:sz w:val="22"/>
        </w:rPr>
        <w:t>Maybank implemented tokenized FX settlement with atomic cross-currency exchange in production under Bank Negara Malaysia's regulatory framework. Programme expanded from Phase 1 (single currency) to Phase 2 (cross-currency XvP) on the same DALP instance without additional platform licensing. Direct reference for Checkout.com's cross-border payment settlement goals.</w:t>
      </w:r>
    </w:p>
    <w:p>
      <w:pPr>
        <w:pStyle w:val="H3"/>
        <w:numPr>
          <w:ilvl w:val="2"/>
          <w:numId w:val="1"/>
        </w:numPr>
      </w:pPr>
      <w:r>
        <w:t>Commerzbank</w:t>
      </w:r>
    </w:p>
    <w:p>
      <w:r>
        <w:rPr>
          <w:rFonts w:ascii="Figtree" w:hAnsi="Figtree"/>
          <w:b w:val="0"/>
          <w:i w:val="0"/>
          <w:sz w:val="22"/>
        </w:rPr>
        <w:t>Commerzbank deployed DALP for ETP issuance and management, achieving settlement under 10 seconds and identifying EUR 7 million in annual operational savings. First major European production deployment of DALP at institutional scale. Demonstrates DALP's ability to satisfy European institutional security review and change control processes. Reference calls available subject to confidentiality constraints.</w:t>
      </w:r>
    </w:p>
    <w:p>
      <w:r>
        <w:br w:type="page"/>
      </w:r>
    </w:p>
    <w:p>
      <w:pPr>
        <w:pStyle w:val="H2"/>
        <w:numPr>
          <w:ilvl w:val="1"/>
          <w:numId w:val="1"/>
        </w:numPr>
      </w:pPr>
      <w:r>
        <w:t>Next Steps</w:t>
      </w:r>
    </w:p>
    <w:p>
      <w:pPr>
        <w:pStyle w:val="H3"/>
        <w:numPr>
          <w:ilvl w:val="2"/>
          <w:numId w:val="1"/>
        </w:numPr>
      </w:pPr>
      <w:r>
        <w:t>Immediate Actions</w:t>
      </w:r>
    </w:p>
    <w:p>
      <w:r>
        <w:rPr>
          <w:rFonts w:ascii="Figtree" w:hAnsi="Figtree"/>
          <w:b w:val="0"/>
          <w:i w:val="0"/>
          <w:sz w:val="22"/>
        </w:rPr>
        <w:t>SettleMint has submitted this proposal by the 24 April 2026 deadline. Following submission:</w:t>
      </w:r>
    </w:p>
    <w:p>
      <w:r>
        <w:rPr>
          <w:rFonts w:ascii="Figtree" w:hAnsi="Figtree"/>
          <w:b/>
          <w:i w:val="0"/>
          <w:sz w:val="22"/>
        </w:rPr>
        <w:t>Clarification period (deadline 03 April 2026):</w:t>
      </w:r>
    </w:p>
    <w:p>
      <w:r>
        <w:rPr>
          <w:rFonts w:ascii="Figtree" w:hAnsi="Figtree"/>
          <w:b w:val="0"/>
          <w:i w:val="0"/>
          <w:sz w:val="22"/>
        </w:rPr>
        <w:t>SettleMint is available for clarification questions within 2 business days. Contact: bids@settlemint.com.</w:t>
      </w:r>
    </w:p>
    <w:p>
      <w:r>
        <w:rPr>
          <w:rFonts w:ascii="Figtree" w:hAnsi="Figtree"/>
          <w:b/>
          <w:i w:val="0"/>
          <w:sz w:val="22"/>
        </w:rPr>
        <w:t>Shortlist notification (by 15 May 2026):</w:t>
      </w:r>
    </w:p>
    <w:p>
      <w:r>
        <w:rPr>
          <w:rFonts w:ascii="Figtree" w:hAnsi="Figtree"/>
          <w:b w:val="0"/>
          <w:i w:val="0"/>
          <w:sz w:val="22"/>
        </w:rPr>
        <w:t>SettleMint arranges within 5 business days: architecture walkthrough (2 hours), control deep-dive for security and compliance teams (1.5 hours), and live platform demonstration with Checkout.com-specific scenarios.</w:t>
      </w:r>
    </w:p>
    <w:p>
      <w:r>
        <w:rPr>
          <w:rFonts w:ascii="Figtree" w:hAnsi="Figtree"/>
          <w:b/>
          <w:i w:val="0"/>
          <w:sz w:val="22"/>
        </w:rPr>
        <w:t>Deep-dive sessions (Late May 2026):</w:t>
      </w:r>
    </w:p>
    <w:p>
      <w:r>
        <w:rPr>
          <w:rFonts w:ascii="Figtree" w:hAnsi="Figtree"/>
          <w:b w:val="0"/>
          <w:i w:val="0"/>
          <w:sz w:val="22"/>
        </w:rPr>
        <w:t>Day 1: technical architecture and API demonstration; security and compliance session. Day 2: implementation programme review; commercial discussion.</w:t>
      </w:r>
    </w:p>
    <w:p>
      <w:r>
        <w:rPr>
          <w:rFonts w:ascii="Figtree" w:hAnsi="Figtree"/>
          <w:b/>
          <w:i w:val="0"/>
          <w:sz w:val="22"/>
        </w:rPr>
        <w:t>Reference calls:</w:t>
      </w:r>
    </w:p>
    <w:p>
      <w:r>
        <w:rPr>
          <w:rFonts w:ascii="Figtree" w:hAnsi="Figtree"/>
          <w:b w:val="0"/>
          <w:i w:val="0"/>
          <w:sz w:val="22"/>
        </w:rPr>
        <w:t>Available with Adyen, Maybank, and Commerzbank within 5 business days of written request.</w:t>
      </w:r>
    </w:p>
    <w:p>
      <w:r>
        <w:rPr>
          <w:rFonts w:ascii="Figtree" w:hAnsi="Figtree"/>
          <w:b/>
          <w:i w:val="0"/>
          <w:sz w:val="22"/>
        </w:rPr>
        <w:t>Implementation start (Q3 2026):</w:t>
      </w:r>
    </w:p>
    <w:p>
      <w:r>
        <w:rPr>
          <w:rFonts w:ascii="Figtree" w:hAnsi="Figtree"/>
          <w:b w:val="0"/>
          <w:i w:val="0"/>
          <w:sz w:val="22"/>
        </w:rPr>
        <w:t>Contract execution by end of June 2026 enables Q4 2026 go-live. SettleMint mobilizes delivery team within 5 business days of contract execution.</w:t>
      </w:r>
    </w:p>
    <w:p>
      <w:pPr>
        <w:pStyle w:val="H3"/>
        <w:numPr>
          <w:ilvl w:val="2"/>
          <w:numId w:val="1"/>
        </w:numPr>
      </w:pPr>
      <w:r>
        <w:t>Primary Contacts</w:t>
      </w:r>
    </w:p>
    <w:p>
      <w:r>
        <w:rPr>
          <w:rFonts w:ascii="Figtree" w:hAnsi="Figtree"/>
          <w:b/>
          <w:i w:val="0"/>
          <w:sz w:val="22"/>
        </w:rPr>
        <w:t>Executive Sponsor:</w:t>
      </w:r>
      <w:r>
        <w:rPr>
          <w:rFonts w:ascii="Figtree" w:hAnsi="Figtree"/>
          <w:b w:val="0"/>
          <w:i w:val="0"/>
          <w:sz w:val="22"/>
        </w:rPr>
        <w:t xml:space="preserve"> Available for escalation and executive engagement.</w:t>
      </w:r>
    </w:p>
    <w:p>
      <w:r>
        <w:rPr>
          <w:rFonts w:ascii="Figtree" w:hAnsi="Figtree"/>
          <w:b/>
          <w:i w:val="0"/>
          <w:sz w:val="22"/>
        </w:rPr>
        <w:t>Bid Lead:</w:t>
      </w:r>
      <w:r>
        <w:rPr>
          <w:rFonts w:ascii="Figtree" w:hAnsi="Figtree"/>
          <w:b w:val="0"/>
          <w:i w:val="0"/>
          <w:sz w:val="22"/>
        </w:rPr>
        <w:t xml:space="preserve"> Primary contact for clarifications, evaluation, and contract negotiation. Contact: bids@settlemint.com.</w:t>
      </w:r>
    </w:p>
    <w:p>
      <w:r>
        <w:rPr>
          <w:rFonts w:ascii="Figtree" w:hAnsi="Figtree"/>
          <w:b/>
          <w:i w:val="0"/>
          <w:sz w:val="22"/>
        </w:rPr>
        <w:t>Solution Architect:</w:t>
      </w:r>
      <w:r>
        <w:rPr>
          <w:rFonts w:ascii="Figtree" w:hAnsi="Figtree"/>
          <w:b w:val="0"/>
          <w:i w:val="0"/>
          <w:sz w:val="22"/>
        </w:rPr>
        <w:t xml:space="preserve"> Available for technical deep-dive sessions.</w:t>
      </w:r>
    </w:p>
    <w:p>
      <w:r>
        <w:br w:type="page"/>
      </w:r>
    </w:p>
    <w:p>
      <w:pPr>
        <w:pStyle w:val="H2"/>
        <w:numPr>
          <w:ilvl w:val="1"/>
          <w:numId w:val="1"/>
        </w:numPr>
      </w:pPr>
      <w:r>
        <w:t>Appendix: Commercial Assumptions and Dependencies Register</w:t>
      </w:r>
    </w:p>
    <w:p>
      <w:pPr>
        <w:pStyle w:val="H3"/>
        <w:numPr>
          <w:ilvl w:val="2"/>
          <w:numId w:val="1"/>
        </w:numPr>
      </w:pPr>
      <w:r>
        <w:t>Implementation Scope Assumptions</w:t>
      </w:r>
    </w:p>
    <w:p>
      <w:r>
        <w:rPr>
          <w:rFonts w:ascii="Figtree" w:hAnsi="Figtree"/>
          <w:b w:val="0"/>
          <w:i w:val="0"/>
          <w:sz w:val="22"/>
        </w:rPr>
        <w:t>Phase 1 covers EUR stablecoin merchant settlement on private Besu or Polygon PoS. GBP and USD stablecoin expansion is Phase 2 (separately scoped). Adjacent services (tokenized receivables, merchant bonds) are Phase 3 (separately scoped).</w:t>
      </w:r>
    </w:p>
    <w:p>
      <w:r>
        <w:rPr>
          <w:rFonts w:ascii="Figtree" w:hAnsi="Figtree"/>
          <w:b w:val="0"/>
          <w:i w:val="0"/>
          <w:sz w:val="22"/>
        </w:rPr>
        <w:t>Gateway API integration assumes documented REST API interface. Message queue integration (Kafka, RabbitMQ) increases effort and may require change request.</w:t>
      </w:r>
    </w:p>
    <w:p>
      <w:r>
        <w:rPr>
          <w:rFonts w:ascii="Figtree" w:hAnsi="Figtree"/>
          <w:b w:val="0"/>
          <w:i w:val="0"/>
          <w:sz w:val="22"/>
        </w:rPr>
        <w:t>Custody integration assumes Fireblocks or DFNS. Custom signer adapter required for unsupported custody provider.</w:t>
      </w:r>
    </w:p>
    <w:p>
      <w:r>
        <w:rPr>
          <w:rFonts w:ascii="Figtree" w:hAnsi="Figtree"/>
          <w:b w:val="0"/>
          <w:i w:val="0"/>
          <w:sz w:val="22"/>
        </w:rPr>
        <w:t>KYC/AML integration assumes OpenID Connect-compatible claim issuance API.</w:t>
      </w:r>
    </w:p>
    <w:p>
      <w:r>
        <w:rPr>
          <w:rFonts w:ascii="Figtree" w:hAnsi="Figtree"/>
          <w:b w:val="0"/>
          <w:i w:val="0"/>
          <w:sz w:val="22"/>
        </w:rPr>
        <w:t>Phase 1 merchant onboarding scope: batch workflow covers up to 10,000 merchants. Migration from existing merchant registry not included.</w:t>
      </w:r>
    </w:p>
    <w:p>
      <w:pPr>
        <w:pStyle w:val="H3"/>
        <w:numPr>
          <w:ilvl w:val="2"/>
          <w:numId w:val="1"/>
        </w:numPr>
      </w:pPr>
      <w:r>
        <w:t>Third-Party Dependencies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0"/>
        <w:gridCol w:w="2526"/>
        <w:gridCol w:w="1943"/>
        <w:gridCol w:w="1846"/>
        <w:gridCol w:w="71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Cost Estimate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r>
      <w:tr>
        <w:trPr>
          <w:trHeight w:val="425" w:hRule="atLeast"/>
        </w:trPr>
        <w:tc>
          <w:tcPr>
            <w:tcW w:type="dxa" w:w="1949"/>
            <w:vAlign w:val="center"/>
          </w:tcPr>
          <w:p>
            <w:pPr>
              <w:spacing w:line="276" w:lineRule="auto" w:before="0" w:after="0"/>
            </w:pPr>
            <w:r/>
            <w:r>
              <w:rPr>
                <w:rFonts w:ascii="Figtree" w:hAnsi="Figtree"/>
                <w:b w:val="0"/>
                <w:i w:val="0"/>
                <w:sz w:val="20"/>
              </w:rPr>
              <w:t>MPC Custody</w:t>
            </w:r>
          </w:p>
        </w:tc>
        <w:tc>
          <w:tcPr>
            <w:tcW w:type="dxa" w:w="1949"/>
            <w:vAlign w:val="center"/>
          </w:tcPr>
          <w:p>
            <w:pPr>
              <w:spacing w:line="276" w:lineRule="auto" w:before="0" w:after="0"/>
            </w:pPr>
            <w:r/>
            <w:r>
              <w:rPr>
                <w:rFonts w:ascii="Figtree" w:hAnsi="Figtree"/>
                <w:b w:val="0"/>
                <w:i w:val="0"/>
                <w:sz w:val="20"/>
              </w:rPr>
              <w:t>Fireblocks or DFNS</w:t>
            </w:r>
          </w:p>
        </w:tc>
        <w:tc>
          <w:tcPr>
            <w:tcW w:type="dxa" w:w="1949"/>
            <w:vAlign w:val="center"/>
          </w:tcPr>
          <w:p>
            <w:pPr>
              <w:spacing w:line="276" w:lineRule="auto" w:before="0" w:after="0"/>
            </w:pPr>
            <w:r/>
            <w:r>
              <w:rPr>
                <w:rFonts w:ascii="Figtree" w:hAnsi="Figtree"/>
                <w:b w:val="0"/>
                <w:i w:val="0"/>
                <w:sz w:val="20"/>
              </w:rPr>
              <w:t>EUR 30,000-80,000</w:t>
            </w:r>
          </w:p>
        </w:tc>
        <w:tc>
          <w:tcPr>
            <w:tcW w:type="dxa" w:w="1949"/>
            <w:vAlign w:val="center"/>
          </w:tcPr>
          <w:p>
            <w:pPr>
              <w:spacing w:line="276" w:lineRule="auto" w:before="0" w:after="0"/>
            </w:pPr>
            <w:r/>
            <w:r>
              <w:rPr>
                <w:rFonts w:ascii="Figtree" w:hAnsi="Figtree"/>
                <w:b w:val="0"/>
                <w:i w:val="0"/>
                <w:sz w:val="20"/>
              </w:rPr>
              <w:t>Checkout.com</w:t>
            </w:r>
          </w:p>
        </w:tc>
        <w:tc>
          <w:tcPr>
            <w:tcW w:type="dxa" w:w="1949"/>
            <w:vAlign w:val="center"/>
          </w:tcPr>
          <w:p>
            <w:pPr>
              <w:spacing w:line="276" w:lineRule="auto" w:before="0" w:after="0"/>
            </w:pPr>
            <w:r/>
            <w:r>
              <w:rPr>
                <w:rFonts w:ascii="Figtree" w:hAnsi="Figtree"/>
                <w:b w:val="0"/>
                <w:i w:val="0"/>
                <w:sz w:val="20"/>
              </w:rPr>
              <w:t>Medium</w:t>
            </w:r>
          </w:p>
        </w:tc>
      </w:tr>
      <w:tr>
        <w:trPr>
          <w:trHeight w:val="425" w:hRule="atLeast"/>
        </w:trPr>
        <w:tc>
          <w:tcPr>
            <w:tcW w:type="dxa" w:w="1949"/>
            <w:vAlign w:val="center"/>
          </w:tcPr>
          <w:p>
            <w:pPr>
              <w:spacing w:line="276" w:lineRule="auto" w:before="0" w:after="0"/>
            </w:pPr>
            <w:r/>
            <w:r>
              <w:rPr>
                <w:rFonts w:ascii="Figtree" w:hAnsi="Figtree"/>
                <w:b w:val="0"/>
                <w:i w:val="0"/>
                <w:sz w:val="20"/>
              </w:rPr>
              <w:t>Blockchain RPC</w:t>
            </w:r>
          </w:p>
        </w:tc>
        <w:tc>
          <w:tcPr>
            <w:tcW w:type="dxa" w:w="1949"/>
            <w:vAlign w:val="center"/>
          </w:tcPr>
          <w:p>
            <w:pPr>
              <w:spacing w:line="276" w:lineRule="auto" w:before="0" w:after="0"/>
            </w:pPr>
            <w:r/>
            <w:r>
              <w:rPr>
                <w:rFonts w:ascii="Figtree" w:hAnsi="Figtree"/>
                <w:b w:val="0"/>
                <w:i w:val="0"/>
                <w:sz w:val="20"/>
              </w:rPr>
              <w:t>Infura/Alchemy/QuickNode</w:t>
            </w:r>
          </w:p>
        </w:tc>
        <w:tc>
          <w:tcPr>
            <w:tcW w:type="dxa" w:w="1949"/>
            <w:vAlign w:val="center"/>
          </w:tcPr>
          <w:p>
            <w:pPr>
              <w:spacing w:line="276" w:lineRule="auto" w:before="0" w:after="0"/>
            </w:pPr>
            <w:r/>
            <w:r>
              <w:rPr>
                <w:rFonts w:ascii="Figtree" w:hAnsi="Figtree"/>
                <w:b w:val="0"/>
                <w:i w:val="0"/>
                <w:sz w:val="20"/>
              </w:rPr>
              <w:t>EUR 5,000-15,000</w:t>
            </w:r>
          </w:p>
        </w:tc>
        <w:tc>
          <w:tcPr>
            <w:tcW w:type="dxa" w:w="1949"/>
            <w:vAlign w:val="center"/>
          </w:tcPr>
          <w:p>
            <w:pPr>
              <w:spacing w:line="276" w:lineRule="auto" w:before="0" w:after="0"/>
            </w:pPr>
            <w:r/>
            <w:r>
              <w:rPr>
                <w:rFonts w:ascii="Figtree" w:hAnsi="Figtree"/>
                <w:b w:val="0"/>
                <w:i w:val="0"/>
                <w:sz w:val="20"/>
              </w:rPr>
              <w:t>Checkout.com (prod)</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Blockchain Validators</w:t>
            </w:r>
          </w:p>
        </w:tc>
        <w:tc>
          <w:tcPr>
            <w:tcW w:type="dxa" w:w="1949"/>
            <w:vAlign w:val="center"/>
          </w:tcPr>
          <w:p>
            <w:pPr>
              <w:spacing w:line="276" w:lineRule="auto" w:before="0" w:after="0"/>
            </w:pPr>
            <w:r/>
            <w:r>
              <w:rPr>
                <w:rFonts w:ascii="Figtree" w:hAnsi="Figtree"/>
                <w:b w:val="0"/>
                <w:i w:val="0"/>
                <w:sz w:val="20"/>
              </w:rPr>
              <w:t>Checkout.com-operated Besu</w:t>
            </w:r>
          </w:p>
        </w:tc>
        <w:tc>
          <w:tcPr>
            <w:tcW w:type="dxa" w:w="1949"/>
            <w:vAlign w:val="center"/>
          </w:tcPr>
          <w:p>
            <w:pPr>
              <w:spacing w:line="276" w:lineRule="auto" w:before="0" w:after="0"/>
            </w:pPr>
            <w:r/>
            <w:r>
              <w:rPr>
                <w:rFonts w:ascii="Figtree" w:hAnsi="Figtree"/>
                <w:b w:val="0"/>
                <w:i w:val="0"/>
                <w:sz w:val="20"/>
              </w:rPr>
              <w:t>EUR 10,000-20,000</w:t>
            </w:r>
          </w:p>
        </w:tc>
        <w:tc>
          <w:tcPr>
            <w:tcW w:type="dxa" w:w="1949"/>
            <w:vAlign w:val="center"/>
          </w:tcPr>
          <w:p>
            <w:pPr>
              <w:spacing w:line="276" w:lineRule="auto" w:before="0" w:after="0"/>
            </w:pPr>
            <w:r/>
            <w:r>
              <w:rPr>
                <w:rFonts w:ascii="Figtree" w:hAnsi="Figtree"/>
                <w:b w:val="0"/>
                <w:i w:val="0"/>
                <w:sz w:val="20"/>
              </w:rPr>
              <w:t>Checkout.com</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KYC/AML Provider</w:t>
            </w:r>
          </w:p>
        </w:tc>
        <w:tc>
          <w:tcPr>
            <w:tcW w:type="dxa" w:w="1949"/>
            <w:vAlign w:val="center"/>
          </w:tcPr>
          <w:p>
            <w:pPr>
              <w:spacing w:line="276" w:lineRule="auto" w:before="0" w:after="0"/>
            </w:pPr>
            <w:r/>
            <w:r>
              <w:rPr>
                <w:rFonts w:ascii="Figtree" w:hAnsi="Figtree"/>
                <w:b w:val="0"/>
                <w:i w:val="0"/>
                <w:sz w:val="20"/>
              </w:rPr>
              <w:t>Checkout.com's existing</w:t>
            </w:r>
          </w:p>
        </w:tc>
        <w:tc>
          <w:tcPr>
            <w:tcW w:type="dxa" w:w="1949"/>
            <w:vAlign w:val="center"/>
          </w:tcPr>
          <w:p>
            <w:pPr>
              <w:spacing w:line="276" w:lineRule="auto" w:before="0" w:after="0"/>
            </w:pPr>
            <w:r/>
            <w:r>
              <w:rPr>
                <w:rFonts w:ascii="Figtree" w:hAnsi="Figtree"/>
                <w:b w:val="0"/>
                <w:i w:val="0"/>
                <w:sz w:val="20"/>
              </w:rPr>
              <w:t>Existing contract</w:t>
            </w:r>
          </w:p>
        </w:tc>
        <w:tc>
          <w:tcPr>
            <w:tcW w:type="dxa" w:w="1949"/>
            <w:vAlign w:val="center"/>
          </w:tcPr>
          <w:p>
            <w:pPr>
              <w:spacing w:line="276" w:lineRule="auto" w:before="0" w:after="0"/>
            </w:pPr>
            <w:r/>
            <w:r>
              <w:rPr>
                <w:rFonts w:ascii="Figtree" w:hAnsi="Figtree"/>
                <w:b w:val="0"/>
                <w:i w:val="0"/>
                <w:sz w:val="20"/>
              </w:rPr>
              <w:t>Checkout.com</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Cloud Infrastructure</w:t>
            </w:r>
          </w:p>
        </w:tc>
        <w:tc>
          <w:tcPr>
            <w:tcW w:type="dxa" w:w="1949"/>
            <w:vAlign w:val="center"/>
          </w:tcPr>
          <w:p>
            <w:pPr>
              <w:spacing w:line="276" w:lineRule="auto" w:before="0" w:after="0"/>
            </w:pPr>
            <w:r/>
            <w:r>
              <w:rPr>
                <w:rFonts w:ascii="Figtree" w:hAnsi="Figtree"/>
                <w:b w:val="0"/>
                <w:i w:val="0"/>
                <w:sz w:val="20"/>
              </w:rPr>
              <w:t>AWS/Azure/GCP</w:t>
            </w:r>
          </w:p>
        </w:tc>
        <w:tc>
          <w:tcPr>
            <w:tcW w:type="dxa" w:w="1949"/>
            <w:vAlign w:val="center"/>
          </w:tcPr>
          <w:p>
            <w:pPr>
              <w:spacing w:line="276" w:lineRule="auto" w:before="0" w:after="0"/>
            </w:pPr>
            <w:r/>
            <w:r>
              <w:rPr>
                <w:rFonts w:ascii="Figtree" w:hAnsi="Figtree"/>
                <w:b w:val="0"/>
                <w:i w:val="0"/>
                <w:sz w:val="20"/>
              </w:rPr>
              <w:t>EUR 36,000-50,000</w:t>
            </w:r>
          </w:p>
        </w:tc>
        <w:tc>
          <w:tcPr>
            <w:tcW w:type="dxa" w:w="1949"/>
            <w:vAlign w:val="center"/>
          </w:tcPr>
          <w:p>
            <w:pPr>
              <w:spacing w:line="276" w:lineRule="auto" w:before="0" w:after="0"/>
            </w:pPr>
            <w:r/>
            <w:r>
              <w:rPr>
                <w:rFonts w:ascii="Figtree" w:hAnsi="Figtree"/>
                <w:b w:val="0"/>
                <w:i w:val="0"/>
                <w:sz w:val="20"/>
              </w:rPr>
              <w:t>Checkout.com</w:t>
            </w:r>
          </w:p>
        </w:tc>
        <w:tc>
          <w:tcPr>
            <w:tcW w:type="dxa" w:w="1949"/>
            <w:vAlign w:val="center"/>
          </w:tcPr>
          <w:p>
            <w:pPr>
              <w:spacing w:line="276" w:lineRule="auto" w:before="0" w:after="0"/>
            </w:pPr>
            <w:r/>
            <w:r>
              <w:rPr>
                <w:rFonts w:ascii="Figtree" w:hAnsi="Figtree"/>
                <w:b w:val="0"/>
                <w:i w:val="0"/>
                <w:sz w:val="20"/>
              </w:rPr>
              <w:t>Low</w:t>
            </w:r>
          </w:p>
        </w:tc>
      </w:tr>
    </w:tbl>
    <w:p>
      <w:pPr>
        <w:spacing w:before="0" w:after="0" w:line="120" w:lineRule="exact"/>
      </w:pPr>
    </w:p>
    <w:p>
      <w:pPr>
        <w:pStyle w:val="H3"/>
        <w:numPr>
          <w:ilvl w:val="2"/>
          <w:numId w:val="1"/>
        </w:numPr>
      </w:pPr>
      <w:r>
        <w:t>Volume Thresholds (Enterprise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76"/>
        <w:gridCol w:w="2073"/>
        <w:gridCol w:w="27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Overage</w:t>
            </w:r>
          </w:p>
        </w:tc>
      </w:tr>
      <w:tr>
        <w:trPr>
          <w:trHeight w:val="425" w:hRule="atLeast"/>
        </w:trPr>
        <w:tc>
          <w:tcPr>
            <w:tcW w:type="dxa" w:w="3249"/>
            <w:vAlign w:val="center"/>
          </w:tcPr>
          <w:p>
            <w:pPr>
              <w:spacing w:line="276" w:lineRule="auto" w:before="0" w:after="0"/>
            </w:pPr>
            <w:r/>
            <w:r>
              <w:rPr>
                <w:rFonts w:ascii="Figtree" w:hAnsi="Figtree"/>
                <w:b w:val="0"/>
                <w:i w:val="0"/>
                <w:sz w:val="20"/>
              </w:rPr>
              <w:t>Active token types</w:t>
            </w:r>
          </w:p>
        </w:tc>
        <w:tc>
          <w:tcPr>
            <w:tcW w:type="dxa" w:w="3249"/>
            <w:vAlign w:val="center"/>
          </w:tcPr>
          <w:p>
            <w:pPr>
              <w:spacing w:line="276" w:lineRule="auto" w:before="0" w:after="0"/>
            </w:pPr>
            <w:r/>
            <w:r>
              <w:rPr>
                <w:rFonts w:ascii="Figtree" w:hAnsi="Figtree"/>
                <w:b w:val="0"/>
                <w:i w:val="0"/>
                <w:sz w:val="20"/>
              </w:rPr>
              <w:t>Unlimited</w:t>
            </w:r>
          </w:p>
        </w:tc>
        <w:tc>
          <w:tcPr>
            <w:tcW w:type="dxa" w:w="3249"/>
            <w:vAlign w:val="center"/>
          </w:tcPr>
          <w:p>
            <w:pPr>
              <w:spacing w:line="276" w:lineRule="auto" w:before="0" w:after="0"/>
            </w:pPr>
            <w:r/>
            <w:r>
              <w:rPr>
                <w:rFonts w:ascii="Figtree" w:hAnsi="Figtree"/>
                <w:b w:val="0"/>
                <w:i w:val="0"/>
                <w:sz w:val="20"/>
              </w:rPr>
              <w:t>N/A</w:t>
            </w:r>
          </w:p>
        </w:tc>
      </w:tr>
      <w:tr>
        <w:trPr>
          <w:trHeight w:val="425" w:hRule="atLeast"/>
        </w:trPr>
        <w:tc>
          <w:tcPr>
            <w:tcW w:type="dxa" w:w="3249"/>
            <w:vAlign w:val="center"/>
          </w:tcPr>
          <w:p>
            <w:pPr>
              <w:spacing w:line="276" w:lineRule="auto" w:before="0" w:after="0"/>
            </w:pPr>
            <w:r/>
            <w:r>
              <w:rPr>
                <w:rFonts w:ascii="Figtree" w:hAnsi="Figtree"/>
                <w:b w:val="0"/>
                <w:i w:val="0"/>
                <w:sz w:val="20"/>
              </w:rPr>
              <w:t>Monthly on-chain transactions</w:t>
            </w:r>
          </w:p>
        </w:tc>
        <w:tc>
          <w:tcPr>
            <w:tcW w:type="dxa" w:w="3249"/>
            <w:vAlign w:val="center"/>
          </w:tcPr>
          <w:p>
            <w:pPr>
              <w:spacing w:line="276" w:lineRule="auto" w:before="0" w:after="0"/>
            </w:pPr>
            <w:r/>
            <w:r>
              <w:rPr>
                <w:rFonts w:ascii="Figtree" w:hAnsi="Figtree"/>
                <w:b w:val="0"/>
                <w:i w:val="0"/>
                <w:sz w:val="20"/>
              </w:rPr>
              <w:t>Up to 1,000,000</w:t>
            </w:r>
          </w:p>
        </w:tc>
        <w:tc>
          <w:tcPr>
            <w:tcW w:type="dxa" w:w="3249"/>
            <w:vAlign w:val="center"/>
          </w:tcPr>
          <w:p>
            <w:pPr>
              <w:spacing w:line="276" w:lineRule="auto" w:before="0" w:after="0"/>
            </w:pPr>
            <w:r/>
            <w:r>
              <w:rPr>
                <w:rFonts w:ascii="Figtree" w:hAnsi="Figtree"/>
                <w:b w:val="0"/>
                <w:i w:val="0"/>
                <w:sz w:val="20"/>
              </w:rPr>
              <w:t>Contact SettleMint</w:t>
            </w:r>
          </w:p>
        </w:tc>
      </w:tr>
      <w:tr>
        <w:trPr>
          <w:trHeight w:val="425" w:hRule="atLeast"/>
        </w:trPr>
        <w:tc>
          <w:tcPr>
            <w:tcW w:type="dxa" w:w="3249"/>
            <w:vAlign w:val="center"/>
          </w:tcPr>
          <w:p>
            <w:pPr>
              <w:spacing w:line="276" w:lineRule="auto" w:before="0" w:after="0"/>
            </w:pPr>
            <w:r/>
            <w:r>
              <w:rPr>
                <w:rFonts w:ascii="Figtree" w:hAnsi="Figtree"/>
                <w:b w:val="0"/>
                <w:i w:val="0"/>
                <w:sz w:val="20"/>
              </w:rPr>
              <w:t>Active merchant wallets</w:t>
            </w:r>
          </w:p>
        </w:tc>
        <w:tc>
          <w:tcPr>
            <w:tcW w:type="dxa" w:w="3249"/>
            <w:vAlign w:val="center"/>
          </w:tcPr>
          <w:p>
            <w:pPr>
              <w:spacing w:line="276" w:lineRule="auto" w:before="0" w:after="0"/>
            </w:pPr>
            <w:r/>
            <w:r>
              <w:rPr>
                <w:rFonts w:ascii="Figtree" w:hAnsi="Figtree"/>
                <w:b w:val="0"/>
                <w:i w:val="0"/>
                <w:sz w:val="20"/>
              </w:rPr>
              <w:t>Up to 100,000</w:t>
            </w:r>
          </w:p>
        </w:tc>
        <w:tc>
          <w:tcPr>
            <w:tcW w:type="dxa" w:w="3249"/>
            <w:vAlign w:val="center"/>
          </w:tcPr>
          <w:p>
            <w:pPr>
              <w:spacing w:line="276" w:lineRule="auto" w:before="0" w:after="0"/>
            </w:pPr>
            <w:r/>
            <w:r>
              <w:rPr>
                <w:rFonts w:ascii="Figtree" w:hAnsi="Figtree"/>
                <w:b w:val="0"/>
                <w:i w:val="0"/>
                <w:sz w:val="20"/>
              </w:rPr>
              <w:t>Contact SettleMint</w:t>
            </w:r>
          </w:p>
        </w:tc>
      </w:tr>
      <w:tr>
        <w:trPr>
          <w:trHeight w:val="425" w:hRule="atLeast"/>
        </w:trPr>
        <w:tc>
          <w:tcPr>
            <w:tcW w:type="dxa" w:w="3249"/>
            <w:vAlign w:val="center"/>
          </w:tcPr>
          <w:p>
            <w:pPr>
              <w:spacing w:line="276" w:lineRule="auto" w:before="0" w:after="0"/>
            </w:pPr>
            <w:r/>
            <w:r>
              <w:rPr>
                <w:rFonts w:ascii="Figtree" w:hAnsi="Figtree"/>
                <w:b w:val="0"/>
                <w:i w:val="0"/>
                <w:sz w:val="20"/>
              </w:rPr>
              <w:t>API requests (monthly)</w:t>
            </w:r>
          </w:p>
        </w:tc>
        <w:tc>
          <w:tcPr>
            <w:tcW w:type="dxa" w:w="3249"/>
            <w:vAlign w:val="center"/>
          </w:tcPr>
          <w:p>
            <w:pPr>
              <w:spacing w:line="276" w:lineRule="auto" w:before="0" w:after="0"/>
            </w:pPr>
            <w:r/>
            <w:r>
              <w:rPr>
                <w:rFonts w:ascii="Figtree" w:hAnsi="Figtree"/>
                <w:b w:val="0"/>
                <w:i w:val="0"/>
                <w:sz w:val="20"/>
              </w:rPr>
              <w:t>Up to 50,000,000</w:t>
            </w:r>
          </w:p>
        </w:tc>
        <w:tc>
          <w:tcPr>
            <w:tcW w:type="dxa" w:w="3249"/>
            <w:vAlign w:val="center"/>
          </w:tcPr>
          <w:p>
            <w:pPr>
              <w:spacing w:line="276" w:lineRule="auto" w:before="0" w:after="0"/>
            </w:pPr>
            <w:r/>
            <w:r>
              <w:rPr>
                <w:rFonts w:ascii="Figtree" w:hAnsi="Figtree"/>
                <w:b w:val="0"/>
                <w:i w:val="0"/>
                <w:sz w:val="20"/>
              </w:rPr>
              <w:t>EUR 0.01 per 1,000</w:t>
            </w:r>
          </w:p>
        </w:tc>
      </w:tr>
      <w:tr>
        <w:trPr>
          <w:trHeight w:val="425" w:hRule="atLeast"/>
        </w:trPr>
        <w:tc>
          <w:tcPr>
            <w:tcW w:type="dxa" w:w="3249"/>
            <w:vAlign w:val="center"/>
          </w:tcPr>
          <w:p>
            <w:pPr>
              <w:spacing w:line="276" w:lineRule="auto" w:before="0" w:after="0"/>
            </w:pPr>
            <w:r/>
            <w:r>
              <w:rPr>
                <w:rFonts w:ascii="Figtree" w:hAnsi="Figtree"/>
                <w:b w:val="0"/>
                <w:i w:val="0"/>
                <w:sz w:val="20"/>
              </w:rPr>
              <w:t>Data storage (indexed PostgreSQL)</w:t>
            </w:r>
          </w:p>
        </w:tc>
        <w:tc>
          <w:tcPr>
            <w:tcW w:type="dxa" w:w="3249"/>
            <w:vAlign w:val="center"/>
          </w:tcPr>
          <w:p>
            <w:pPr>
              <w:spacing w:line="276" w:lineRule="auto" w:before="0" w:after="0"/>
            </w:pPr>
            <w:r/>
            <w:r>
              <w:rPr>
                <w:rFonts w:ascii="Figtree" w:hAnsi="Figtree"/>
                <w:b w:val="0"/>
                <w:i w:val="0"/>
                <w:sz w:val="20"/>
              </w:rPr>
              <w:t>Up to 500 GB</w:t>
            </w:r>
          </w:p>
        </w:tc>
        <w:tc>
          <w:tcPr>
            <w:tcW w:type="dxa" w:w="3249"/>
            <w:vAlign w:val="center"/>
          </w:tcPr>
          <w:p>
            <w:pPr>
              <w:spacing w:line="276" w:lineRule="auto" w:before="0" w:after="0"/>
            </w:pPr>
            <w:r/>
            <w:r>
              <w:rPr>
                <w:rFonts w:ascii="Figtree" w:hAnsi="Figtree"/>
                <w:b w:val="0"/>
                <w:i w:val="0"/>
                <w:sz w:val="20"/>
              </w:rPr>
              <w:t>EUR 0.10 per GB/month</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