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Commercial Decision Framework</w:t>
          </w:r>
          <w:r>
            <w:tab/>
          </w:r>
          <w:r>
            <w:t xml:space="preserve">5</w:t>
          </w:r>
        </w:p>
        <w:p>
          <w:pPr>
            <w:pStyle w:val="TOC3"/>
            <w:tabs>
              <w:tab w:val="right" w:leader="dot" w:pos="9072"/>
            </w:tabs>
          </w:pPr>
          <w:r>
            <w:t xml:space="preserve">Build vs. Buy</w:t>
          </w:r>
          <w:r>
            <w:tab/>
          </w:r>
          <w:r>
            <w:t xml:space="preserve">6</w:t>
          </w:r>
        </w:p>
        <w:p>
          <w:pPr>
            <w:pStyle w:val="TOC3"/>
            <w:tabs>
              <w:tab w:val="right" w:leader="dot" w:pos="9072"/>
            </w:tabs>
          </w:pPr>
          <w:r>
            <w:t xml:space="preserve">Revenue Opportunity</w:t>
          </w:r>
          <w:r>
            <w:tab/>
          </w:r>
          <w:r>
            <w:t xml:space="preserve">7</w:t>
          </w:r>
        </w:p>
        <w:p>
          <w:pPr>
            <w:pStyle w:val="TOC2"/>
            <w:tabs>
              <w:tab w:val="right" w:leader="dot" w:pos="9072"/>
            </w:tabs>
          </w:pPr>
          <w:r>
            <w:t xml:space="preserve">Licensing Model</w:t>
          </w:r>
          <w:r>
            <w:tab/>
          </w:r>
          <w:r>
            <w:t xml:space="preserve">8</w:t>
          </w:r>
        </w:p>
        <w:p>
          <w:pPr>
            <w:pStyle w:val="TOC3"/>
            <w:tabs>
              <w:tab w:val="right" w:leader="dot" w:pos="9072"/>
            </w:tabs>
          </w:pPr>
          <w:r>
            <w:t xml:space="preserve">License Structure</w:t>
          </w:r>
          <w:r>
            <w:tab/>
          </w:r>
          <w:r>
            <w:t xml:space="preserve">9</w:t>
          </w:r>
        </w:p>
        <w:p>
          <w:pPr>
            <w:pStyle w:val="TOC3"/>
            <w:tabs>
              <w:tab w:val="right" w:leader="dot" w:pos="9072"/>
            </w:tabs>
          </w:pPr>
          <w:r>
            <w:t xml:space="preserve">What the License Includes</w:t>
          </w:r>
          <w:r>
            <w:tab/>
          </w:r>
          <w:r>
            <w:t xml:space="preserve">10</w:t>
          </w:r>
        </w:p>
        <w:p>
          <w:pPr>
            <w:pStyle w:val="TOC3"/>
            <w:tabs>
              <w:tab w:val="right" w:leader="dot" w:pos="9072"/>
            </w:tabs>
          </w:pPr>
          <w:r>
            <w:t xml:space="preserve">Multi-Tenant BaaS Model</w:t>
          </w:r>
          <w:r>
            <w:tab/>
          </w:r>
          <w:r>
            <w:t xml:space="preserve">11</w:t>
          </w:r>
        </w:p>
        <w:p>
          <w:pPr>
            <w:pStyle w:val="TOC2"/>
            <w:tabs>
              <w:tab w:val="right" w:leader="dot" w:pos="9072"/>
            </w:tabs>
          </w:pPr>
          <w:r>
            <w:t xml:space="preserve">Pricing Structure</w:t>
          </w:r>
          <w:r>
            <w:tab/>
          </w:r>
          <w:r>
            <w:t xml:space="preserve">12</w:t>
          </w:r>
        </w:p>
        <w:p>
          <w:pPr>
            <w:pStyle w:val="TOC3"/>
            <w:tabs>
              <w:tab w:val="right" w:leader="dot" w:pos="9072"/>
            </w:tabs>
          </w:pPr>
          <w:r>
            <w:t xml:space="preserve">Infrastructure Costs</w:t>
          </w:r>
          <w:r>
            <w:tab/>
          </w:r>
          <w:r>
            <w:t xml:space="preserve">13</w:t>
          </w:r>
        </w:p>
        <w:p>
          <w:pPr>
            <w:pStyle w:val="TOC2"/>
            <w:tabs>
              <w:tab w:val="right" w:leader="dot" w:pos="9072"/>
            </w:tabs>
          </w:pPr>
          <w:r>
            <w:t xml:space="preserve">Implementation Costs</w:t>
          </w:r>
          <w:r>
            <w:tab/>
          </w:r>
          <w:r>
            <w:t xml:space="preserve">14</w:t>
          </w:r>
        </w:p>
        <w:p>
          <w:pPr>
            <w:pStyle w:val="TOC2"/>
            <w:tabs>
              <w:tab w:val="right" w:leader="dot" w:pos="9072"/>
            </w:tabs>
          </w:pPr>
          <w:r>
            <w:t xml:space="preserve">Support and Maintenance</w:t>
          </w:r>
          <w:r>
            <w:tab/>
          </w:r>
          <w:r>
            <w:t xml:space="preserve">15</w:t>
          </w:r>
        </w:p>
        <w:p>
          <w:pPr>
            <w:pStyle w:val="TOC2"/>
            <w:tabs>
              <w:tab w:val="right" w:leader="dot" w:pos="9072"/>
            </w:tabs>
          </w:pPr>
          <w:r>
            <w:t xml:space="preserve">Total Cost of Ownership</w:t>
          </w:r>
          <w:r>
            <w:tab/>
          </w:r>
          <w:r>
            <w:t xml:space="preserve">16</w:t>
          </w:r>
        </w:p>
        <w:p>
          <w:pPr>
            <w:pStyle w:val="TOC3"/>
            <w:tabs>
              <w:tab w:val="right" w:leader="dot" w:pos="9072"/>
            </w:tabs>
          </w:pPr>
          <w:r>
            <w:t xml:space="preserve">Five-Year TCO</w:t>
          </w:r>
          <w:r>
            <w:tab/>
          </w:r>
          <w:r>
            <w:t xml:space="preserve">17</w:t>
          </w:r>
        </w:p>
        <w:p>
          <w:pPr>
            <w:pStyle w:val="TOC2"/>
            <w:tabs>
              <w:tab w:val="right" w:leader="dot" w:pos="9072"/>
            </w:tabs>
          </w:pPr>
          <w:r>
            <w:t xml:space="preserve">ROI Framework</w:t>
          </w:r>
          <w:r>
            <w:tab/>
          </w:r>
          <w:r>
            <w:t xml:space="preserve">18</w:t>
          </w:r>
        </w:p>
        <w:p>
          <w:pPr>
            <w:pStyle w:val="TOC3"/>
            <w:tabs>
              <w:tab w:val="right" w:leader="dot" w:pos="9072"/>
            </w:tabs>
          </w:pPr>
          <w:r>
            <w:t xml:space="preserve">Direct Revenue</w:t>
          </w:r>
          <w:r>
            <w:tab/>
          </w:r>
          <w:r>
            <w:t xml:space="preserve">19</w:t>
          </w:r>
        </w:p>
        <w:p>
          <w:pPr>
            <w:pStyle w:val="TOC3"/>
            <w:tabs>
              <w:tab w:val="right" w:leader="dot" w:pos="9072"/>
            </w:tabs>
          </w:pPr>
          <w:r>
            <w:t xml:space="preserve">Cost Avoidance</w:t>
          </w:r>
          <w:r>
            <w:tab/>
          </w:r>
          <w:r>
            <w:t xml:space="preserve">20</w:t>
          </w:r>
        </w:p>
        <w:p>
          <w:pPr>
            <w:pStyle w:val="TOC3"/>
            <w:tabs>
              <w:tab w:val="right" w:leader="dot" w:pos="9072"/>
            </w:tabs>
          </w:pPr>
          <w:r>
            <w:t xml:space="preserve">Strategic Value</w:t>
          </w:r>
          <w:r>
            <w:tab/>
          </w:r>
          <w:r>
            <w:t xml:space="preserve">21</w:t>
          </w:r>
        </w:p>
        <w:p>
          <w:pPr>
            <w:pStyle w:val="TOC2"/>
            <w:tabs>
              <w:tab w:val="right" w:leader="dot" w:pos="9072"/>
            </w:tabs>
          </w:pPr>
          <w:r>
            <w:t xml:space="preserve">Payment Terms</w:t>
          </w:r>
          <w:r>
            <w:tab/>
          </w:r>
          <w:r>
            <w:t xml:space="preserve">22</w:t>
          </w:r>
        </w:p>
        <w:p>
          <w:pPr>
            <w:pStyle w:val="TOC2"/>
            <w:tabs>
              <w:tab w:val="right" w:leader="dot" w:pos="9072"/>
            </w:tabs>
          </w:pPr>
          <w:r>
            <w:t xml:space="preserve">Contract Structure</w:t>
          </w:r>
          <w:r>
            <w:tab/>
          </w:r>
          <w:r>
            <w:t xml:space="preserve">23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for BaaS Digital Asset Module  </w:t>
      </w:r>
    </w:p>
    <w:p>
      <w:r>
        <w:rPr>
          <w:rFonts w:ascii="Figtree" w:hAnsi="Figtree"/>
          <w:b/>
          <w:i w:val="0"/>
          <w:sz w:val="22"/>
        </w:rPr>
        <w:t>Client:</w:t>
      </w:r>
      <w:r>
        <w:rPr>
          <w:rFonts w:ascii="Figtree" w:hAnsi="Figtree"/>
          <w:b w:val="0"/>
          <w:i w:val="0"/>
          <w:sz w:val="22"/>
        </w:rPr>
        <w:t xml:space="preserve"> Solarisbank (Germany)  </w:t>
      </w:r>
    </w:p>
    <w:p>
      <w:r>
        <w:rPr>
          <w:rFonts w:ascii="Figtree" w:hAnsi="Figtree"/>
          <w:b/>
          <w:i w:val="0"/>
          <w:sz w:val="22"/>
        </w:rPr>
        <w:t>Reference:</w:t>
      </w:r>
      <w:r>
        <w:rPr>
          <w:rFonts w:ascii="Figtree" w:hAnsi="Figtree"/>
          <w:b w:val="0"/>
          <w:i w:val="0"/>
          <w:sz w:val="22"/>
        </w:rPr>
        <w:t xml:space="preserve"> SOLARISBANK-RFP-BAAS-DIGITAL-ASSET-MODULE-202603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Decision Framework</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ROI Framework</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Contract Structure</w:t>
      </w:r>
    </w:p>
    <w:p>
      <w:r>
        <w:br w:type="page"/>
      </w:r>
    </w:p>
    <w:p>
      <w:pPr>
        <w:pStyle w:val="H2"/>
        <w:numPr>
          <w:ilvl w:val="1"/>
          <w:numId w:val="1"/>
        </w:numPr>
      </w:pPr>
      <w:r>
        <w:t>Executive Summary</w:t>
      </w:r>
    </w:p>
    <w:p>
      <w:r>
        <w:rPr>
          <w:rFonts w:ascii="Figtree" w:hAnsi="Figtree"/>
          <w:b w:val="0"/>
          <w:i w:val="0"/>
          <w:sz w:val="22"/>
        </w:rPr>
        <w:t>Solarisbank's B2B clients increasingly demand digital asset capabilities: tokenization, custody, and settlement services integrated into the banking-as-a-service platform. Building these capabilities internally requires specialized engineering, regulatory licensing, and operational expertise that distracts from Solarisbank's core BaaS value proposition.</w:t>
      </w:r>
    </w:p>
    <w:p>
      <w:r>
        <w:rPr>
          <w:rFonts w:ascii="Figtree" w:hAnsi="Figtree"/>
          <w:b w:val="0"/>
          <w:i w:val="0"/>
          <w:sz w:val="22"/>
        </w:rPr>
        <w:t>DALP provides the digital asset module as an integrated component of the existing BaaS infrastructure. The module exposes tokenization, compliance, custody, and settlement through the same API gateway that Solarisbank's B2B clients already use for banking services. No new integration patterns, no separate operational dashboards, no fragmented regulatory 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8"/>
        <w:gridCol w:w="36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i w:val="0"/>
                <w:sz w:val="20"/>
              </w:rPr>
              <w:t>Total Platform License</w:t>
            </w:r>
          </w:p>
        </w:tc>
        <w:tc>
          <w:tcPr>
            <w:tcW w:type="dxa" w:w="4873"/>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r>
        <w:rPr>
          <w:rFonts w:ascii="Figtree" w:hAnsi="Figtree"/>
          <w:b w:val="0"/>
          <w:i w:val="0"/>
          <w:sz w:val="22"/>
        </w:rPr>
        <w:t>At Solarisbank's scale, the platform cost represents a rounding error relative to the revenue opportunity from B2B clients paying for digital asset modules as part of their BaaS engagement.</w:t>
      </w:r>
    </w:p>
    <w:p>
      <w:r>
        <w:br w:type="page"/>
      </w:r>
    </w:p>
    <w:p>
      <w:pPr>
        <w:pStyle w:val="H2"/>
        <w:numPr>
          <w:ilvl w:val="1"/>
          <w:numId w:val="1"/>
        </w:numPr>
      </w:pPr>
      <w:r>
        <w:t>Commercial Decision Framework</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7"/>
        <w:gridCol w:w="1838"/>
        <w:gridCol w:w="40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Module</w:t>
            </w:r>
          </w:p>
        </w:tc>
      </w:tr>
      <w:tr>
        <w:trPr>
          <w:trHeight w:val="425" w:hRule="atLeast"/>
        </w:trPr>
        <w:tc>
          <w:tcPr>
            <w:tcW w:type="dxa" w:w="3249"/>
            <w:vAlign w:val="center"/>
          </w:tcPr>
          <w:p>
            <w:pPr>
              <w:spacing w:line="276" w:lineRule="auto" w:before="0" w:after="0"/>
            </w:pPr>
            <w:r/>
            <w:r>
              <w:rPr>
                <w:rFonts w:ascii="Figtree" w:hAnsi="Figtree"/>
                <w:b w:val="0"/>
                <w:i w:val="0"/>
                <w:sz w:val="20"/>
              </w:rPr>
              <w:t>Time to market</w:t>
            </w:r>
          </w:p>
        </w:tc>
        <w:tc>
          <w:tcPr>
            <w:tcW w:type="dxa" w:w="3249"/>
            <w:vAlign w:val="center"/>
          </w:tcPr>
          <w:p>
            <w:pPr>
              <w:spacing w:line="276" w:lineRule="auto" w:before="0" w:after="0"/>
            </w:pPr>
            <w:r/>
            <w:r>
              <w:rPr>
                <w:rFonts w:ascii="Figtree" w:hAnsi="Figtree"/>
                <w:b w:val="0"/>
                <w:i w:val="0"/>
                <w:sz w:val="20"/>
              </w:rPr>
              <w:t>18-30 months</w:t>
            </w:r>
          </w:p>
        </w:tc>
        <w:tc>
          <w:tcPr>
            <w:tcW w:type="dxa" w:w="3249"/>
            <w:vAlign w:val="center"/>
          </w:tcPr>
          <w:p>
            <w:pPr>
              <w:spacing w:line="276" w:lineRule="auto" w:before="0" w:after="0"/>
            </w:pPr>
            <w:r/>
            <w:r>
              <w:rPr>
                <w:rFonts w:ascii="Figtree" w:hAnsi="Figtree"/>
                <w:b w:val="0"/>
                <w:i w:val="0"/>
                <w:sz w:val="20"/>
              </w:rPr>
              <w:t>6 months</w:t>
            </w:r>
          </w:p>
        </w:tc>
      </w:tr>
      <w:tr>
        <w:trPr>
          <w:trHeight w:val="425" w:hRule="atLeast"/>
        </w:trPr>
        <w:tc>
          <w:tcPr>
            <w:tcW w:type="dxa" w:w="3249"/>
            <w:vAlign w:val="center"/>
          </w:tcPr>
          <w:p>
            <w:pPr>
              <w:spacing w:line="276" w:lineRule="auto" w:before="0" w:after="0"/>
            </w:pPr>
            <w:r/>
            <w:r>
              <w:rPr>
                <w:rFonts w:ascii="Figtree" w:hAnsi="Figtree"/>
                <w:b w:val="0"/>
                <w:i w:val="0"/>
                <w:sz w:val="20"/>
              </w:rPr>
              <w:t>Engineering investment</w:t>
            </w:r>
          </w:p>
        </w:tc>
        <w:tc>
          <w:tcPr>
            <w:tcW w:type="dxa" w:w="3249"/>
            <w:vAlign w:val="center"/>
          </w:tcPr>
          <w:p>
            <w:pPr>
              <w:spacing w:line="276" w:lineRule="auto" w:before="0" w:after="0"/>
            </w:pPr>
            <w:r/>
            <w:r>
              <w:rPr>
                <w:rFonts w:ascii="Figtree" w:hAnsi="Figtree"/>
                <w:b w:val="0"/>
                <w:i w:val="0"/>
                <w:sz w:val="20"/>
              </w:rPr>
              <w:t>12-20 engineers</w:t>
            </w:r>
          </w:p>
        </w:tc>
        <w:tc>
          <w:tcPr>
            <w:tcW w:type="dxa" w:w="3249"/>
            <w:vAlign w:val="center"/>
          </w:tcPr>
          <w:p>
            <w:pPr>
              <w:spacing w:line="276" w:lineRule="auto" w:before="0" w:after="0"/>
            </w:pPr>
            <w:r/>
            <w:r>
              <w:rPr>
                <w:rFonts w:ascii="Figtree" w:hAnsi="Figtree"/>
                <w:b w:val="0"/>
                <w:i w:val="0"/>
                <w:sz w:val="20"/>
              </w:rPr>
              <w:t>Existing team + SettleMint</w:t>
            </w:r>
          </w:p>
        </w:tc>
      </w:tr>
      <w:tr>
        <w:trPr>
          <w:trHeight w:val="425" w:hRule="atLeast"/>
        </w:trPr>
        <w:tc>
          <w:tcPr>
            <w:tcW w:type="dxa" w:w="3249"/>
            <w:vAlign w:val="center"/>
          </w:tcPr>
          <w:p>
            <w:pPr>
              <w:spacing w:line="276" w:lineRule="auto" w:before="0" w:after="0"/>
            </w:pPr>
            <w:r/>
            <w:r>
              <w:rPr>
                <w:rFonts w:ascii="Figtree" w:hAnsi="Figtree"/>
                <w:b w:val="0"/>
                <w:i w:val="0"/>
                <w:sz w:val="20"/>
              </w:rPr>
              <w:t>BaFin regulatory alignment</w:t>
            </w:r>
          </w:p>
        </w:tc>
        <w:tc>
          <w:tcPr>
            <w:tcW w:type="dxa" w:w="3249"/>
            <w:vAlign w:val="center"/>
          </w:tcPr>
          <w:p>
            <w:pPr>
              <w:spacing w:line="276" w:lineRule="auto" w:before="0" w:after="0"/>
            </w:pPr>
            <w:r/>
            <w:r>
              <w:rPr>
                <w:rFonts w:ascii="Figtree" w:hAnsi="Figtree"/>
                <w:b w:val="0"/>
                <w:i w:val="0"/>
                <w:sz w:val="20"/>
              </w:rPr>
              <w:t>New application</w:t>
            </w:r>
          </w:p>
        </w:tc>
        <w:tc>
          <w:tcPr>
            <w:tcW w:type="dxa" w:w="3249"/>
            <w:vAlign w:val="center"/>
          </w:tcPr>
          <w:p>
            <w:pPr>
              <w:spacing w:line="276" w:lineRule="auto" w:before="0" w:after="0"/>
            </w:pPr>
            <w:r/>
            <w:r>
              <w:rPr>
                <w:rFonts w:ascii="Figtree" w:hAnsi="Figtree"/>
                <w:b w:val="0"/>
                <w:i w:val="0"/>
                <w:sz w:val="20"/>
              </w:rPr>
              <w:t>Pre-validated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preparation</w:t>
            </w:r>
          </w:p>
        </w:tc>
        <w:tc>
          <w:tcPr>
            <w:tcW w:type="dxa" w:w="3249"/>
            <w:vAlign w:val="center"/>
          </w:tcPr>
          <w:p>
            <w:pPr>
              <w:spacing w:line="276" w:lineRule="auto" w:before="0" w:after="0"/>
            </w:pPr>
            <w:r/>
            <w:r>
              <w:rPr>
                <w:rFonts w:ascii="Figtree" w:hAnsi="Figtree"/>
                <w:b w:val="0"/>
                <w:i w:val="0"/>
                <w:sz w:val="20"/>
              </w:rPr>
              <w:t>From scratch</w:t>
            </w:r>
          </w:p>
        </w:tc>
        <w:tc>
          <w:tcPr>
            <w:tcW w:type="dxa" w:w="3249"/>
            <w:vAlign w:val="center"/>
          </w:tcPr>
          <w:p>
            <w:pPr>
              <w:spacing w:line="276" w:lineRule="auto" w:before="0" w:after="0"/>
            </w:pPr>
            <w:r/>
            <w:r>
              <w:rPr>
                <w:rFonts w:ascii="Figtree" w:hAnsi="Figtree"/>
                <w:b w:val="0"/>
                <w:i w:val="0"/>
                <w:sz w:val="20"/>
              </w:rPr>
              <w:t>Pre-configured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overhead</w:t>
            </w:r>
          </w:p>
        </w:tc>
        <w:tc>
          <w:tcPr>
            <w:tcW w:type="dxa" w:w="3249"/>
            <w:vAlign w:val="center"/>
          </w:tcPr>
          <w:p>
            <w:pPr>
              <w:spacing w:line="276" w:lineRule="auto" w:before="0" w:after="0"/>
            </w:pPr>
            <w:r/>
            <w:r>
              <w:rPr>
                <w:rFonts w:ascii="Figtree" w:hAnsi="Figtree"/>
                <w:b w:val="0"/>
                <w:i w:val="0"/>
                <w:sz w:val="20"/>
              </w:rPr>
              <w:t>New team</w:t>
            </w:r>
          </w:p>
        </w:tc>
        <w:tc>
          <w:tcPr>
            <w:tcW w:type="dxa" w:w="3249"/>
            <w:vAlign w:val="center"/>
          </w:tcPr>
          <w:p>
            <w:pPr>
              <w:spacing w:line="276" w:lineRule="auto" w:before="0" w:after="0"/>
            </w:pPr>
            <w:r/>
            <w:r>
              <w:rPr>
                <w:rFonts w:ascii="Figtree" w:hAnsi="Figtree"/>
                <w:b w:val="0"/>
                <w:i w:val="0"/>
                <w:sz w:val="20"/>
              </w:rPr>
              <w:t>Integrated into existing BaaS ops</w:t>
            </w:r>
          </w:p>
        </w:tc>
      </w:tr>
      <w:tr>
        <w:trPr>
          <w:trHeight w:val="425" w:hRule="atLeast"/>
        </w:trPr>
        <w:tc>
          <w:tcPr>
            <w:tcW w:type="dxa" w:w="3249"/>
            <w:vAlign w:val="center"/>
          </w:tcPr>
          <w:p>
            <w:pPr>
              <w:spacing w:line="276" w:lineRule="auto" w:before="0" w:after="0"/>
            </w:pPr>
            <w:r/>
            <w:r>
              <w:rPr>
                <w:rFonts w:ascii="Figtree" w:hAnsi="Figtree"/>
                <w:b w:val="0"/>
                <w:i w:val="0"/>
                <w:sz w:val="20"/>
              </w:rPr>
              <w:t>5-year TCO</w:t>
            </w:r>
          </w:p>
        </w:tc>
        <w:tc>
          <w:tcPr>
            <w:tcW w:type="dxa" w:w="3249"/>
            <w:vAlign w:val="center"/>
          </w:tcPr>
          <w:p>
            <w:pPr>
              <w:spacing w:line="276" w:lineRule="auto" w:before="0" w:after="0"/>
            </w:pPr>
            <w:r/>
            <w:r>
              <w:rPr>
                <w:rFonts w:ascii="Figtree" w:hAnsi="Figtree"/>
                <w:b w:val="0"/>
                <w:i w:val="0"/>
                <w:sz w:val="20"/>
              </w:rPr>
              <w:t>€8M-€15M</w:t>
            </w:r>
          </w:p>
        </w:tc>
        <w:tc>
          <w:tcPr>
            <w:tcW w:type="dxa" w:w="3249"/>
            <w:vAlign w:val="center"/>
          </w:tcPr>
          <w:p>
            <w:pPr>
              <w:spacing w:line="276" w:lineRule="auto" w:before="0" w:after="0"/>
            </w:pPr>
            <w:r/>
            <w:r>
              <w:rPr>
                <w:rFonts w:ascii="Figtree" w:hAnsi="Figtree"/>
                <w:b w:val="0"/>
                <w:i w:val="0"/>
                <w:sz w:val="20"/>
              </w:rPr>
              <w:t>€2.1M-€2.8M</w:t>
            </w:r>
          </w:p>
        </w:tc>
      </w:tr>
    </w:tbl>
    <w:p>
      <w:pPr>
        <w:spacing w:before="0" w:after="0" w:line="120" w:lineRule="exact"/>
      </w:pPr>
    </w:p>
    <w:p>
      <w:pPr>
        <w:pStyle w:val="H3"/>
        <w:numPr>
          <w:ilvl w:val="2"/>
          <w:numId w:val="1"/>
        </w:numPr>
      </w:pPr>
      <w:r>
        <w:t>Revenue Opportunity</w:t>
      </w:r>
    </w:p>
    <w:p>
      <w:r>
        <w:rPr>
          <w:rFonts w:ascii="Figtree" w:hAnsi="Figtree"/>
          <w:b w:val="0"/>
          <w:i w:val="0"/>
          <w:sz w:val="22"/>
        </w:rPr>
        <w:t>B2B clients paying for digital asset modules:</w:t>
      </w:r>
    </w:p>
    <w:p>
      <w:pPr>
        <w:pStyle w:val="ListParagraph"/>
        <w:numPr>
          <w:ilvl w:val="0"/>
          <w:numId w:val="4"/>
        </w:numPr>
      </w:pPr>
      <w:r>
        <w:rPr>
          <w:rFonts w:ascii="Figtree" w:hAnsi="Figtree"/>
          <w:b/>
          <w:i w:val="0"/>
          <w:sz w:val="22"/>
        </w:rPr>
        <w:t>Module pricing:</w:t>
      </w:r>
      <w:r>
        <w:rPr>
          <w:rFonts w:ascii="Figtree" w:hAnsi="Figtree"/>
          <w:b w:val="0"/>
          <w:i w:val="0"/>
          <w:sz w:val="22"/>
        </w:rPr>
        <w:t xml:space="preserve"> €5,000-€25,000/month per B2B client depending on volume</w:t>
      </w:r>
    </w:p>
    <w:p>
      <w:pPr>
        <w:pStyle w:val="ListParagraph"/>
        <w:numPr>
          <w:ilvl w:val="0"/>
          <w:numId w:val="4"/>
        </w:numPr>
      </w:pPr>
      <w:r>
        <w:rPr>
          <w:rFonts w:ascii="Figtree" w:hAnsi="Figtree"/>
          <w:b/>
          <w:i w:val="0"/>
          <w:sz w:val="22"/>
        </w:rPr>
        <w:t>Custody pass-through:</w:t>
      </w:r>
      <w:r>
        <w:rPr>
          <w:rFonts w:ascii="Figtree" w:hAnsi="Figtree"/>
          <w:b w:val="0"/>
          <w:i w:val="0"/>
          <w:sz w:val="22"/>
        </w:rPr>
        <w:t xml:space="preserve"> Margin on custody fees</w:t>
      </w:r>
    </w:p>
    <w:p>
      <w:pPr>
        <w:pStyle w:val="ListParagraph"/>
        <w:numPr>
          <w:ilvl w:val="0"/>
          <w:numId w:val="4"/>
        </w:numPr>
      </w:pPr>
      <w:r>
        <w:rPr>
          <w:rFonts w:ascii="Figtree" w:hAnsi="Figtree"/>
          <w:b/>
          <w:i w:val="0"/>
          <w:sz w:val="22"/>
        </w:rPr>
        <w:t>Issuance fees:</w:t>
      </w:r>
      <w:r>
        <w:rPr>
          <w:rFonts w:ascii="Figtree" w:hAnsi="Figtree"/>
          <w:b w:val="0"/>
          <w:i w:val="0"/>
          <w:sz w:val="22"/>
        </w:rPr>
        <w:t xml:space="preserve"> Fee per token issuance transaction</w:t>
      </w:r>
    </w:p>
    <w:p>
      <w:pPr>
        <w:pStyle w:val="ListParagraph"/>
        <w:numPr>
          <w:ilvl w:val="0"/>
          <w:numId w:val="4"/>
        </w:numPr>
      </w:pPr>
      <w:r>
        <w:rPr>
          <w:rFonts w:ascii="Figtree" w:hAnsi="Figtree"/>
          <w:b/>
          <w:i w:val="0"/>
          <w:sz w:val="22"/>
        </w:rPr>
        <w:t>Settlement fees:</w:t>
      </w:r>
      <w:r>
        <w:rPr>
          <w:rFonts w:ascii="Figtree" w:hAnsi="Figtree"/>
          <w:b w:val="0"/>
          <w:i w:val="0"/>
          <w:sz w:val="22"/>
        </w:rPr>
        <w:t xml:space="preserve"> Fee per settlement transaction</w:t>
      </w:r>
    </w:p>
    <w:p>
      <w:r>
        <w:rPr>
          <w:rFonts w:ascii="Figtree" w:hAnsi="Figtree"/>
          <w:b w:val="0"/>
          <w:i w:val="0"/>
          <w:sz w:val="22"/>
        </w:rPr>
        <w:t>At 20 active B2B clients using digital asset modules, the annual platform license is recovered within months.</w:t>
      </w:r>
    </w:p>
    <w:p>
      <w:r>
        <w:br w:type="page"/>
      </w:r>
    </w:p>
    <w:p>
      <w:pPr>
        <w:pStyle w:val="H2"/>
        <w:numPr>
          <w:ilvl w:val="1"/>
          <w:numId w:val="1"/>
        </w:numPr>
      </w:pPr>
      <w:r>
        <w:t>Licensing Model</w:t>
      </w:r>
    </w:p>
    <w:p>
      <w:pPr>
        <w:pStyle w:val="H3"/>
        <w:numPr>
          <w:ilvl w:val="2"/>
          <w:numId w:val="1"/>
        </w:numPr>
      </w:pPr>
      <w:r>
        <w:t>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4687"/>
        <w:gridCol w:w="25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digital asset operations</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Testing, staging, configuration</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pPr>
        <w:pStyle w:val="H3"/>
        <w:numPr>
          <w:ilvl w:val="2"/>
          <w:numId w:val="1"/>
        </w:numPr>
      </w:pPr>
      <w:r>
        <w:t>What the License Includes</w:t>
      </w:r>
    </w:p>
    <w:p>
      <w:pPr>
        <w:pStyle w:val="ListParagraph"/>
        <w:numPr>
          <w:ilvl w:val="0"/>
          <w:numId w:val="4"/>
        </w:numPr>
      </w:pPr>
      <w:r>
        <w:rPr>
          <w:rFonts w:ascii="Figtree" w:hAnsi="Figtree"/>
          <w:b w:val="0"/>
          <w:i w:val="0"/>
          <w:sz w:val="22"/>
        </w:rPr>
        <w:t>Full DALP platform access</w:t>
      </w:r>
    </w:p>
    <w:p>
      <w:pPr>
        <w:pStyle w:val="ListParagraph"/>
        <w:numPr>
          <w:ilvl w:val="0"/>
          <w:numId w:val="4"/>
        </w:numPr>
      </w:pPr>
      <w:r>
        <w:rPr>
          <w:rFonts w:ascii="Figtree" w:hAnsi="Figtree"/>
          <w:b w:val="0"/>
          <w:i w:val="0"/>
          <w:sz w:val="22"/>
        </w:rPr>
        <w:t>All 18 compliance module types</w:t>
      </w:r>
    </w:p>
    <w:p>
      <w:pPr>
        <w:pStyle w:val="ListParagraph"/>
        <w:numPr>
          <w:ilvl w:val="0"/>
          <w:numId w:val="4"/>
        </w:numPr>
      </w:pPr>
      <w:r>
        <w:rPr>
          <w:rFonts w:ascii="Figtree" w:hAnsi="Figtree"/>
          <w:b w:val="0"/>
          <w:i w:val="0"/>
          <w:sz w:val="22"/>
        </w:rPr>
        <w:t>API access (REST, webhooks)</w:t>
      </w:r>
    </w:p>
    <w:p>
      <w:pPr>
        <w:pStyle w:val="ListParagraph"/>
        <w:numPr>
          <w:ilvl w:val="0"/>
          <w:numId w:val="4"/>
        </w:numPr>
      </w:pPr>
      <w:r>
        <w:rPr>
          <w:rFonts w:ascii="Figtree" w:hAnsi="Figtree"/>
          <w:b w:val="0"/>
          <w:i w:val="0"/>
          <w:sz w:val="22"/>
        </w:rPr>
        <w:t>Platform updates and compliance updates</w:t>
      </w:r>
    </w:p>
    <w:p>
      <w:pPr>
        <w:pStyle w:val="ListParagraph"/>
        <w:numPr>
          <w:ilvl w:val="0"/>
          <w:numId w:val="4"/>
        </w:numPr>
      </w:pPr>
      <w:r>
        <w:rPr>
          <w:rFonts w:ascii="Figtree" w:hAnsi="Figtree"/>
          <w:b w:val="0"/>
          <w:i w:val="0"/>
          <w:sz w:val="22"/>
        </w:rPr>
        <w:t>Security patches</w:t>
      </w:r>
    </w:p>
    <w:p>
      <w:pPr>
        <w:pStyle w:val="H3"/>
        <w:numPr>
          <w:ilvl w:val="2"/>
          <w:numId w:val="1"/>
        </w:numPr>
      </w:pPr>
      <w:r>
        <w:t>Multi-Tenant BaaS Model</w:t>
      </w:r>
    </w:p>
    <w:p>
      <w:r>
        <w:rPr>
          <w:rFonts w:ascii="Figtree" w:hAnsi="Figtree"/>
          <w:b w:val="0"/>
          <w:i w:val="0"/>
          <w:sz w:val="22"/>
        </w:rPr>
        <w:t>The license supports Solarisbank's B2B multi-tenant model:</w:t>
      </w:r>
    </w:p>
    <w:p>
      <w:pPr>
        <w:pStyle w:val="ListParagraph"/>
        <w:numPr>
          <w:ilvl w:val="0"/>
          <w:numId w:val="4"/>
        </w:numPr>
      </w:pPr>
      <w:r>
        <w:rPr>
          <w:rFonts w:ascii="Figtree" w:hAnsi="Figtree"/>
          <w:b w:val="0"/>
          <w:i w:val="0"/>
          <w:sz w:val="22"/>
        </w:rPr>
        <w:t>Single platform deployment serving multiple B2B clients</w:t>
      </w:r>
    </w:p>
    <w:p>
      <w:pPr>
        <w:pStyle w:val="ListParagraph"/>
        <w:numPr>
          <w:ilvl w:val="0"/>
          <w:numId w:val="4"/>
        </w:numPr>
      </w:pPr>
      <w:r>
        <w:rPr>
          <w:rFonts w:ascii="Figtree" w:hAnsi="Figtree"/>
          <w:b w:val="0"/>
          <w:i w:val="0"/>
          <w:sz w:val="22"/>
        </w:rPr>
        <w:t>Logical tenant isolation for audit and compliance</w:t>
      </w:r>
    </w:p>
    <w:p>
      <w:pPr>
        <w:pStyle w:val="ListParagraph"/>
        <w:numPr>
          <w:ilvl w:val="0"/>
          <w:numId w:val="4"/>
        </w:numPr>
      </w:pPr>
      <w:r>
        <w:rPr>
          <w:rFonts w:ascii="Figtree" w:hAnsi="Figtree"/>
          <w:b w:val="0"/>
          <w:i w:val="0"/>
          <w:sz w:val="22"/>
        </w:rPr>
        <w:t>Per-client configuration for compliance rules</w:t>
      </w:r>
    </w:p>
    <w:p>
      <w:pPr>
        <w:pStyle w:val="ListParagraph"/>
        <w:numPr>
          <w:ilvl w:val="0"/>
          <w:numId w:val="4"/>
        </w:numPr>
      </w:pPr>
      <w:r>
        <w:rPr>
          <w:rFonts w:ascii="Figtree" w:hAnsi="Figtree"/>
          <w:b w:val="0"/>
          <w:i w:val="0"/>
          <w:sz w:val="22"/>
        </w:rPr>
        <w:t>Unified operational view with client-level filtering</w:t>
      </w:r>
    </w:p>
    <w:p>
      <w:r>
        <w:br w:type="page"/>
      </w:r>
    </w:p>
    <w:p>
      <w:pPr>
        <w:pStyle w:val="H2"/>
        <w:numPr>
          <w:ilvl w:val="1"/>
          <w:numId w:val="1"/>
        </w:numPr>
      </w:pPr>
      <w:r>
        <w:t>Pricing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€35,000/month</w:t>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w:t>
      </w:r>
    </w:p>
    <w:p>
      <w:pPr>
        <w:pStyle w:val="H3"/>
        <w:numPr>
          <w:ilvl w:val="2"/>
          <w:numId w:val="1"/>
        </w:numPr>
      </w:pPr>
      <w:r>
        <w:t>Infrastructure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2116"/>
        <w:gridCol w:w="30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Cloud-managed (EU)</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Self-hosted (German cloud)</w:t>
            </w:r>
          </w:p>
        </w:tc>
        <w:tc>
          <w:tcPr>
            <w:tcW w:type="dxa" w:w="3249"/>
            <w:vAlign w:val="center"/>
          </w:tcPr>
          <w:p>
            <w:pPr>
              <w:spacing w:line="276" w:lineRule="auto" w:before="0" w:after="0"/>
            </w:pPr>
            <w:r/>
            <w:r>
              <w:rPr>
                <w:rFonts w:ascii="Figtree" w:hAnsi="Figtree"/>
                <w:b w:val="0"/>
                <w:i w:val="0"/>
                <w:sz w:val="20"/>
              </w:rPr>
              <w:t>Solarisbank</w:t>
            </w:r>
          </w:p>
        </w:tc>
        <w:tc>
          <w:tcPr>
            <w:tcW w:type="dxa" w:w="3249"/>
            <w:vAlign w:val="center"/>
          </w:tcPr>
          <w:p>
            <w:pPr>
              <w:spacing w:line="276" w:lineRule="auto" w:before="0" w:after="0"/>
            </w:pPr>
            <w:r/>
            <w:r>
              <w:rPr>
                <w:rFonts w:ascii="Figtree" w:hAnsi="Figtree"/>
                <w:b w:val="0"/>
                <w:i w:val="0"/>
                <w:sz w:val="20"/>
              </w:rPr>
              <w:t>Solarisbank cost</w:t>
            </w:r>
          </w:p>
        </w:tc>
      </w:tr>
      <w:tr>
        <w:trPr>
          <w:trHeight w:val="425" w:hRule="atLeast"/>
        </w:trPr>
        <w:tc>
          <w:tcPr>
            <w:tcW w:type="dxa" w:w="3249"/>
            <w:vAlign w:val="center"/>
          </w:tcPr>
          <w:p>
            <w:pPr>
              <w:spacing w:line="276" w:lineRule="auto" w:before="0" w:after="0"/>
            </w:pPr>
            <w:r/>
            <w:r>
              <w:rPr>
                <w:rFonts w:ascii="Figtree" w:hAnsi="Figtree"/>
                <w:b w:val="0"/>
                <w:i w:val="0"/>
                <w:sz w:val="20"/>
              </w:rPr>
              <w:t>On-premises</w:t>
            </w:r>
          </w:p>
        </w:tc>
        <w:tc>
          <w:tcPr>
            <w:tcW w:type="dxa" w:w="3249"/>
            <w:vAlign w:val="center"/>
          </w:tcPr>
          <w:p>
            <w:pPr>
              <w:spacing w:line="276" w:lineRule="auto" w:before="0" w:after="0"/>
            </w:pPr>
            <w:r/>
            <w:r>
              <w:rPr>
                <w:rFonts w:ascii="Figtree" w:hAnsi="Figtree"/>
                <w:b w:val="0"/>
                <w:i w:val="0"/>
                <w:sz w:val="20"/>
              </w:rPr>
              <w:t>Solarisbank</w:t>
            </w:r>
          </w:p>
        </w:tc>
        <w:tc>
          <w:tcPr>
            <w:tcW w:type="dxa" w:w="3249"/>
            <w:vAlign w:val="center"/>
          </w:tcPr>
          <w:p>
            <w:pPr>
              <w:spacing w:line="276" w:lineRule="auto" w:before="0" w:after="0"/>
            </w:pPr>
            <w:r/>
            <w:r>
              <w:rPr>
                <w:rFonts w:ascii="Figtree" w:hAnsi="Figtree"/>
                <w:b w:val="0"/>
                <w:i w:val="0"/>
                <w:sz w:val="20"/>
              </w:rPr>
              <w:t>Solarisbank cost</w:t>
            </w:r>
          </w:p>
        </w:tc>
      </w:tr>
    </w:tbl>
    <w:p>
      <w:pPr>
        <w:spacing w:before="0" w:after="0" w:line="120" w:lineRule="exact"/>
      </w:pPr>
    </w:p>
    <w:p>
      <w:r>
        <w:rPr>
          <w:rFonts w:ascii="Figtree" w:hAnsi="Figtree"/>
          <w:b w:val="0"/>
          <w:i w:val="0"/>
          <w:sz w:val="22"/>
        </w:rPr>
        <w:t>German-hosted cloud deployment recommended for BaFin data sovereignty.</w:t>
      </w:r>
    </w:p>
    <w:p>
      <w:r>
        <w:br w:type="page"/>
      </w:r>
    </w:p>
    <w:p>
      <w:pPr>
        <w:pStyle w:val="H2"/>
        <w:numPr>
          <w:ilvl w:val="1"/>
          <w:numId w:val="1"/>
        </w:numPr>
      </w:pPr>
      <w:r>
        <w:t>Implementation Costs</w:t>
      </w:r>
    </w:p>
    <w:p>
      <w:r>
        <w:rPr>
          <w:rFonts w:ascii="Figtree" w:hAnsi="Figtree"/>
          <w:b w:val="0"/>
          <w:i w:val="0"/>
          <w:sz w:val="22"/>
        </w:rPr>
        <w:t>26-week programme covering platform deployment, API integration with BaaS gateway, custody configuration, BaFin/MiCA compliance module setup, B2B client onboarding flow development, regulatory reporting integration, and go-live.</w:t>
      </w:r>
    </w:p>
    <w:p>
      <w:r>
        <w:rPr>
          <w:rFonts w:ascii="Figtree" w:hAnsi="Figtree"/>
          <w:b/>
          <w:i w:val="0"/>
          <w:sz w:val="22"/>
        </w:rPr>
        <w:t>Implementation cost:</w:t>
      </w:r>
      <w:r>
        <w:rPr>
          <w:rFonts w:ascii="Figtree" w:hAnsi="Figtree"/>
          <w:b w:val="0"/>
          <w:i w:val="0"/>
          <w:sz w:val="22"/>
        </w:rPr>
        <w:t xml:space="preserve"> [CLIENT-SPECIFIC - scoped at contract based on integration complexity]</w:t>
      </w:r>
    </w:p>
    <w:p>
      <w:r>
        <w:br w:type="page"/>
      </w:r>
    </w:p>
    <w:p>
      <w:pPr>
        <w:pStyle w:val="H2"/>
        <w:numPr>
          <w:ilvl w:val="1"/>
          <w:numId w:val="1"/>
        </w:numPr>
      </w:pPr>
      <w:r>
        <w:t>Support and Maintenance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65"/>
        <w:gridCol w:w="44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Availability</w:t>
            </w:r>
          </w:p>
        </w:tc>
        <w:tc>
          <w:tcPr>
            <w:tcW w:type="dxa" w:w="4873"/>
            <w:vAlign w:val="center"/>
          </w:tcPr>
          <w:p>
            <w:pPr>
              <w:spacing w:line="276" w:lineRule="auto" w:before="0" w:after="0"/>
            </w:pPr>
            <w:r/>
            <w:r>
              <w:rPr>
                <w:rFonts w:ascii="Figtree" w:hAnsi="Figtree"/>
                <w:b w:val="0"/>
                <w:i w:val="0"/>
                <w:sz w:val="20"/>
              </w:rPr>
              <w:t>24/5</w:t>
            </w:r>
          </w:p>
        </w:tc>
      </w:tr>
      <w:tr>
        <w:trPr>
          <w:trHeight w:val="425" w:hRule="atLeast"/>
        </w:trPr>
        <w:tc>
          <w:tcPr>
            <w:tcW w:type="dxa" w:w="4873"/>
            <w:vAlign w:val="center"/>
          </w:tcPr>
          <w:p>
            <w:pPr>
              <w:spacing w:line="276" w:lineRule="auto" w:before="0" w:after="0"/>
            </w:pPr>
            <w:r/>
            <w:r>
              <w:rPr>
                <w:rFonts w:ascii="Figtree" w:hAnsi="Figtree"/>
                <w:b w:val="0"/>
                <w:i w:val="0"/>
                <w:sz w:val="20"/>
              </w:rPr>
              <w:t>Critical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TAM</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Compliance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Security patches</w:t>
            </w:r>
          </w:p>
        </w:tc>
        <w:tc>
          <w:tcPr>
            <w:tcW w:type="dxa" w:w="4873"/>
            <w:vAlign w:val="center"/>
          </w:tcPr>
          <w:p>
            <w:pPr>
              <w:spacing w:line="276" w:lineRule="auto" w:before="0" w:after="0"/>
            </w:pPr>
            <w:r/>
            <w:r>
              <w:rPr>
                <w:rFonts w:ascii="Figtree" w:hAnsi="Figtree"/>
                <w:b w:val="0"/>
                <w:i w:val="0"/>
                <w:sz w:val="20"/>
              </w:rPr>
              <w:t>Same business day</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2"/>
        <w:gridCol w:w="1230"/>
        <w:gridCol w:w="3229"/>
        <w:gridCol w:w="36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Infrastructure (est.)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€60,000-€120,000</w:t>
            </w:r>
          </w:p>
        </w:tc>
        <w:tc>
          <w:tcPr>
            <w:tcW w:type="dxa" w:w="2436"/>
            <w:vAlign w:val="center"/>
          </w:tcPr>
          <w:p>
            <w:pPr>
              <w:spacing w:line="276" w:lineRule="auto" w:before="0" w:after="0"/>
            </w:pPr>
            <w:r/>
            <w:r>
              <w:rPr>
                <w:rFonts w:ascii="Figtree" w:hAnsi="Figtree"/>
                <w:b w:val="0"/>
                <w:i w:val="0"/>
                <w:sz w:val="20"/>
              </w:rPr>
              <w:t>€480,000-€540,000 + impl</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€60,000-€120,000</w:t>
            </w:r>
          </w:p>
        </w:tc>
        <w:tc>
          <w:tcPr>
            <w:tcW w:type="dxa" w:w="2436"/>
            <w:vAlign w:val="center"/>
          </w:tcPr>
          <w:p>
            <w:pPr>
              <w:spacing w:line="276" w:lineRule="auto" w:before="0" w:after="0"/>
            </w:pPr>
            <w:r/>
            <w:r>
              <w:rPr>
                <w:rFonts w:ascii="Figtree" w:hAnsi="Figtree"/>
                <w:b w:val="0"/>
                <w:i w:val="0"/>
                <w:sz w:val="20"/>
              </w:rPr>
              <w:t>€480,000-€540,000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€70,000-€130,000</w:t>
            </w:r>
          </w:p>
        </w:tc>
        <w:tc>
          <w:tcPr>
            <w:tcW w:type="dxa" w:w="2436"/>
            <w:vAlign w:val="center"/>
          </w:tcPr>
          <w:p>
            <w:pPr>
              <w:spacing w:line="276" w:lineRule="auto" w:before="0" w:after="0"/>
            </w:pPr>
            <w:r/>
            <w:r>
              <w:rPr>
                <w:rFonts w:ascii="Figtree" w:hAnsi="Figtree"/>
                <w:b w:val="0"/>
                <w:i w:val="0"/>
                <w:sz w:val="20"/>
              </w:rPr>
              <w:t>€490,000-€550,000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€70,000-€130,000</w:t>
            </w:r>
          </w:p>
        </w:tc>
        <w:tc>
          <w:tcPr>
            <w:tcW w:type="dxa" w:w="2436"/>
            <w:vAlign w:val="center"/>
          </w:tcPr>
          <w:p>
            <w:pPr>
              <w:spacing w:line="276" w:lineRule="auto" w:before="0" w:after="0"/>
            </w:pPr>
            <w:r/>
            <w:r>
              <w:rPr>
                <w:rFonts w:ascii="Figtree" w:hAnsi="Figtree"/>
                <w:b w:val="0"/>
                <w:i w:val="0"/>
                <w:sz w:val="20"/>
              </w:rPr>
              <w:t>€490,000-€550,000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€80,000-€140,000</w:t>
            </w:r>
          </w:p>
        </w:tc>
        <w:tc>
          <w:tcPr>
            <w:tcW w:type="dxa" w:w="2436"/>
            <w:vAlign w:val="center"/>
          </w:tcPr>
          <w:p>
            <w:pPr>
              <w:spacing w:line="276" w:lineRule="auto" w:before="0" w:after="0"/>
            </w:pPr>
            <w:r/>
            <w:r>
              <w:rPr>
                <w:rFonts w:ascii="Figtree" w:hAnsi="Figtree"/>
                <w:b w:val="0"/>
                <w:i w:val="0"/>
                <w:sz w:val="20"/>
              </w:rPr>
              <w:t>€500,000-€560,000</w:t>
            </w:r>
          </w:p>
        </w:tc>
      </w:tr>
    </w:tbl>
    <w:p>
      <w:pPr>
        <w:spacing w:before="0" w:after="0" w:line="120" w:lineRule="exact"/>
      </w:pPr>
    </w:p>
    <w:p>
      <w:r>
        <w:br w:type="page"/>
      </w:r>
    </w:p>
    <w:p>
      <w:pPr>
        <w:pStyle w:val="H2"/>
        <w:numPr>
          <w:ilvl w:val="1"/>
          <w:numId w:val="1"/>
        </w:numPr>
      </w:pPr>
      <w:r>
        <w:t>ROI Framework</w:t>
      </w:r>
    </w:p>
    <w:p>
      <w:pPr>
        <w:pStyle w:val="H3"/>
        <w:numPr>
          <w:ilvl w:val="2"/>
          <w:numId w:val="1"/>
        </w:numPr>
      </w:pPr>
      <w:r>
        <w:t>Direct Revenue</w:t>
      </w:r>
    </w:p>
    <w:p>
      <w:pPr>
        <w:pStyle w:val="ListParagraph"/>
        <w:numPr>
          <w:ilvl w:val="0"/>
          <w:numId w:val="4"/>
        </w:numPr>
      </w:pPr>
      <w:r>
        <w:rPr>
          <w:rFonts w:ascii="Figtree" w:hAnsi="Figtree"/>
          <w:b/>
          <w:i w:val="0"/>
          <w:sz w:val="22"/>
        </w:rPr>
        <w:t>B2B client digital asset modules:</w:t>
      </w:r>
      <w:r>
        <w:rPr>
          <w:rFonts w:ascii="Figtree" w:hAnsi="Figtree"/>
          <w:b w:val="0"/>
          <w:i w:val="0"/>
          <w:sz w:val="22"/>
        </w:rPr>
        <w:t xml:space="preserve"> At 20 clients × €10,000/month average = €2.4M annual revenue</w:t>
      </w:r>
    </w:p>
    <w:p>
      <w:pPr>
        <w:pStyle w:val="ListParagraph"/>
        <w:numPr>
          <w:ilvl w:val="0"/>
          <w:numId w:val="4"/>
        </w:numPr>
      </w:pPr>
      <w:r>
        <w:rPr>
          <w:rFonts w:ascii="Figtree" w:hAnsi="Figtree"/>
          <w:b/>
          <w:i w:val="0"/>
          <w:sz w:val="22"/>
        </w:rPr>
        <w:t>Custody margin:</w:t>
      </w:r>
      <w:r>
        <w:rPr>
          <w:rFonts w:ascii="Figtree" w:hAnsi="Figtree"/>
          <w:b w:val="0"/>
          <w:i w:val="0"/>
          <w:sz w:val="22"/>
        </w:rPr>
        <w:t xml:space="preserve"> Additional margin on custody pass-through fees</w:t>
      </w:r>
    </w:p>
    <w:p>
      <w:pPr>
        <w:pStyle w:val="ListParagraph"/>
        <w:numPr>
          <w:ilvl w:val="0"/>
          <w:numId w:val="4"/>
        </w:numPr>
      </w:pPr>
      <w:r>
        <w:rPr>
          <w:rFonts w:ascii="Figtree" w:hAnsi="Figtree"/>
          <w:b/>
          <w:i w:val="0"/>
          <w:sz w:val="22"/>
        </w:rPr>
        <w:t>Transaction fees:</w:t>
      </w:r>
      <w:r>
        <w:rPr>
          <w:rFonts w:ascii="Figtree" w:hAnsi="Figtree"/>
          <w:b w:val="0"/>
          <w:i w:val="0"/>
          <w:sz w:val="22"/>
        </w:rPr>
        <w:t xml:space="preserve"> Issuance and settlement fee revenue</w:t>
      </w:r>
    </w:p>
    <w:p>
      <w:pPr>
        <w:pStyle w:val="H3"/>
        <w:numPr>
          <w:ilvl w:val="2"/>
          <w:numId w:val="1"/>
        </w:numPr>
      </w:pPr>
      <w:r>
        <w:t>Cost Avoidance</w:t>
      </w:r>
    </w:p>
    <w:p>
      <w:pPr>
        <w:pStyle w:val="ListParagraph"/>
        <w:numPr>
          <w:ilvl w:val="0"/>
          <w:numId w:val="4"/>
        </w:numPr>
      </w:pPr>
      <w:r>
        <w:rPr>
          <w:rFonts w:ascii="Figtree" w:hAnsi="Figtree"/>
          <w:b/>
          <w:i w:val="0"/>
          <w:sz w:val="22"/>
        </w:rPr>
        <w:t>Engineering:</w:t>
      </w:r>
      <w:r>
        <w:rPr>
          <w:rFonts w:ascii="Figtree" w:hAnsi="Figtree"/>
          <w:b w:val="0"/>
          <w:i w:val="0"/>
          <w:sz w:val="22"/>
        </w:rPr>
        <w:t xml:space="preserve"> €4M-€10M avoided over 3 years vs. internal build</w:t>
      </w:r>
    </w:p>
    <w:p>
      <w:pPr>
        <w:pStyle w:val="ListParagraph"/>
        <w:numPr>
          <w:ilvl w:val="0"/>
          <w:numId w:val="4"/>
        </w:numPr>
      </w:pPr>
      <w:r>
        <w:rPr>
          <w:rFonts w:ascii="Figtree" w:hAnsi="Figtree"/>
          <w:b/>
          <w:i w:val="0"/>
          <w:sz w:val="22"/>
        </w:rPr>
        <w:t>Regulatory licensing:</w:t>
      </w:r>
      <w:r>
        <w:rPr>
          <w:rFonts w:ascii="Figtree" w:hAnsi="Figtree"/>
          <w:b w:val="0"/>
          <w:i w:val="0"/>
          <w:sz w:val="22"/>
        </w:rPr>
        <w:t xml:space="preserve"> Avoided cost of separate digital asset license application</w:t>
      </w:r>
    </w:p>
    <w:p>
      <w:pPr>
        <w:pStyle w:val="ListParagraph"/>
        <w:numPr>
          <w:ilvl w:val="0"/>
          <w:numId w:val="4"/>
        </w:numPr>
      </w:pPr>
      <w:r>
        <w:rPr>
          <w:rFonts w:ascii="Figtree" w:hAnsi="Figtree"/>
          <w:b/>
          <w:i w:val="0"/>
          <w:sz w:val="22"/>
        </w:rPr>
        <w:t>Operational efficiency:</w:t>
      </w:r>
      <w:r>
        <w:rPr>
          <w:rFonts w:ascii="Figtree" w:hAnsi="Figtree"/>
          <w:b w:val="0"/>
          <w:i w:val="0"/>
          <w:sz w:val="22"/>
        </w:rPr>
        <w:t xml:space="preserve"> Integrated into existing BaaS ops vs. building new team</w:t>
      </w:r>
    </w:p>
    <w:p>
      <w:pPr>
        <w:pStyle w:val="H3"/>
        <w:numPr>
          <w:ilvl w:val="2"/>
          <w:numId w:val="1"/>
        </w:numPr>
      </w:pPr>
      <w:r>
        <w:t>Strategic Value</w:t>
      </w:r>
    </w:p>
    <w:p>
      <w:pPr>
        <w:pStyle w:val="ListParagraph"/>
        <w:numPr>
          <w:ilvl w:val="0"/>
          <w:numId w:val="4"/>
        </w:numPr>
      </w:pPr>
      <w:r>
        <w:rPr>
          <w:rFonts w:ascii="Figtree" w:hAnsi="Figtree"/>
          <w:b/>
          <w:i w:val="0"/>
          <w:sz w:val="22"/>
        </w:rPr>
        <w:t>Competitive differentiation:</w:t>
      </w:r>
      <w:r>
        <w:rPr>
          <w:rFonts w:ascii="Figtree" w:hAnsi="Figtree"/>
          <w:b w:val="0"/>
          <w:i w:val="0"/>
          <w:sz w:val="22"/>
        </w:rPr>
        <w:t xml:space="preserve"> First-mover BaaS with digital asset module in German market</w:t>
      </w:r>
    </w:p>
    <w:p>
      <w:pPr>
        <w:pStyle w:val="ListParagraph"/>
        <w:numPr>
          <w:ilvl w:val="0"/>
          <w:numId w:val="4"/>
        </w:numPr>
      </w:pPr>
      <w:r>
        <w:rPr>
          <w:rFonts w:ascii="Figtree" w:hAnsi="Figtree"/>
          <w:b/>
          <w:i w:val="0"/>
          <w:sz w:val="22"/>
        </w:rPr>
        <w:t>Client retention:</w:t>
      </w:r>
      <w:r>
        <w:rPr>
          <w:rFonts w:ascii="Figtree" w:hAnsi="Figtree"/>
          <w:b w:val="0"/>
          <w:i w:val="0"/>
          <w:sz w:val="22"/>
        </w:rPr>
        <w:t xml:space="preserve"> Expanded service offering reduces client churn</w:t>
      </w:r>
    </w:p>
    <w:p>
      <w:pPr>
        <w:pStyle w:val="ListParagraph"/>
        <w:numPr>
          <w:ilvl w:val="0"/>
          <w:numId w:val="4"/>
        </w:numPr>
      </w:pPr>
      <w:r>
        <w:rPr>
          <w:rFonts w:ascii="Figtree" w:hAnsi="Figtree"/>
          <w:b/>
          <w:i w:val="0"/>
          <w:sz w:val="22"/>
        </w:rPr>
        <w:t>Regulatory readiness:</w:t>
      </w:r>
      <w:r>
        <w:rPr>
          <w:rFonts w:ascii="Figtree" w:hAnsi="Figtree"/>
          <w:b w:val="0"/>
          <w:i w:val="0"/>
          <w:sz w:val="22"/>
        </w:rPr>
        <w:t xml:space="preserve"> Pre-validated MiCA compliance ahead of full enforcement</w:t>
      </w:r>
    </w:p>
    <w:p>
      <w:r>
        <w:br w:type="page"/>
      </w:r>
    </w:p>
    <w:p>
      <w:pPr>
        <w:pStyle w:val="H2"/>
        <w:numPr>
          <w:ilvl w:val="1"/>
          <w:numId w:val="1"/>
        </w:numPr>
      </w:pPr>
      <w:r>
        <w:t>Payment Terms</w:t>
      </w:r>
    </w:p>
    <w:p>
      <w:pPr>
        <w:pStyle w:val="ListParagraph"/>
        <w:numPr>
          <w:ilvl w:val="0"/>
          <w:numId w:val="4"/>
        </w:numPr>
      </w:pPr>
      <w:r>
        <w:rPr>
          <w:rFonts w:ascii="Figtree" w:hAnsi="Figtree"/>
          <w:b/>
          <w:i w:val="0"/>
          <w:sz w:val="22"/>
        </w:rPr>
        <w:t>License:</w:t>
      </w:r>
      <w:r>
        <w:rPr>
          <w:rFonts w:ascii="Figtree" w:hAnsi="Figtree"/>
          <w:b w:val="0"/>
          <w:i w:val="0"/>
          <w:sz w:val="22"/>
        </w:rPr>
        <w:t xml:space="preserve"> Annual, upfront, invoiced 30 days before renewal</w:t>
      </w:r>
    </w:p>
    <w:p>
      <w:pPr>
        <w:pStyle w:val="ListParagraph"/>
        <w:numPr>
          <w:ilvl w:val="0"/>
          <w:numId w:val="4"/>
        </w:numPr>
      </w:pPr>
      <w:r>
        <w:rPr>
          <w:rFonts w:ascii="Figtree" w:hAnsi="Figtree"/>
          <w:b/>
          <w:i w:val="0"/>
          <w:sz w:val="22"/>
        </w:rPr>
        <w:t>Implementation:</w:t>
      </w:r>
      <w:r>
        <w:rPr>
          <w:rFonts w:ascii="Figtree" w:hAnsi="Figtree"/>
          <w:b w:val="0"/>
          <w:i w:val="0"/>
          <w:sz w:val="22"/>
        </w:rPr>
        <w:t xml:space="preserve"> 30% on signature, 40% on Phase 2 completion, 30% on go-live</w:t>
      </w:r>
    </w:p>
    <w:p>
      <w:pPr>
        <w:pStyle w:val="ListParagraph"/>
        <w:numPr>
          <w:ilvl w:val="0"/>
          <w:numId w:val="4"/>
        </w:numPr>
      </w:pPr>
      <w:r>
        <w:rPr>
          <w:rFonts w:ascii="Figtree" w:hAnsi="Figtree"/>
          <w:b/>
          <w:i w:val="0"/>
          <w:sz w:val="22"/>
        </w:rPr>
        <w:t>Infrastructure:</w:t>
      </w:r>
      <w:r>
        <w:rPr>
          <w:rFonts w:ascii="Figtree" w:hAnsi="Figtree"/>
          <w:b w:val="0"/>
          <w:i w:val="0"/>
          <w:sz w:val="22"/>
        </w:rPr>
        <w:t xml:space="preserve"> Monthly at cost (pass-through)</w:t>
      </w:r>
    </w:p>
    <w:p>
      <w:pPr>
        <w:pStyle w:val="ListParagraph"/>
        <w:numPr>
          <w:ilvl w:val="0"/>
          <w:numId w:val="4"/>
        </w:numPr>
      </w:pPr>
      <w:r>
        <w:rPr>
          <w:rFonts w:ascii="Figtree" w:hAnsi="Figtree"/>
          <w:b/>
          <w:i w:val="0"/>
          <w:sz w:val="22"/>
        </w:rPr>
        <w:t>Currency:</w:t>
      </w:r>
      <w:r>
        <w:rPr>
          <w:rFonts w:ascii="Figtree" w:hAnsi="Figtree"/>
          <w:b w:val="0"/>
          <w:i w:val="0"/>
          <w:sz w:val="22"/>
        </w:rPr>
        <w:t xml:space="preserve"> EUR base</w:t>
      </w:r>
    </w:p>
    <w:p>
      <w:r>
        <w:rPr>
          <w:rFonts w:ascii="Figtree" w:hAnsi="Figtree"/>
          <w:b w:val="0"/>
          <w:i w:val="0"/>
          <w:sz w:val="22"/>
        </w:rPr>
        <w:t>All prices exclude applicable taxes and VAT.</w:t>
      </w:r>
    </w:p>
    <w:p>
      <w:r>
        <w:br w:type="page"/>
      </w:r>
    </w:p>
    <w:p>
      <w:pPr>
        <w:pStyle w:val="H2"/>
        <w:numPr>
          <w:ilvl w:val="1"/>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w:t>
            </w:r>
          </w:p>
        </w:tc>
        <w:tc>
          <w:tcPr>
            <w:tcW w:type="dxa" w:w="4873"/>
            <w:vAlign w:val="center"/>
          </w:tcPr>
          <w:p>
            <w:pPr>
              <w:spacing w:line="276" w:lineRule="auto" w:before="0" w:after="0"/>
            </w:pPr>
            <w:r/>
            <w:r>
              <w:rPr>
                <w:rFonts w:ascii="Figtree" w:hAnsi="Figtree"/>
                <w:b w:val="0"/>
                <w:i w:val="0"/>
                <w:sz w:val="20"/>
              </w:rPr>
              <w:t>Terms, liability, IP</w:t>
            </w:r>
          </w:p>
        </w:tc>
      </w:tr>
      <w:tr>
        <w:trPr>
          <w:trHeight w:val="425" w:hRule="atLeast"/>
        </w:trPr>
        <w:tc>
          <w:tcPr>
            <w:tcW w:type="dxa" w:w="4873"/>
            <w:vAlign w:val="center"/>
          </w:tcPr>
          <w:p>
            <w:pPr>
              <w:spacing w:line="276" w:lineRule="auto" w:before="0" w:after="0"/>
            </w:pPr>
            <w:r/>
            <w:r>
              <w:rPr>
                <w:rFonts w:ascii="Figtree" w:hAnsi="Figtree"/>
                <w:b w:val="0"/>
                <w:i w:val="0"/>
                <w:sz w:val="20"/>
              </w:rPr>
              <w:t>License Order Form</w:t>
            </w:r>
          </w:p>
        </w:tc>
        <w:tc>
          <w:tcPr>
            <w:tcW w:type="dxa" w:w="4873"/>
            <w:vAlign w:val="center"/>
          </w:tcPr>
          <w:p>
            <w:pPr>
              <w:spacing w:line="276" w:lineRule="auto" w:before="0" w:after="0"/>
            </w:pPr>
            <w:r/>
            <w:r>
              <w:rPr>
                <w:rFonts w:ascii="Figtree" w:hAnsi="Figtree"/>
                <w:b w:val="0"/>
                <w:i w:val="0"/>
                <w:sz w:val="20"/>
              </w:rPr>
              <w:t>Environments, fees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SOW</w:t>
            </w:r>
          </w:p>
        </w:tc>
        <w:tc>
          <w:tcPr>
            <w:tcW w:type="dxa" w:w="4873"/>
            <w:vAlign w:val="center"/>
          </w:tcPr>
          <w:p>
            <w:pPr>
              <w:spacing w:line="276" w:lineRule="auto" w:before="0" w:after="0"/>
            </w:pPr>
            <w:r/>
            <w:r>
              <w:rPr>
                <w:rFonts w:ascii="Figtree" w:hAnsi="Figtree"/>
                <w:b w:val="0"/>
                <w:i w:val="0"/>
                <w:sz w:val="20"/>
              </w:rPr>
              <w:t>Programme scope</w:t>
            </w:r>
          </w:p>
        </w:tc>
      </w:tr>
      <w:tr>
        <w:trPr>
          <w:trHeight w:val="425" w:hRule="atLeast"/>
        </w:trPr>
        <w:tc>
          <w:tcPr>
            <w:tcW w:type="dxa" w:w="4873"/>
            <w:vAlign w:val="center"/>
          </w:tcPr>
          <w:p>
            <w:pPr>
              <w:spacing w:line="276" w:lineRule="auto" w:before="0" w:after="0"/>
            </w:pPr>
            <w:r/>
            <w:r>
              <w:rPr>
                <w:rFonts w:ascii="Figtree" w:hAnsi="Figtree"/>
                <w:b w:val="0"/>
                <w:i w:val="0"/>
                <w:sz w:val="20"/>
              </w:rPr>
              <w:t>Support Schedule</w:t>
            </w:r>
          </w:p>
        </w:tc>
        <w:tc>
          <w:tcPr>
            <w:tcW w:type="dxa" w:w="4873"/>
            <w:vAlign w:val="center"/>
          </w:tcPr>
          <w:p>
            <w:pPr>
              <w:spacing w:line="276" w:lineRule="auto" w:before="0" w:after="0"/>
            </w:pPr>
            <w:r/>
            <w:r>
              <w:rPr>
                <w:rFonts w:ascii="Figtree" w:hAnsi="Figtree"/>
                <w:b w:val="0"/>
                <w:i w:val="0"/>
                <w:sz w:val="20"/>
              </w:rPr>
              <w:t>SLA terms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Data sovereignty, privacy</w:t>
            </w:r>
          </w:p>
        </w:tc>
      </w:tr>
    </w:tbl>
    <w:p>
      <w:pPr>
        <w:spacing w:before="0" w:after="0" w:line="120" w:lineRule="exact"/>
      </w:pPr>
    </w:p>
    <w:p>
      <w:r>
        <w:rPr>
          <w:rFonts w:ascii="Figtree" w:hAnsi="Figtree"/>
          <w:b/>
          <w:i w:val="0"/>
          <w:sz w:val="22"/>
        </w:rPr>
        <w:t>Data sovereignty:</w:t>
      </w:r>
      <w:r>
        <w:rPr>
          <w:rFonts w:ascii="Figtree" w:hAnsi="Figtree"/>
          <w:b w:val="0"/>
          <w:i w:val="0"/>
          <w:sz w:val="22"/>
        </w:rPr>
        <w:t xml:space="preserve"> Contract includes German data residency provisions per BaFin requirements.</w:t>
      </w:r>
    </w:p>
    <w:p>
      <w:r>
        <w:br w:type="page"/>
      </w:r>
    </w:p>
    <w:p>
      <w:r>
        <w:rPr>
          <w:rFonts w:ascii="Figtree" w:hAnsi="Figtree"/>
          <w:b w:val="0"/>
          <w:i/>
          <w:sz w:val="22"/>
        </w:rPr>
        <w:t>This commercial proposal is submitted in strict confidence by SettleMint. 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