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Tokenized Securities Issuance and Trading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Cost of Current Approach</w:t>
          </w:r>
          <w:r>
            <w:tab/>
          </w:r>
          <w:r>
            <w:t xml:space="preserve">10</w:t>
          </w:r>
        </w:p>
        <w:p>
          <w:pPr>
            <w:pStyle w:val="TOC2"/>
            <w:tabs>
              <w:tab w:val="right" w:leader="dot" w:pos="9072"/>
            </w:tabs>
          </w:pPr>
          <w:r>
            <w:t xml:space="preserve">2.2 Why DALP Changes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Licensing Model</w:t>
          </w:r>
          <w:r>
            <w:tab/>
          </w:r>
          <w:r>
            <w:t xml:space="preserve">13</w:t>
          </w:r>
        </w:p>
        <w:p>
          <w:pPr>
            <w:pStyle w:val="TOC2"/>
            <w:tabs>
              <w:tab w:val="right" w:leader="dot" w:pos="9072"/>
            </w:tabs>
          </w:pPr>
          <w:r>
            <w:t xml:space="preserve">3.1 Philosophy</w:t>
          </w:r>
          <w:r>
            <w:tab/>
          </w:r>
          <w:r>
            <w:t xml:space="preserve">14</w:t>
          </w:r>
        </w:p>
        <w:p>
          <w:pPr>
            <w:pStyle w:val="TOC2"/>
            <w:tabs>
              <w:tab w:val="right" w:leader="dot" w:pos="9072"/>
            </w:tabs>
          </w:pPr>
          <w:r>
            <w:t xml:space="preserve">3.2 What's Included</w:t>
          </w:r>
          <w:r>
            <w:tab/>
          </w:r>
          <w:r>
            <w:t xml:space="preserve">15</w:t>
          </w:r>
        </w:p>
        <w:p>
          <w:pPr>
            <w:pStyle w:val="TOC2"/>
            <w:tabs>
              <w:tab w:val="right" w:leader="dot" w:pos="9072"/>
            </w:tabs>
          </w:pPr>
          <w:r>
            <w:t xml:space="preserve">3.3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Recommended: EU Private Cloud (OVHcloud / Azure France Central)</w:t>
          </w:r>
          <w:r>
            <w:tab/>
          </w:r>
          <w:r>
            <w:t xml:space="preserve">18</w:t>
          </w:r>
        </w:p>
        <w:p>
          <w:pPr>
            <w:pStyle w:val="TOC2"/>
            <w:tabs>
              <w:tab w:val="right" w:leader="dot" w:pos="9072"/>
            </w:tabs>
          </w:pPr>
          <w:r>
            <w:t xml:space="preserve">4.2 Deployment Comparison</w:t>
          </w:r>
          <w:r>
            <w:tab/>
          </w:r>
          <w:r>
            <w:t xml:space="preserve">19</w:t>
          </w:r>
        </w:p>
        <w:p>
          <w:pPr>
            <w:pStyle w:val="TOC2"/>
            <w:tabs>
              <w:tab w:val="right" w:leader="dot" w:pos="9072"/>
            </w:tabs>
          </w:pPr>
          <w:r>
            <w:t xml:space="preserve">4.3 Cost Structure</w:t>
          </w:r>
          <w:r>
            <w:tab/>
          </w:r>
          <w:r>
            <w:t xml:space="preserve">20</w:t>
          </w:r>
        </w:p>
        <w:p>
          <w:pPr>
            <w:pStyle w:val="TOC2"/>
            <w:tabs>
              <w:tab w:val="right" w:leader="dot" w:pos="9072"/>
            </w:tabs>
          </w:pPr>
          <w:r>
            <w:t xml:space="preserve">4.4 Cost Drivers</w:t>
          </w:r>
          <w:r>
            <w:tab/>
          </w:r>
          <w:r>
            <w:t xml:space="preserve">21</w:t>
          </w:r>
        </w:p>
        <w:p>
          <w:pPr>
            <w:pStyle w:val="TOC1"/>
            <w:tabs>
              <w:tab w:val="right" w:leader="dot" w:pos="9072"/>
            </w:tabs>
          </w:pPr>
          <w:r>
            <w:t xml:space="preserve">5. Support and SLA Framework</w:t>
          </w:r>
          <w:r>
            <w:tab/>
          </w:r>
          <w:r>
            <w:t xml:space="preserve">22</w:t>
          </w:r>
        </w:p>
        <w:p>
          <w:pPr>
            <w:pStyle w:val="TOC2"/>
            <w:tabs>
              <w:tab w:val="right" w:leader="dot" w:pos="9072"/>
            </w:tabs>
          </w:pPr>
          <w:r>
            <w:t xml:space="preserve">5.1 Support Tiers</w:t>
          </w:r>
          <w:r>
            <w:tab/>
          </w:r>
          <w:r>
            <w:t xml:space="preserve">23</w:t>
          </w:r>
        </w:p>
        <w:p>
          <w:pPr>
            <w:pStyle w:val="TOC2"/>
            <w:tabs>
              <w:tab w:val="right" w:leader="dot" w:pos="9072"/>
            </w:tabs>
          </w:pPr>
          <w:r>
            <w:t xml:space="preserve">5.2 Severity Matrix</w:t>
          </w:r>
          <w:r>
            <w:tab/>
          </w:r>
          <w:r>
            <w:t xml:space="preserve">24</w:t>
          </w:r>
        </w:p>
        <w:p>
          <w:pPr>
            <w:pStyle w:val="TOC2"/>
            <w:tabs>
              <w:tab w:val="right" w:leader="dot" w:pos="9072"/>
            </w:tabs>
          </w:pPr>
          <w:r>
            <w:t xml:space="preserve">5.3 Uptime and Service Credits</w:t>
          </w:r>
          <w:r>
            <w:tab/>
          </w:r>
          <w:r>
            <w:t xml:space="preserve">25</w:t>
          </w:r>
        </w:p>
        <w:p>
          <w:pPr>
            <w:pStyle w:val="TOC2"/>
            <w:tabs>
              <w:tab w:val="right" w:leader="dot" w:pos="9072"/>
            </w:tabs>
          </w:pPr>
          <w:r>
            <w:t xml:space="preserve">5.4 Maintenance</w:t>
          </w:r>
          <w:r>
            <w:tab/>
          </w:r>
          <w:r>
            <w:t xml:space="preserve">26</w:t>
          </w:r>
        </w:p>
        <w:p>
          <w:pPr>
            <w:pStyle w:val="TOC1"/>
            <w:tabs>
              <w:tab w:val="right" w:leader="dot" w:pos="9072"/>
            </w:tabs>
          </w:pPr>
          <w:r>
            <w:t xml:space="preserve">6. Implementation Investment</w:t>
          </w:r>
          <w:r>
            <w:tab/>
          </w:r>
          <w:r>
            <w:t xml:space="preserve">27</w:t>
          </w:r>
        </w:p>
        <w:p>
          <w:pPr>
            <w:pStyle w:val="TOC2"/>
            <w:tabs>
              <w:tab w:val="right" w:leader="dot" w:pos="9072"/>
            </w:tabs>
          </w:pPr>
          <w:r>
            <w:t xml:space="preserve">6.1 Phase Pricing</w:t>
          </w:r>
          <w:r>
            <w:tab/>
          </w:r>
          <w:r>
            <w:t xml:space="preserve">28</w:t>
          </w:r>
        </w:p>
        <w:p>
          <w:pPr>
            <w:pStyle w:val="TOC2"/>
            <w:tabs>
              <w:tab w:val="right" w:leader="dot" w:pos="9072"/>
            </w:tabs>
          </w:pPr>
          <w:r>
            <w:t xml:space="preserve">6.2 Training (FR/AR Bilingual)</w:t>
          </w:r>
          <w:r>
            <w:tab/>
          </w:r>
          <w:r>
            <w:t xml:space="preserve">29</w:t>
          </w:r>
        </w:p>
        <w:p>
          <w:pPr>
            <w:pStyle w:val="TOC2"/>
            <w:tabs>
              <w:tab w:val="right" w:leader="dot" w:pos="9072"/>
            </w:tabs>
          </w:pPr>
          <w:r>
            <w:t xml:space="preserve">6.3 Accelerators and Risks</w:t>
          </w:r>
          <w:r>
            <w:tab/>
          </w:r>
          <w:r>
            <w:t xml:space="preserve">30</w:t>
          </w:r>
        </w:p>
        <w:p>
          <w:pPr>
            <w:pStyle w:val="TOC1"/>
            <w:tabs>
              <w:tab w:val="right" w:leader="dot" w:pos="9072"/>
            </w:tabs>
          </w:pPr>
          <w:r>
            <w:t xml:space="preserve">7. Commercial Terms</w:t>
          </w:r>
          <w:r>
            <w:tab/>
          </w:r>
          <w:r>
            <w:t xml:space="preserve">31</w:t>
          </w:r>
        </w:p>
        <w:p>
          <w:pPr>
            <w:pStyle w:val="TOC2"/>
            <w:tabs>
              <w:tab w:val="right" w:leader="dot" w:pos="9072"/>
            </w:tabs>
          </w:pPr>
          <w:r>
            <w:t xml:space="preserve">7.1 Contract Structure</w:t>
          </w:r>
          <w:r>
            <w:tab/>
          </w:r>
          <w:r>
            <w:t xml:space="preserve">32</w:t>
          </w:r>
        </w:p>
        <w:p>
          <w:pPr>
            <w:pStyle w:val="TOC2"/>
            <w:tabs>
              <w:tab w:val="right" w:leader="dot" w:pos="9072"/>
            </w:tabs>
          </w:pPr>
          <w:r>
            <w:t xml:space="preserve">7.2 Payment Schedule</w:t>
          </w:r>
          <w:r>
            <w:tab/>
          </w:r>
          <w:r>
            <w:t xml:space="preserve">33</w:t>
          </w:r>
        </w:p>
        <w:p>
          <w:pPr>
            <w:pStyle w:val="TOC2"/>
            <w:tabs>
              <w:tab w:val="right" w:leader="dot" w:pos="9072"/>
            </w:tabs>
          </w:pPr>
          <w:r>
            <w:t xml:space="preserve">7.3 Currency and Duration</w:t>
          </w:r>
          <w:r>
            <w:tab/>
          </w:r>
          <w:r>
            <w:t xml:space="preserve">34</w:t>
          </w:r>
        </w:p>
        <w:p>
          <w:pPr>
            <w:pStyle w:val="TOC2"/>
            <w:tabs>
              <w:tab w:val="right" w:leader="dot" w:pos="9072"/>
            </w:tabs>
          </w:pPr>
          <w:r>
            <w:t xml:space="preserve">7.4 Key Terms</w:t>
          </w:r>
          <w:r>
            <w:tab/>
          </w:r>
          <w:r>
            <w:t xml:space="preserve">35</w:t>
          </w:r>
        </w:p>
        <w:p>
          <w:pPr>
            <w:pStyle w:val="TOC1"/>
            <w:tabs>
              <w:tab w:val="right" w:leader="dot" w:pos="9072"/>
            </w:tabs>
          </w:pPr>
          <w:r>
            <w:t xml:space="preserve">8. Total Cost of Ownership</w:t>
          </w:r>
          <w:r>
            <w:tab/>
          </w:r>
          <w:r>
            <w:t xml:space="preserve">36</w:t>
          </w:r>
        </w:p>
        <w:p>
          <w:pPr>
            <w:pStyle w:val="TOC2"/>
            <w:tabs>
              <w:tab w:val="right" w:leader="dot" w:pos="9072"/>
            </w:tabs>
          </w:pPr>
          <w:r>
            <w:t xml:space="preserve">8.1 Three-Year TCO Comparison</w:t>
          </w:r>
          <w:r>
            <w:tab/>
          </w:r>
          <w:r>
            <w:t xml:space="preserve">37</w:t>
          </w:r>
        </w:p>
        <w:p>
          <w:pPr>
            <w:pStyle w:val="TOC2"/>
            <w:tabs>
              <w:tab w:val="right" w:leader="dot" w:pos="9072"/>
            </w:tabs>
          </w:pPr>
          <w:r>
            <w:t xml:space="preserve">8.2 Five-Year Projection</w:t>
          </w:r>
          <w:r>
            <w:tab/>
          </w:r>
          <w:r>
            <w:t xml:space="preserve">38</w:t>
          </w:r>
        </w:p>
        <w:p>
          <w:pPr>
            <w:pStyle w:val="TOC1"/>
            <w:tabs>
              <w:tab w:val="right" w:leader="dot" w:pos="9072"/>
            </w:tabs>
          </w:pPr>
          <w:r>
            <w:t xml:space="preserve">9. Reference Clients</w:t>
          </w:r>
          <w:r>
            <w:tab/>
          </w:r>
          <w:r>
            <w:t xml:space="preserve">39</w:t>
          </w:r>
        </w:p>
        <w:p>
          <w:pPr>
            <w:pStyle w:val="TOC1"/>
            <w:tabs>
              <w:tab w:val="right" w:leader="dot" w:pos="9072"/>
            </w:tabs>
          </w:pPr>
          <w:r>
            <w:t xml:space="preserve">10. Next Steps</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Tokenized Securities Issuance and Trading Framework"</w:t>
      </w:r>
    </w:p>
    <w:p>
      <w:r>
        <w:rPr>
          <w:rFonts w:ascii="Figtree" w:hAnsi="Figtree"/>
          <w:b w:val="0"/>
          <w:i w:val="0"/>
          <w:sz w:val="22"/>
        </w:rPr>
        <w:t>client: "Casablanca Stock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"CASABLANCA-STOCK-EXCHANGE-RFP-TOKENIZED-SECURITIES-MOROCCO-202603"</w:t>
      </w:r>
    </w:p>
    <w:p>
      <w:r>
        <w:br w:type="page"/>
      </w:r>
    </w:p>
    <w:p>
      <w:pPr>
        <w:pStyle w:val="H1"/>
        <w:numPr>
          <w:ilvl w:val="0"/>
          <w:numId w:val="1"/>
        </w:numPr>
      </w:pPr>
      <w:r>
        <w:t>Commercial Proposal</w:t>
      </w:r>
    </w:p>
    <w:p>
      <w:pPr>
        <w:pStyle w:val="H2"/>
        <w:numPr>
          <w:ilvl w:val="1"/>
          <w:numId w:val="1"/>
        </w:numPr>
      </w:pPr>
      <w:r>
        <w:t>Tokenized Securities Issuance and Trading Framework</w:t>
      </w:r>
    </w:p>
    <w:p>
      <w:r>
        <w:br w:type="page"/>
      </w:r>
    </w:p>
    <w:p>
      <w:r>
        <w:rPr>
          <w:rFonts w:ascii="Figtree" w:hAnsi="Figtree"/>
          <w:b/>
          <w:i w:val="0"/>
          <w:sz w:val="22"/>
        </w:rPr>
        <w:t>Document Title:</w:t>
      </w:r>
      <w:r>
        <w:rPr>
          <w:rFonts w:ascii="Figtree" w:hAnsi="Figtree"/>
          <w:b w:val="0"/>
          <w:i w:val="0"/>
          <w:sz w:val="22"/>
        </w:rPr>
        <w:t xml:space="preserve"> Commercial Proposal — Tokenized Securities Issuance and Trading Framework</w:t>
      </w:r>
    </w:p>
    <w:p>
      <w:r>
        <w:rPr>
          <w:rFonts w:ascii="Figtree" w:hAnsi="Figtree"/>
          <w:b/>
          <w:i w:val="0"/>
          <w:sz w:val="22"/>
        </w:rPr>
        <w:t>Client:</w:t>
      </w:r>
      <w:r>
        <w:rPr>
          <w:rFonts w:ascii="Figtree" w:hAnsi="Figtree"/>
          <w:b w:val="0"/>
          <w:i w:val="0"/>
          <w:sz w:val="22"/>
        </w:rPr>
        <w:t xml:space="preserve"> Casablanca Stock Exchange (Bourse de Casablanca)</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Casablanca Stock Exchange is making a strategic infrastructure decision that will determine Morocco's position at the forefront of African capital markets digitalization. The procurement spans three dimensions: build credibility for tokenized securities under AMMC oversight, integrate cleanly with Maroclear and existing market infrastructure, and operate sustainably within the Moroccan and international regulatory perimeter.</w:t>
      </w:r>
    </w:p>
    <w:p>
      <w:r>
        <w:rPr>
          <w:rFonts w:ascii="Figtree" w:hAnsi="Figtree"/>
          <w:b w:val="0"/>
          <w:i w:val="0"/>
          <w:sz w:val="22"/>
        </w:rPr>
        <w:t>SettleMint recommends DALP Enterprise tier on a private cloud deployment in EU cloud regions (OVHcloud or Azure France Central), with Enterprise 24/7 support including French-language capability.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2"/>
        <w:gridCol w:w="1494"/>
        <w:gridCol w:w="1280"/>
        <w:gridCol w:w="1280"/>
        <w:gridCol w:w="14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 Private Cloud)</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 (FR-capable)</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 (FR/AR bilingual)</w:t>
            </w:r>
          </w:p>
        </w:tc>
        <w:tc>
          <w:tcPr>
            <w:tcW w:type="dxa" w:w="1949"/>
            <w:vAlign w:val="center"/>
          </w:tcPr>
          <w:p>
            <w:pPr>
              <w:spacing w:line="276" w:lineRule="auto" w:before="0" w:after="0"/>
            </w:pPr>
            <w:r/>
            <w:r>
              <w:rPr>
                <w:rFonts w:ascii="Figtree" w:hAnsi="Figtree"/>
                <w:b w:val="0"/>
                <w:i w:val="0"/>
                <w:sz w:val="20"/>
              </w:rPr>
              <w:t>$28,000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$1,004,000</w:t>
            </w:r>
          </w:p>
        </w:tc>
        <w:tc>
          <w:tcPr>
            <w:tcW w:type="dxa" w:w="1949"/>
            <w:vAlign w:val="center"/>
          </w:tcPr>
          <w:p>
            <w:pPr>
              <w:spacing w:line="276" w:lineRule="auto" w:before="0" w:after="0"/>
            </w:pPr>
            <w:r/>
            <w:r>
              <w:rPr>
                <w:rFonts w:ascii="Figtree" w:hAnsi="Figtree"/>
                <w:b/>
                <w:i w:val="0"/>
                <w:sz w:val="20"/>
              </w:rPr>
              <w:t>$696,000</w:t>
            </w:r>
          </w:p>
        </w:tc>
        <w:tc>
          <w:tcPr>
            <w:tcW w:type="dxa" w:w="1949"/>
            <w:vAlign w:val="center"/>
          </w:tcPr>
          <w:p>
            <w:pPr>
              <w:spacing w:line="276" w:lineRule="auto" w:before="0" w:after="0"/>
            </w:pPr>
            <w:r/>
            <w:r>
              <w:rPr>
                <w:rFonts w:ascii="Figtree" w:hAnsi="Figtree"/>
                <w:b/>
                <w:i w:val="0"/>
                <w:sz w:val="20"/>
              </w:rPr>
              <w:t>$708,000</w:t>
            </w:r>
          </w:p>
        </w:tc>
        <w:tc>
          <w:tcPr>
            <w:tcW w:type="dxa" w:w="1949"/>
            <w:vAlign w:val="center"/>
          </w:tcPr>
          <w:p>
            <w:pPr>
              <w:spacing w:line="276" w:lineRule="auto" w:before="0" w:after="0"/>
            </w:pPr>
            <w:r/>
            <w:r>
              <w:rPr>
                <w:rFonts w:ascii="Figtree" w:hAnsi="Figtree"/>
                <w:b/>
                <w:i w:val="0"/>
                <w:sz w:val="20"/>
              </w:rPr>
              <w:t>$2,408,000</w:t>
            </w:r>
          </w:p>
        </w:tc>
      </w:tr>
    </w:tbl>
    <w:p>
      <w:pPr>
        <w:spacing w:before="0" w:after="0" w:line="120" w:lineRule="exact"/>
      </w:pPr>
    </w:p>
    <w:p>
      <w:r>
        <w:rPr>
          <w:rFonts w:ascii="Figtree" w:hAnsi="Figtree"/>
          <w:b w:val="0"/>
          <w:i w:val="0"/>
          <w:sz w:val="22"/>
        </w:rPr>
        <w:t>&gt; Indicative USD amounts. Infrastructure estimated at EU cloud rates (OVHcloud or Azure France Central). Training premium reflects bilingual French/Arabic delivery.</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 EU region (OVHcloud Roubaix or Azure France Central)</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24/7, French-language capability</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w:t>
      </w:r>
    </w:p>
    <w:p>
      <w:pPr>
        <w:pStyle w:val="ListParagraph"/>
        <w:numPr>
          <w:ilvl w:val="0"/>
          <w:numId w:val="4"/>
        </w:numPr>
      </w:pPr>
      <w:r>
        <w:rPr>
          <w:rFonts w:ascii="Figtree" w:hAnsi="Figtree"/>
          <w:b/>
          <w:i w:val="0"/>
          <w:sz w:val="22"/>
        </w:rPr>
        <w:t>Currency:</w:t>
      </w:r>
      <w:r>
        <w:rPr>
          <w:rFonts w:ascii="Figtree" w:hAnsi="Figtree"/>
          <w:b w:val="0"/>
          <w:i w:val="0"/>
          <w:sz w:val="22"/>
        </w:rPr>
        <w:t xml:space="preserve"> USD or EUR equivalent at contract signing exchange rate</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Casablanca Stock Exchange does not currently have tokenized securities infrastructure. The cost of the current approach is the cost of market position delay plus build cost if the Exchange attempted to develop independently.</w:t>
      </w:r>
    </w:p>
    <w:p>
      <w:r>
        <w:rPr>
          <w:rFonts w:ascii="Figtree" w:hAnsi="Figtree"/>
          <w:b/>
          <w:i w:val="0"/>
          <w:sz w:val="22"/>
        </w:rPr>
        <w:t>Competitive position:</w:t>
      </w:r>
      <w:r>
        <w:rPr>
          <w:rFonts w:ascii="Figtree" w:hAnsi="Figtree"/>
          <w:b w:val="0"/>
          <w:i w:val="0"/>
          <w:sz w:val="22"/>
        </w:rPr>
        <w:t xml:space="preserve"> Exchanges across Africa and the Middle East are investing in digital asset capabilities. Each quarter of delay represents lost first-mover positioning in the Casablanca Finance City context, where being the first African exchange with operational tokenized securities capability carries significant institutional value.</w:t>
      </w:r>
    </w:p>
    <w:p>
      <w:r>
        <w:rPr>
          <w:rFonts w:ascii="Figtree" w:hAnsi="Figtree"/>
          <w:b/>
          <w:i w:val="0"/>
          <w:sz w:val="22"/>
        </w:rPr>
        <w:t>Build cost (Morocco context):</w:t>
      </w:r>
      <w:r>
        <w:rPr>
          <w:rFonts w:ascii="Figtree" w:hAnsi="Figtree"/>
          <w:b w:val="0"/>
          <w:i w:val="0"/>
          <w:sz w:val="22"/>
        </w:rPr>
        <w:t xml:space="preserve"> Smart contract development team (4-5 engineers with French-language capability, 18-24 months): $700,000-$1,000,000. Compliance and regulatory layer development: $200,000-$300,000. Maroclear integration: $150,000-$250,000. French/Arabic UI and operational tooling: $100,000-$200,000. Estimated build total: $1,150,000-$1,750,000 before ongoing maintenance.</w:t>
      </w:r>
    </w:p>
    <w:p>
      <w:pPr>
        <w:pStyle w:val="H2"/>
        <w:numPr>
          <w:ilvl w:val="1"/>
          <w:numId w:val="1"/>
        </w:numPr>
      </w:pPr>
      <w:r>
        <w:t>2.2 Why DALP Changes Economics</w:t>
      </w:r>
    </w:p>
    <w:p>
      <w:r>
        <w:rPr>
          <w:rFonts w:ascii="Figtree" w:hAnsi="Figtree"/>
          <w:b w:val="0"/>
          <w:i w:val="0"/>
          <w:sz w:val="22"/>
        </w:rPr>
        <w:t>DALP's platform economics provide three specific advantages for Casablanca Stock Exchange:</w:t>
      </w:r>
    </w:p>
    <w:p>
      <w:pPr>
        <w:pStyle w:val="ListParagraph"/>
        <w:numPr>
          <w:ilvl w:val="0"/>
          <w:numId w:val="7"/>
        </w:numPr>
      </w:pPr>
      <w:r>
        <w:rPr>
          <w:rFonts w:ascii="Figtree" w:hAnsi="Figtree"/>
          <w:b/>
          <w:i w:val="0"/>
          <w:sz w:val="22"/>
        </w:rPr>
        <w:t>Moroccan regulatory configuration without development:</w:t>
      </w:r>
      <w:r>
        <w:rPr>
          <w:rFonts w:ascii="Figtree" w:hAnsi="Figtree"/>
          <w:b w:val="0"/>
          <w:i w:val="0"/>
          <w:sz w:val="22"/>
        </w:rPr>
        <w:t xml:space="preserve"> AMMC compliance rules are configured through the compliance module framework — no custom development required when AMMC guidance evolves.</w:t>
      </w:r>
    </w:p>
    <w:p>
      <w:pPr>
        <w:pStyle w:val="ListParagraph"/>
        <w:numPr>
          <w:ilvl w:val="0"/>
          <w:numId w:val="7"/>
        </w:numPr>
      </w:pPr>
      <w:r>
        <w:rPr>
          <w:rFonts w:ascii="Figtree" w:hAnsi="Figtree"/>
          <w:b/>
          <w:i w:val="0"/>
          <w:sz w:val="22"/>
        </w:rPr>
        <w:t>Maroclear integration via pre-built ISO 20022 adapter:</w:t>
      </w:r>
      <w:r>
        <w:rPr>
          <w:rFonts w:ascii="Figtree" w:hAnsi="Figtree"/>
          <w:b w:val="0"/>
          <w:i w:val="0"/>
          <w:sz w:val="22"/>
        </w:rPr>
        <w:t xml:space="preserve"> The settlement integration pattern is pre-built. Custom development is only required for non-standard Maroclear message variations identified during Phase 1.</w:t>
      </w:r>
    </w:p>
    <w:p>
      <w:pPr>
        <w:pStyle w:val="ListParagraph"/>
        <w:numPr>
          <w:ilvl w:val="0"/>
          <w:numId w:val="7"/>
        </w:numPr>
      </w:pPr>
      <w:r>
        <w:rPr>
          <w:rFonts w:ascii="Figtree" w:hAnsi="Figtree"/>
          <w:b/>
          <w:i w:val="0"/>
          <w:sz w:val="22"/>
        </w:rPr>
        <w:t>Sukuk support included:</w:t>
      </w:r>
      <w:r>
        <w:rPr>
          <w:rFonts w:ascii="Figtree" w:hAnsi="Figtree"/>
          <w:b w:val="0"/>
          <w:i w:val="0"/>
          <w:sz w:val="22"/>
        </w:rPr>
        <w:t xml:space="preserve"> Islamic finance instrument configuration is available through the existing compliance and yield framework — no additional sukuk-specific development cost.</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1905"/>
        <w:gridCol w:w="2363"/>
        <w:gridCol w:w="32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2436"/>
            <w:vAlign w:val="center"/>
          </w:tcPr>
          <w:p>
            <w:pPr>
              <w:spacing w:line="276" w:lineRule="auto" w:before="0" w:after="0"/>
            </w:pPr>
            <w:r/>
            <w:r>
              <w:rPr>
                <w:rFonts w:ascii="Figtree" w:hAnsi="Figtree"/>
                <w:b w:val="0"/>
                <w:i w:val="0"/>
                <w:sz w:val="20"/>
              </w:rPr>
              <w:t>Build cost avoidance</w:t>
            </w:r>
          </w:p>
        </w:tc>
        <w:tc>
          <w:tcPr>
            <w:tcW w:type="dxa" w:w="2436"/>
            <w:vAlign w:val="center"/>
          </w:tcPr>
          <w:p>
            <w:pPr>
              <w:spacing w:line="276" w:lineRule="auto" w:before="0" w:after="0"/>
            </w:pPr>
            <w:r/>
            <w:r>
              <w:rPr>
                <w:rFonts w:ascii="Figtree" w:hAnsi="Figtree"/>
                <w:b w:val="0"/>
                <w:i w:val="0"/>
                <w:sz w:val="20"/>
              </w:rPr>
              <w:t>$1.15M-$1.75M build</w:t>
            </w:r>
          </w:p>
        </w:tc>
        <w:tc>
          <w:tcPr>
            <w:tcW w:type="dxa" w:w="2436"/>
            <w:vAlign w:val="center"/>
          </w:tcPr>
          <w:p>
            <w:pPr>
              <w:spacing w:line="276" w:lineRule="auto" w:before="0" w:after="0"/>
            </w:pPr>
            <w:r/>
            <w:r>
              <w:rPr>
                <w:rFonts w:ascii="Figtree" w:hAnsi="Figtree"/>
                <w:b w:val="0"/>
                <w:i w:val="0"/>
                <w:sz w:val="20"/>
              </w:rPr>
              <w:t>Platform licence</w:t>
            </w:r>
          </w:p>
        </w:tc>
        <w:tc>
          <w:tcPr>
            <w:tcW w:type="dxa" w:w="2436"/>
            <w:vAlign w:val="center"/>
          </w:tcPr>
          <w:p>
            <w:pPr>
              <w:spacing w:line="276" w:lineRule="auto" w:before="0" w:after="0"/>
            </w:pPr>
            <w:r/>
            <w:r>
              <w:rPr>
                <w:rFonts w:ascii="Figtree" w:hAnsi="Figtree"/>
                <w:b w:val="0"/>
                <w:i w:val="0"/>
                <w:sz w:val="20"/>
              </w:rPr>
              <w:t>Year 1 avoidance</w:t>
            </w:r>
          </w:p>
        </w:tc>
      </w:tr>
      <w:tr>
        <w:trPr>
          <w:trHeight w:val="425" w:hRule="atLeast"/>
        </w:trPr>
        <w:tc>
          <w:tcPr>
            <w:tcW w:type="dxa" w:w="2436"/>
            <w:vAlign w:val="center"/>
          </w:tcPr>
          <w:p>
            <w:pPr>
              <w:spacing w:line="276" w:lineRule="auto" w:before="0" w:after="0"/>
            </w:pPr>
            <w:r/>
            <w:r>
              <w:rPr>
                <w:rFonts w:ascii="Figtree" w:hAnsi="Figtree"/>
                <w:b w:val="0"/>
                <w:i w:val="0"/>
                <w:sz w:val="20"/>
              </w:rPr>
              <w:t>Maintenance avoidance</w:t>
            </w:r>
          </w:p>
        </w:tc>
        <w:tc>
          <w:tcPr>
            <w:tcW w:type="dxa" w:w="2436"/>
            <w:vAlign w:val="center"/>
          </w:tcPr>
          <w:p>
            <w:pPr>
              <w:spacing w:line="276" w:lineRule="auto" w:before="0" w:after="0"/>
            </w:pPr>
            <w:r/>
            <w:r>
              <w:rPr>
                <w:rFonts w:ascii="Figtree" w:hAnsi="Figtree"/>
                <w:b w:val="0"/>
                <w:i w:val="0"/>
                <w:sz w:val="20"/>
              </w:rPr>
              <w:t>3 FTE maintenance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$400,000-$600,000/year</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cost</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Automated audit packs</w:t>
            </w:r>
          </w:p>
        </w:tc>
        <w:tc>
          <w:tcPr>
            <w:tcW w:type="dxa" w:w="2436"/>
            <w:vAlign w:val="center"/>
          </w:tcPr>
          <w:p>
            <w:pPr>
              <w:spacing w:line="276" w:lineRule="auto" w:before="0" w:after="0"/>
            </w:pPr>
            <w:r/>
            <w:r>
              <w:rPr>
                <w:rFonts w:ascii="Figtree" w:hAnsi="Figtree"/>
                <w:b w:val="0"/>
                <w:i w:val="0"/>
                <w:sz w:val="20"/>
              </w:rPr>
              <w:t>$50,000-$100,000/year</w:t>
            </w:r>
          </w:p>
        </w:tc>
      </w:tr>
      <w:tr>
        <w:trPr>
          <w:trHeight w:val="425" w:hRule="atLeast"/>
        </w:trPr>
        <w:tc>
          <w:tcPr>
            <w:tcW w:type="dxa" w:w="2436"/>
            <w:vAlign w:val="center"/>
          </w:tcPr>
          <w:p>
            <w:pPr>
              <w:spacing w:line="276" w:lineRule="auto" w:before="0" w:after="0"/>
            </w:pPr>
            <w:r/>
            <w:r>
              <w:rPr>
                <w:rFonts w:ascii="Figtree" w:hAnsi="Figtree"/>
                <w:b w:val="0"/>
                <w:i w:val="0"/>
                <w:sz w:val="20"/>
              </w:rPr>
              <w:t>Market position</w:t>
            </w:r>
          </w:p>
        </w:tc>
        <w:tc>
          <w:tcPr>
            <w:tcW w:type="dxa" w:w="2436"/>
            <w:vAlign w:val="center"/>
          </w:tcPr>
          <w:p>
            <w:pPr>
              <w:spacing w:line="276" w:lineRule="auto" w:before="0" w:after="0"/>
            </w:pPr>
            <w:r/>
            <w:r>
              <w:rPr>
                <w:rFonts w:ascii="Figtree" w:hAnsi="Figtree"/>
                <w:b w:val="0"/>
                <w:i w:val="0"/>
                <w:sz w:val="20"/>
              </w:rPr>
              <w:t>No tokenized market</w:t>
            </w:r>
          </w:p>
        </w:tc>
        <w:tc>
          <w:tcPr>
            <w:tcW w:type="dxa" w:w="2436"/>
            <w:vAlign w:val="center"/>
          </w:tcPr>
          <w:p>
            <w:pPr>
              <w:spacing w:line="276" w:lineRule="auto" w:before="0" w:after="0"/>
            </w:pPr>
            <w:r/>
            <w:r>
              <w:rPr>
                <w:rFonts w:ascii="Figtree" w:hAnsi="Figtree"/>
                <w:b w:val="0"/>
                <w:i w:val="0"/>
                <w:sz w:val="20"/>
              </w:rPr>
              <w:t>First African exchange platform</w:t>
            </w:r>
          </w:p>
        </w:tc>
        <w:tc>
          <w:tcPr>
            <w:tcW w:type="dxa" w:w="2436"/>
            <w:vAlign w:val="center"/>
          </w:tcPr>
          <w:p>
            <w:pPr>
              <w:spacing w:line="276" w:lineRule="auto" w:before="0" w:after="0"/>
            </w:pPr>
            <w:r/>
            <w:r>
              <w:rPr>
                <w:rFonts w:ascii="Figtree" w:hAnsi="Figtree"/>
                <w:b w:val="0"/>
                <w:i w:val="0"/>
                <w:sz w:val="20"/>
              </w:rPr>
              <w:t>Issuer and investor revenue (CSE-specific)</w:t>
            </w:r>
          </w:p>
        </w:tc>
      </w:tr>
      <w:tr>
        <w:trPr>
          <w:trHeight w:val="425" w:hRule="atLeast"/>
        </w:trPr>
        <w:tc>
          <w:tcPr>
            <w:tcW w:type="dxa" w:w="2436"/>
            <w:vAlign w:val="center"/>
          </w:tcPr>
          <w:p>
            <w:pPr>
              <w:spacing w:line="276" w:lineRule="auto" w:before="0" w:after="0"/>
            </w:pPr>
            <w:r/>
            <w:r>
              <w:rPr>
                <w:rFonts w:ascii="Figtree" w:hAnsi="Figtree"/>
                <w:b w:val="0"/>
                <w:i w:val="0"/>
                <w:sz w:val="20"/>
              </w:rPr>
              <w:t>Operations efficiency</w:t>
            </w:r>
          </w:p>
        </w:tc>
        <w:tc>
          <w:tcPr>
            <w:tcW w:type="dxa" w:w="2436"/>
            <w:vAlign w:val="center"/>
          </w:tcPr>
          <w:p>
            <w:pPr>
              <w:spacing w:line="276" w:lineRule="auto" w:before="0" w:after="0"/>
            </w:pPr>
            <w:r/>
            <w:r>
              <w:rPr>
                <w:rFonts w:ascii="Figtree" w:hAnsi="Figtree"/>
                <w:b w:val="0"/>
                <w:i w:val="0"/>
                <w:sz w:val="20"/>
              </w:rPr>
              <w:t>Manual exception handling</w:t>
            </w:r>
          </w:p>
        </w:tc>
        <w:tc>
          <w:tcPr>
            <w:tcW w:type="dxa" w:w="2436"/>
            <w:vAlign w:val="center"/>
          </w:tcPr>
          <w:p>
            <w:pPr>
              <w:spacing w:line="276" w:lineRule="auto" w:before="0" w:after="0"/>
            </w:pPr>
            <w:r/>
            <w:r>
              <w:rPr>
                <w:rFonts w:ascii="Figtree" w:hAnsi="Figtree"/>
                <w:b w:val="0"/>
                <w:i w:val="0"/>
                <w:sz w:val="20"/>
              </w:rPr>
              <w:t>Automated workflows</w:t>
            </w:r>
          </w:p>
        </w:tc>
        <w:tc>
          <w:tcPr>
            <w:tcW w:type="dxa" w:w="2436"/>
            <w:vAlign w:val="center"/>
          </w:tcPr>
          <w:p>
            <w:pPr>
              <w:spacing w:line="276" w:lineRule="auto" w:before="0" w:after="0"/>
            </w:pPr>
            <w:r/>
            <w:r>
              <w:rPr>
                <w:rFonts w:ascii="Figtree" w:hAnsi="Figtree"/>
                <w:b w:val="0"/>
                <w:i w:val="0"/>
                <w:sz w:val="20"/>
              </w:rPr>
              <w:t>$100,000-$200,000/year</w:t>
            </w:r>
          </w:p>
        </w:tc>
      </w:tr>
    </w:tbl>
    <w:p>
      <w:pPr>
        <w:spacing w:before="0" w:after="0" w:line="120" w:lineRule="exact"/>
      </w:pP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DALP is licensed as a platform with a predictable annual fee independent of transaction volume. Casablanca Stock Exchange's digital securities growth should not create escalating platform costs — the licence includes all lifecycle capabilities from first instrument through scale.</w:t>
      </w:r>
    </w:p>
    <w:p>
      <w:pPr>
        <w:pStyle w:val="H2"/>
        <w:numPr>
          <w:ilvl w:val="1"/>
          <w:numId w:val="1"/>
        </w:numPr>
      </w:pPr>
      <w:r>
        <w:t>3.2 What's Included</w:t>
      </w:r>
    </w:p>
    <w:p>
      <w:r>
        <w:rPr>
          <w:rFonts w:ascii="Figtree" w:hAnsi="Figtree"/>
          <w:b w:val="0"/>
          <w:i w:val="0"/>
          <w:sz w:val="22"/>
        </w:rPr>
        <w:t>All DALP capabilities are included in the Enterprise licence: bond, equity, sukuk-aligned, and fund asset types; all twelve compliance modules including country lists, investor class controls, and AMMC-configured eligibility rules; XvP settlement addon; Yield addon for coupon/profit distribution; document management with cryptographic versioning; French and Arabic UI support; complete OpenAPI 3.1 and webhook access; observability tooling.</w:t>
      </w:r>
    </w:p>
    <w:p>
      <w:pPr>
        <w:pStyle w:val="H2"/>
        <w:numPr>
          <w:ilvl w:val="1"/>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4"/>
        <w:gridCol w:w="1551"/>
        <w:gridCol w:w="2864"/>
        <w:gridCol w:w="167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Bilingual support (FR/AR)</w:t>
            </w:r>
          </w:p>
        </w:tc>
        <w:tc>
          <w:tcPr>
            <w:tcW w:type="dxa" w:w="2436"/>
            <w:vAlign w:val="center"/>
          </w:tcPr>
          <w:p>
            <w:pPr>
              <w:spacing w:line="276" w:lineRule="auto" w:before="0" w:after="0"/>
            </w:pPr>
            <w:r/>
            <w:r>
              <w:rPr>
                <w:rFonts w:ascii="Figtree" w:hAnsi="Figtree"/>
                <w:b w:val="0"/>
                <w:i w:val="0"/>
                <w:sz w:val="20"/>
              </w:rPr>
              <w:t>Documentation</w:t>
            </w:r>
          </w:p>
        </w:tc>
        <w:tc>
          <w:tcPr>
            <w:tcW w:type="dxa" w:w="2436"/>
            <w:vAlign w:val="center"/>
          </w:tcPr>
          <w:p>
            <w:pPr>
              <w:spacing w:line="276" w:lineRule="auto" w:before="0" w:after="0"/>
            </w:pPr>
            <w:r/>
            <w:r>
              <w:rPr>
                <w:rFonts w:ascii="Figtree" w:hAnsi="Figtree"/>
                <w:b w:val="0"/>
                <w:i w:val="0"/>
                <w:sz w:val="20"/>
              </w:rPr>
              <w:t>Full UI + Support</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Islamic finance config</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 AAOIFI template</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SLA</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 24/7 FR</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Recommended tier:</w:t>
      </w:r>
      <w:r>
        <w:rPr>
          <w:rFonts w:ascii="Figtree" w:hAnsi="Figtree"/>
          <w:b w:val="0"/>
          <w:i w:val="0"/>
          <w:sz w:val="22"/>
        </w:rPr>
        <w:t xml:space="preserve"> Enterprise. Four environments, French/Arabic support, full Islamic finance configuration, 99.9% SLA, and 24/7 FR-capable support align with Casablanca's operational and regulatory requirements.</w:t>
      </w:r>
    </w:p>
    <w:p>
      <w:r>
        <w:br w:type="page"/>
      </w:r>
    </w:p>
    <w:p>
      <w:pPr>
        <w:pStyle w:val="H1"/>
        <w:numPr>
          <w:ilvl w:val="0"/>
          <w:numId w:val="1"/>
        </w:numPr>
      </w:pPr>
      <w:r>
        <w:t>4. Deployment Options and Pricing</w:t>
      </w:r>
    </w:p>
    <w:p>
      <w:pPr>
        <w:pStyle w:val="H2"/>
        <w:numPr>
          <w:ilvl w:val="1"/>
          <w:numId w:val="1"/>
        </w:numPr>
      </w:pPr>
      <w:r>
        <w:t>4.1 Recommended: EU Private Cloud (OVHcloud / Azure France Central)</w:t>
      </w:r>
    </w:p>
    <w:p>
      <w:r>
        <w:rPr>
          <w:rFonts w:ascii="Figtree" w:hAnsi="Figtree"/>
          <w:b w:val="0"/>
          <w:i w:val="0"/>
          <w:sz w:val="22"/>
        </w:rPr>
        <w:t>Private cloud deployment in EU (OVHcloud Roubaix, France or Azure France Central) provides:</w:t>
      </w:r>
    </w:p>
    <w:p>
      <w:pPr>
        <w:pStyle w:val="ListParagraph"/>
        <w:numPr>
          <w:ilvl w:val="0"/>
          <w:numId w:val="4"/>
        </w:numPr>
      </w:pPr>
      <w:r>
        <w:rPr>
          <w:rFonts w:ascii="Figtree" w:hAnsi="Figtree"/>
          <w:b w:val="0"/>
          <w:i w:val="0"/>
          <w:sz w:val="22"/>
        </w:rPr>
        <w:t>EU data protection (GDPR/adequacy agreement with Morocco)</w:t>
      </w:r>
    </w:p>
    <w:p>
      <w:pPr>
        <w:pStyle w:val="ListParagraph"/>
        <w:numPr>
          <w:ilvl w:val="0"/>
          <w:numId w:val="4"/>
        </w:numPr>
      </w:pPr>
      <w:r>
        <w:rPr>
          <w:rFonts w:ascii="Figtree" w:hAnsi="Figtree"/>
          <w:b w:val="0"/>
          <w:i w:val="0"/>
          <w:sz w:val="22"/>
        </w:rPr>
        <w:t>Strong latency to Casablanca (&lt; 20ms typical)</w:t>
      </w:r>
    </w:p>
    <w:p>
      <w:pPr>
        <w:pStyle w:val="ListParagraph"/>
        <w:numPr>
          <w:ilvl w:val="0"/>
          <w:numId w:val="4"/>
        </w:numPr>
      </w:pPr>
      <w:r>
        <w:rPr>
          <w:rFonts w:ascii="Figtree" w:hAnsi="Figtree"/>
          <w:b w:val="0"/>
          <w:i w:val="0"/>
          <w:sz w:val="22"/>
        </w:rPr>
        <w:t>French-speaking cloud provider relationship (OVHcloud)</w:t>
      </w:r>
    </w:p>
    <w:p>
      <w:pPr>
        <w:pStyle w:val="ListParagraph"/>
        <w:numPr>
          <w:ilvl w:val="0"/>
          <w:numId w:val="4"/>
        </w:numPr>
      </w:pPr>
      <w:r>
        <w:rPr>
          <w:rFonts w:ascii="Figtree" w:hAnsi="Figtree"/>
          <w:b w:val="0"/>
          <w:i w:val="0"/>
          <w:sz w:val="22"/>
        </w:rPr>
        <w:t>No data sovereignty risk under Morocco's current regulatory framework</w:t>
      </w:r>
    </w:p>
    <w:p>
      <w:r>
        <w:rPr>
          <w:rFonts w:ascii="Figtree" w:hAnsi="Figtree"/>
          <w:b w:val="0"/>
          <w:i w:val="0"/>
          <w:sz w:val="22"/>
        </w:rPr>
        <w:t>Indicative annual infrastructure cost: $72,000. Basis: 4 Besu validator nodes (OVHcloud iHG-120 or Azure D4s_v3), 2 application tier instances, PostgreSQL managed, Redis, Key Vault, WAF, monitoring, EU region.</w:t>
      </w:r>
    </w:p>
    <w:p>
      <w:pPr>
        <w:pStyle w:val="H2"/>
        <w:numPr>
          <w:ilvl w:val="1"/>
          <w:numId w:val="1"/>
        </w:numPr>
      </w:pPr>
      <w:r>
        <w:t>4.2 Deployment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1778"/>
        <w:gridCol w:w="1245"/>
        <w:gridCol w:w="1689"/>
        <w:gridCol w:w="168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Infra 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EU Private Cloud (Recommended)</w:t>
            </w:r>
          </w:p>
        </w:tc>
        <w:tc>
          <w:tcPr>
            <w:tcW w:type="dxa" w:w="1949"/>
            <w:vAlign w:val="center"/>
          </w:tcPr>
          <w:p>
            <w:pPr>
              <w:spacing w:line="276" w:lineRule="auto" w:before="0" w:after="0"/>
            </w:pPr>
            <w:r/>
            <w:r>
              <w:rPr>
                <w:rFonts w:ascii="Figtree" w:hAnsi="Figtree"/>
                <w:b w:val="0"/>
                <w:i w:val="0"/>
                <w:sz w:val="20"/>
              </w:rPr>
              <w:t>EU/Morocco-compliant</w:t>
            </w:r>
          </w:p>
        </w:tc>
        <w:tc>
          <w:tcPr>
            <w:tcW w:type="dxa" w:w="1949"/>
            <w:vAlign w:val="center"/>
          </w:tcPr>
          <w:p>
            <w:pPr>
              <w:spacing w:line="276" w:lineRule="auto" w:before="0" w:after="0"/>
            </w:pPr>
            <w:r/>
            <w:r>
              <w:rPr>
                <w:rFonts w:ascii="Figtree" w:hAnsi="Figtree"/>
                <w:b w:val="0"/>
                <w:i w:val="0"/>
                <w:sz w:val="20"/>
              </w:rPr>
              <w:t>4-5 weeks</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Best latency + cost</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2 weeks</w:t>
            </w:r>
          </w:p>
        </w:tc>
        <w:tc>
          <w:tcPr>
            <w:tcW w:type="dxa" w:w="1949"/>
            <w:vAlign w:val="center"/>
          </w:tcPr>
          <w:p>
            <w:pPr>
              <w:spacing w:line="276" w:lineRule="auto" w:before="0" w:after="0"/>
            </w:pPr>
            <w:r/>
            <w:r>
              <w:rPr>
                <w:rFonts w:ascii="Figtree" w:hAnsi="Figtree"/>
                <w:b w:val="0"/>
                <w:i w:val="0"/>
                <w:sz w:val="20"/>
              </w:rPr>
              <w:t>Included in licence</w:t>
            </w:r>
          </w:p>
        </w:tc>
        <w:tc>
          <w:tcPr>
            <w:tcW w:type="dxa" w:w="1949"/>
            <w:vAlign w:val="center"/>
          </w:tcPr>
          <w:p>
            <w:pPr>
              <w:spacing w:line="276" w:lineRule="auto" w:before="0" w:after="0"/>
            </w:pPr>
            <w:r/>
            <w:r>
              <w:rPr>
                <w:rFonts w:ascii="Figtree" w:hAnsi="Figtree"/>
                <w:b w:val="0"/>
                <w:i w:val="0"/>
                <w:sz w:val="20"/>
              </w:rPr>
              <w:t>Less data control</w:t>
            </w:r>
          </w:p>
        </w:tc>
      </w:tr>
      <w:tr>
        <w:trPr>
          <w:trHeight w:val="425" w:hRule="atLeast"/>
        </w:trPr>
        <w:tc>
          <w:tcPr>
            <w:tcW w:type="dxa" w:w="1949"/>
            <w:vAlign w:val="center"/>
          </w:tcPr>
          <w:p>
            <w:pPr>
              <w:spacing w:line="276" w:lineRule="auto" w:before="0" w:after="0"/>
            </w:pPr>
            <w:r/>
            <w:r>
              <w:rPr>
                <w:rFonts w:ascii="Figtree" w:hAnsi="Figtree"/>
                <w:b w:val="0"/>
                <w:i w:val="0"/>
                <w:sz w:val="20"/>
              </w:rPr>
              <w:t>Morocco On-Premises</w:t>
            </w:r>
          </w:p>
        </w:tc>
        <w:tc>
          <w:tcPr>
            <w:tcW w:type="dxa" w:w="1949"/>
            <w:vAlign w:val="center"/>
          </w:tcPr>
          <w:p>
            <w:pPr>
              <w:spacing w:line="276" w:lineRule="auto" w:before="0" w:after="0"/>
            </w:pPr>
            <w:r/>
            <w:r>
              <w:rPr>
                <w:rFonts w:ascii="Figtree" w:hAnsi="Figtree"/>
                <w:b w:val="0"/>
                <w:i w:val="0"/>
                <w:sz w:val="20"/>
              </w:rPr>
              <w:t>Full Morocco control</w:t>
            </w:r>
          </w:p>
        </w:tc>
        <w:tc>
          <w:tcPr>
            <w:tcW w:type="dxa" w:w="1949"/>
            <w:vAlign w:val="center"/>
          </w:tcPr>
          <w:p>
            <w:pPr>
              <w:spacing w:line="276" w:lineRule="auto" w:before="0" w:after="0"/>
            </w:pPr>
            <w:r/>
            <w:r>
              <w:rPr>
                <w:rFonts w:ascii="Figtree" w:hAnsi="Figtree"/>
                <w:b w:val="0"/>
                <w:i w:val="0"/>
                <w:sz w:val="20"/>
              </w:rPr>
              <w:t>10-14 weeks</w:t>
            </w:r>
          </w:p>
        </w:tc>
        <w:tc>
          <w:tcPr>
            <w:tcW w:type="dxa" w:w="1949"/>
            <w:vAlign w:val="center"/>
          </w:tcPr>
          <w:p>
            <w:pPr>
              <w:spacing w:line="276" w:lineRule="auto" w:before="0" w:after="0"/>
            </w:pPr>
            <w:r/>
            <w:r>
              <w:rPr>
                <w:rFonts w:ascii="Figtree" w:hAnsi="Figtree"/>
                <w:b w:val="0"/>
                <w:i w:val="0"/>
                <w:sz w:val="20"/>
              </w:rPr>
              <w:t>CSE hardware cost</w:t>
            </w:r>
          </w:p>
        </w:tc>
        <w:tc>
          <w:tcPr>
            <w:tcW w:type="dxa" w:w="1949"/>
            <w:vAlign w:val="center"/>
          </w:tcPr>
          <w:p>
            <w:pPr>
              <w:spacing w:line="276" w:lineRule="auto" w:before="0" w:after="0"/>
            </w:pPr>
            <w:r/>
            <w:r>
              <w:rPr>
                <w:rFonts w:ascii="Figtree" w:hAnsi="Figtree"/>
                <w:b w:val="0"/>
                <w:i w:val="0"/>
                <w:sz w:val="20"/>
              </w:rPr>
              <w:t>Longest deployment</w:t>
            </w:r>
          </w:p>
        </w:tc>
      </w:tr>
    </w:tbl>
    <w:p>
      <w:pPr>
        <w:spacing w:before="0" w:after="0" w:line="120" w:lineRule="exact"/>
      </w:pPr>
    </w:p>
    <w:p>
      <w:pPr>
        <w:pStyle w:val="H2"/>
        <w:numPr>
          <w:ilvl w:val="1"/>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1693"/>
        <w:gridCol w:w="1451"/>
        <w:gridCol w:w="1451"/>
        <w:gridCol w:w="16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 (FR)</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 (FR/AR)</w:t>
            </w:r>
          </w:p>
        </w:tc>
        <w:tc>
          <w:tcPr>
            <w:tcW w:type="dxa" w:w="1949"/>
            <w:vAlign w:val="center"/>
          </w:tcPr>
          <w:p>
            <w:pPr>
              <w:spacing w:line="276" w:lineRule="auto" w:before="0" w:after="0"/>
            </w:pPr>
            <w:r/>
            <w:r>
              <w:rPr>
                <w:rFonts w:ascii="Figtree" w:hAnsi="Figtree"/>
                <w:b w:val="0"/>
                <w:i w:val="0"/>
                <w:sz w:val="20"/>
              </w:rPr>
              <w:t>$28,000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$1,004,000</w:t>
            </w:r>
          </w:p>
        </w:tc>
        <w:tc>
          <w:tcPr>
            <w:tcW w:type="dxa" w:w="1949"/>
            <w:vAlign w:val="center"/>
          </w:tcPr>
          <w:p>
            <w:pPr>
              <w:spacing w:line="276" w:lineRule="auto" w:before="0" w:after="0"/>
            </w:pPr>
            <w:r/>
            <w:r>
              <w:rPr>
                <w:rFonts w:ascii="Figtree" w:hAnsi="Figtree"/>
                <w:b/>
                <w:i w:val="0"/>
                <w:sz w:val="20"/>
              </w:rPr>
              <w:t>$696,000</w:t>
            </w:r>
          </w:p>
        </w:tc>
        <w:tc>
          <w:tcPr>
            <w:tcW w:type="dxa" w:w="1949"/>
            <w:vAlign w:val="center"/>
          </w:tcPr>
          <w:p>
            <w:pPr>
              <w:spacing w:line="276" w:lineRule="auto" w:before="0" w:after="0"/>
            </w:pPr>
            <w:r/>
            <w:r>
              <w:rPr>
                <w:rFonts w:ascii="Figtree" w:hAnsi="Figtree"/>
                <w:b/>
                <w:i w:val="0"/>
                <w:sz w:val="20"/>
              </w:rPr>
              <w:t>$708,000</w:t>
            </w:r>
          </w:p>
        </w:tc>
        <w:tc>
          <w:tcPr>
            <w:tcW w:type="dxa" w:w="1949"/>
            <w:vAlign w:val="center"/>
          </w:tcPr>
          <w:p>
            <w:pPr>
              <w:spacing w:line="276" w:lineRule="auto" w:before="0" w:after="0"/>
            </w:pPr>
            <w:r/>
            <w:r>
              <w:rPr>
                <w:rFonts w:ascii="Figtree" w:hAnsi="Figtree"/>
                <w:b/>
                <w:i w:val="0"/>
                <w:sz w:val="20"/>
              </w:rPr>
              <w:t>$2,408,000</w:t>
            </w:r>
          </w:p>
        </w:tc>
      </w:tr>
    </w:tbl>
    <w:p>
      <w:pPr>
        <w:spacing w:before="0" w:after="0" w:line="120" w:lineRule="exact"/>
      </w:pPr>
    </w:p>
    <w:p>
      <w:pPr>
        <w:pStyle w:val="H2"/>
        <w:numPr>
          <w:ilvl w:val="1"/>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7"/>
        <w:gridCol w:w="1843"/>
        <w:gridCol w:w="29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Sukuk documentation management (complex AAOIFI compliance)</w:t>
            </w:r>
          </w:p>
        </w:tc>
        <w:tc>
          <w:tcPr>
            <w:tcW w:type="dxa" w:w="3249"/>
            <w:vAlign w:val="center"/>
          </w:tcPr>
          <w:p>
            <w:pPr>
              <w:spacing w:line="276" w:lineRule="auto" w:before="0" w:after="0"/>
            </w:pPr>
            <w:r/>
            <w:r>
              <w:rPr>
                <w:rFonts w:ascii="Figtree" w:hAnsi="Figtree"/>
                <w:b w:val="0"/>
                <w:i w:val="0"/>
                <w:sz w:val="20"/>
              </w:rPr>
              <w:t>+$15,000-$30,000 one-time</w:t>
            </w:r>
          </w:p>
        </w:tc>
        <w:tc>
          <w:tcPr>
            <w:tcW w:type="dxa" w:w="3249"/>
            <w:vAlign w:val="center"/>
          </w:tcPr>
          <w:p>
            <w:pPr>
              <w:spacing w:line="276" w:lineRule="auto" w:before="0" w:after="0"/>
            </w:pPr>
            <w:r/>
            <w:r>
              <w:rPr>
                <w:rFonts w:ascii="Figtree" w:hAnsi="Figtree"/>
                <w:b w:val="0"/>
                <w:i w:val="0"/>
                <w:sz w:val="20"/>
              </w:rPr>
              <w:t>If extensive custom workflow required</w:t>
            </w:r>
          </w:p>
        </w:tc>
      </w:tr>
      <w:tr>
        <w:trPr>
          <w:trHeight w:val="425" w:hRule="atLeast"/>
        </w:trPr>
        <w:tc>
          <w:tcPr>
            <w:tcW w:type="dxa" w:w="3249"/>
            <w:vAlign w:val="center"/>
          </w:tcPr>
          <w:p>
            <w:pPr>
              <w:spacing w:line="276" w:lineRule="auto" w:before="0" w:after="0"/>
            </w:pPr>
            <w:r/>
            <w:r>
              <w:rPr>
                <w:rFonts w:ascii="Figtree" w:hAnsi="Figtree"/>
                <w:b w:val="0"/>
                <w:i w:val="0"/>
                <w:sz w:val="20"/>
              </w:rPr>
              <w:t>Custom Maroclear message mapping</w:t>
            </w:r>
          </w:p>
        </w:tc>
        <w:tc>
          <w:tcPr>
            <w:tcW w:type="dxa" w:w="3249"/>
            <w:vAlign w:val="center"/>
          </w:tcPr>
          <w:p>
            <w:pPr>
              <w:spacing w:line="276" w:lineRule="auto" w:before="0" w:after="0"/>
            </w:pPr>
            <w:r/>
            <w:r>
              <w:rPr>
                <w:rFonts w:ascii="Figtree" w:hAnsi="Figtree"/>
                <w:b w:val="0"/>
                <w:i w:val="0"/>
                <w:sz w:val="20"/>
              </w:rPr>
              <w:t>+$20,000-$40,000 one-time</w:t>
            </w:r>
          </w:p>
        </w:tc>
        <w:tc>
          <w:tcPr>
            <w:tcW w:type="dxa" w:w="3249"/>
            <w:vAlign w:val="center"/>
          </w:tcPr>
          <w:p>
            <w:pPr>
              <w:spacing w:line="276" w:lineRule="auto" w:before="0" w:after="0"/>
            </w:pPr>
            <w:r/>
            <w:r>
              <w:rPr>
                <w:rFonts w:ascii="Figtree" w:hAnsi="Figtree"/>
                <w:b w:val="0"/>
                <w:i w:val="0"/>
                <w:sz w:val="20"/>
              </w:rPr>
              <w:t>If non-standard message formats required</w:t>
            </w:r>
          </w:p>
        </w:tc>
      </w:tr>
      <w:tr>
        <w:trPr>
          <w:trHeight w:val="425" w:hRule="atLeast"/>
        </w:trPr>
        <w:tc>
          <w:tcPr>
            <w:tcW w:type="dxa" w:w="3249"/>
            <w:vAlign w:val="center"/>
          </w:tcPr>
          <w:p>
            <w:pPr>
              <w:spacing w:line="276" w:lineRule="auto" w:before="0" w:after="0"/>
            </w:pPr>
            <w:r/>
            <w:r>
              <w:rPr>
                <w:rFonts w:ascii="Figtree" w:hAnsi="Figtree"/>
                <w:b w:val="0"/>
                <w:i w:val="0"/>
                <w:sz w:val="20"/>
              </w:rPr>
              <w:t>Morocco on-premises deployment</w:t>
            </w:r>
          </w:p>
        </w:tc>
        <w:tc>
          <w:tcPr>
            <w:tcW w:type="dxa" w:w="3249"/>
            <w:vAlign w:val="center"/>
          </w:tcPr>
          <w:p>
            <w:pPr>
              <w:spacing w:line="276" w:lineRule="auto" w:before="0" w:after="0"/>
            </w:pPr>
            <w:r/>
            <w:r>
              <w:rPr>
                <w:rFonts w:ascii="Figtree" w:hAnsi="Figtree"/>
                <w:b w:val="0"/>
                <w:i w:val="0"/>
                <w:sz w:val="20"/>
              </w:rPr>
              <w:t>+$80,000-$150,000 infra</w:t>
            </w:r>
          </w:p>
        </w:tc>
        <w:tc>
          <w:tcPr>
            <w:tcW w:type="dxa" w:w="3249"/>
            <w:vAlign w:val="center"/>
          </w:tcPr>
          <w:p>
            <w:pPr>
              <w:spacing w:line="276" w:lineRule="auto" w:before="0" w:after="0"/>
            </w:pPr>
            <w:r/>
            <w:r>
              <w:rPr>
                <w:rFonts w:ascii="Figtree" w:hAnsi="Figtree"/>
                <w:b w:val="0"/>
                <w:i w:val="0"/>
                <w:sz w:val="20"/>
              </w:rPr>
              <w:t>If local data centre required</w:t>
            </w:r>
          </w:p>
        </w:tc>
      </w:tr>
      <w:tr>
        <w:trPr>
          <w:trHeight w:val="425" w:hRule="atLeast"/>
        </w:trPr>
        <w:tc>
          <w:tcPr>
            <w:tcW w:type="dxa" w:w="3249"/>
            <w:vAlign w:val="center"/>
          </w:tcPr>
          <w:p>
            <w:pPr>
              <w:spacing w:line="276" w:lineRule="auto" w:before="0" w:after="0"/>
            </w:pPr>
            <w:r/>
            <w:r>
              <w:rPr>
                <w:rFonts w:ascii="Figtree" w:hAnsi="Figtree"/>
                <w:b w:val="0"/>
                <w:i w:val="0"/>
                <w:sz w:val="20"/>
              </w:rPr>
              <w:t>Arabic-only UI customization</w:t>
            </w:r>
          </w:p>
        </w:tc>
        <w:tc>
          <w:tcPr>
            <w:tcW w:type="dxa" w:w="3249"/>
            <w:vAlign w:val="center"/>
          </w:tcPr>
          <w:p>
            <w:pPr>
              <w:spacing w:line="276" w:lineRule="auto" w:before="0" w:after="0"/>
            </w:pPr>
            <w:r/>
            <w:r>
              <w:rPr>
                <w:rFonts w:ascii="Figtree" w:hAnsi="Figtree"/>
                <w:b w:val="0"/>
                <w:i w:val="0"/>
                <w:sz w:val="20"/>
              </w:rPr>
              <w:t>+$15,000-$25,000 one-time</w:t>
            </w:r>
          </w:p>
        </w:tc>
        <w:tc>
          <w:tcPr>
            <w:tcW w:type="dxa" w:w="3249"/>
            <w:vAlign w:val="center"/>
          </w:tcPr>
          <w:p>
            <w:pPr>
              <w:spacing w:line="276" w:lineRule="auto" w:before="0" w:after="0"/>
            </w:pPr>
            <w:r/>
            <w:r>
              <w:rPr>
                <w:rFonts w:ascii="Figtree" w:hAnsi="Figtree"/>
                <w:b w:val="0"/>
                <w:i w:val="0"/>
                <w:sz w:val="20"/>
              </w:rPr>
              <w:t>If beyond standard Arabic localization</w:t>
            </w:r>
          </w:p>
        </w:tc>
      </w:tr>
      <w:tr>
        <w:trPr>
          <w:trHeight w:val="425" w:hRule="atLeast"/>
        </w:trPr>
        <w:tc>
          <w:tcPr>
            <w:tcW w:type="dxa" w:w="3249"/>
            <w:vAlign w:val="center"/>
          </w:tcPr>
          <w:p>
            <w:pPr>
              <w:spacing w:line="276" w:lineRule="auto" w:before="0" w:after="0"/>
            </w:pPr>
            <w:r/>
            <w:r>
              <w:rPr>
                <w:rFonts w:ascii="Figtree" w:hAnsi="Figtree"/>
                <w:b w:val="0"/>
                <w:i w:val="0"/>
                <w:sz w:val="20"/>
              </w:rPr>
              <w:t>3-year committed discount</w:t>
            </w:r>
          </w:p>
        </w:tc>
        <w:tc>
          <w:tcPr>
            <w:tcW w:type="dxa" w:w="3249"/>
            <w:vAlign w:val="center"/>
          </w:tcPr>
          <w:p>
            <w:pPr>
              <w:spacing w:line="276" w:lineRule="auto" w:before="0" w:after="0"/>
            </w:pPr>
            <w:r/>
            <w:r>
              <w:rPr>
                <w:rFonts w:ascii="Figtree" w:hAnsi="Figtree"/>
                <w:b w:val="0"/>
                <w:i w:val="0"/>
                <w:sz w:val="20"/>
              </w:rPr>
              <w:t>-10% on licence</w:t>
            </w:r>
          </w:p>
        </w:tc>
        <w:tc>
          <w:tcPr>
            <w:tcW w:type="dxa" w:w="3249"/>
            <w:vAlign w:val="center"/>
          </w:tcPr>
          <w:p>
            <w:pPr>
              <w:spacing w:line="276" w:lineRule="auto" w:before="0" w:after="0"/>
            </w:pPr>
            <w:r/>
            <w:r>
              <w:rPr>
                <w:rFonts w:ascii="Figtree" w:hAnsi="Figtree"/>
                <w:b w:val="0"/>
                <w:i w:val="0"/>
                <w:sz w:val="20"/>
              </w:rPr>
              <w:t>$144,000 total saving</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5"/>
        <w:gridCol w:w="2512"/>
        <w:gridCol w:w="1674"/>
        <w:gridCol w:w="33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Language</w:t>
            </w:r>
          </w:p>
        </w:tc>
        <w:tc>
          <w:tcPr>
            <w:tcW w:type="dxa" w:w="2436"/>
            <w:vAlign w:val="center"/>
          </w:tcPr>
          <w:p>
            <w:pPr>
              <w:spacing w:line="276" w:lineRule="auto" w:before="0" w:after="0"/>
            </w:pPr>
            <w:r/>
            <w:r>
              <w:rPr>
                <w:rFonts w:ascii="Figtree" w:hAnsi="Figtree"/>
                <w:b w:val="0"/>
                <w:i w:val="0"/>
                <w:sz w:val="20"/>
              </w:rPr>
              <w:t>English</w:t>
            </w:r>
          </w:p>
        </w:tc>
        <w:tc>
          <w:tcPr>
            <w:tcW w:type="dxa" w:w="2436"/>
            <w:vAlign w:val="center"/>
          </w:tcPr>
          <w:p>
            <w:pPr>
              <w:spacing w:line="276" w:lineRule="auto" w:before="0" w:after="0"/>
            </w:pPr>
            <w:r/>
            <w:r>
              <w:rPr>
                <w:rFonts w:ascii="Figtree" w:hAnsi="Figtree"/>
                <w:b w:val="0"/>
                <w:i w:val="0"/>
                <w:sz w:val="20"/>
              </w:rPr>
              <w:t>English</w:t>
            </w:r>
          </w:p>
        </w:tc>
        <w:tc>
          <w:tcPr>
            <w:tcW w:type="dxa" w:w="2436"/>
            <w:vAlign w:val="center"/>
          </w:tcPr>
          <w:p>
            <w:pPr>
              <w:spacing w:line="276" w:lineRule="auto" w:before="0" w:after="0"/>
            </w:pPr>
            <w:r/>
            <w:r>
              <w:rPr>
                <w:rFonts w:ascii="Figtree" w:hAnsi="Figtree"/>
                <w:b w:val="0"/>
                <w:i w:val="0"/>
                <w:sz w:val="20"/>
              </w:rPr>
              <w:t>English + French</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4h</w:t>
            </w:r>
          </w:p>
        </w:tc>
        <w:tc>
          <w:tcPr>
            <w:tcW w:type="dxa" w:w="2436"/>
            <w:vAlign w:val="center"/>
          </w:tcPr>
          <w:p>
            <w:pPr>
              <w:spacing w:line="276" w:lineRule="auto" w:before="0" w:after="0"/>
            </w:pPr>
            <w:r/>
            <w:r>
              <w:rPr>
                <w:rFonts w:ascii="Figtree" w:hAnsi="Figtree"/>
                <w:b w:val="0"/>
                <w:i w:val="0"/>
                <w:sz w:val="20"/>
              </w:rPr>
              <w:t>2h</w:t>
            </w:r>
          </w:p>
        </w:tc>
        <w:tc>
          <w:tcPr>
            <w:tcW w:type="dxa" w:w="2436"/>
            <w:vAlign w:val="center"/>
          </w:tcPr>
          <w:p>
            <w:pPr>
              <w:spacing w:line="276" w:lineRule="auto" w:before="0" w:after="0"/>
            </w:pPr>
            <w:r/>
            <w:r>
              <w:rPr>
                <w:rFonts w:ascii="Figtree" w:hAnsi="Figtree"/>
                <w:b w:val="0"/>
                <w:i w:val="0"/>
                <w:sz w:val="20"/>
              </w:rPr>
              <w:t>1h</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 (French-speaking)</w:t>
            </w:r>
          </w:p>
        </w:tc>
      </w:tr>
      <w:tr>
        <w:trPr>
          <w:trHeight w:val="425" w:hRule="atLeast"/>
        </w:trPr>
        <w:tc>
          <w:tcPr>
            <w:tcW w:type="dxa" w:w="2436"/>
            <w:vAlign w:val="center"/>
          </w:tcPr>
          <w:p>
            <w:pPr>
              <w:spacing w:line="276" w:lineRule="auto" w:before="0" w:after="0"/>
            </w:pPr>
            <w:r/>
            <w:r>
              <w:rPr>
                <w:rFonts w:ascii="Figtree" w:hAnsi="Figtree"/>
                <w:b w:val="0"/>
                <w:i w:val="0"/>
                <w:sz w:val="20"/>
              </w:rPr>
              <w:t>Annual cost</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pPr>
        <w:pStyle w:val="H2"/>
        <w:numPr>
          <w:ilvl w:val="1"/>
          <w:numId w:val="1"/>
        </w:numPr>
      </w:pPr>
      <w:r>
        <w:t>5.2 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1"/>
        <w:gridCol w:w="3745"/>
        <w:gridCol w:w="42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P1 Example for CSE</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Platform unavailable, settlement blocked</w:t>
            </w:r>
          </w:p>
        </w:tc>
        <w:tc>
          <w:tcPr>
            <w:tcW w:type="dxa" w:w="3249"/>
            <w:vAlign w:val="center"/>
          </w:tcPr>
          <w:p>
            <w:pPr>
              <w:spacing w:line="276" w:lineRule="auto" w:before="0" w:after="0"/>
            </w:pPr>
            <w:r/>
            <w:r>
              <w:rPr>
                <w:rFonts w:ascii="Figtree" w:hAnsi="Figtree"/>
                <w:b w:val="0"/>
                <w:i w:val="0"/>
                <w:sz w:val="20"/>
              </w:rPr>
              <w:t>Maroclear integration down, token transfers failing</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function impaired, workaround available</w:t>
            </w:r>
          </w:p>
        </w:tc>
        <w:tc>
          <w:tcPr>
            <w:tcW w:type="dxa" w:w="3249"/>
            <w:vAlign w:val="center"/>
          </w:tcPr>
          <w:p>
            <w:pPr>
              <w:spacing w:line="276" w:lineRule="auto" w:before="0" w:after="0"/>
            </w:pPr>
            <w:r/>
            <w:r>
              <w:rPr>
                <w:rFonts w:ascii="Figtree" w:hAnsi="Figtree"/>
                <w:b w:val="0"/>
                <w:i w:val="0"/>
                <w:sz w:val="20"/>
              </w:rPr>
              <w:t>Compliance alert processing delayed</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impact</w:t>
            </w:r>
          </w:p>
        </w:tc>
        <w:tc>
          <w:tcPr>
            <w:tcW w:type="dxa" w:w="3249"/>
            <w:vAlign w:val="center"/>
          </w:tcPr>
          <w:p>
            <w:pPr>
              <w:spacing w:line="276" w:lineRule="auto" w:before="0" w:after="0"/>
            </w:pPr>
            <w:r/>
            <w:r>
              <w:rPr>
                <w:rFonts w:ascii="Figtree" w:hAnsi="Figtree"/>
                <w:b w:val="0"/>
                <w:i w:val="0"/>
                <w:sz w:val="20"/>
              </w:rPr>
              <w:t>Report generation slow</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Minor/informational</w:t>
            </w:r>
          </w:p>
        </w:tc>
        <w:tc>
          <w:tcPr>
            <w:tcW w:type="dxa" w:w="3249"/>
            <w:vAlign w:val="center"/>
          </w:tcPr>
          <w:p>
            <w:pPr>
              <w:spacing w:line="276" w:lineRule="auto" w:before="0" w:after="0"/>
            </w:pPr>
            <w:r/>
            <w:r>
              <w:rPr>
                <w:rFonts w:ascii="Figtree" w:hAnsi="Figtree"/>
                <w:b w:val="0"/>
                <w:i w:val="0"/>
                <w:sz w:val="20"/>
              </w:rPr>
              <w:t>Documentation request</w:t>
            </w:r>
          </w:p>
        </w:tc>
      </w:tr>
    </w:tbl>
    <w:p>
      <w:pPr>
        <w:spacing w:before="0" w:after="0" w:line="120" w:lineRule="exact"/>
      </w:pPr>
    </w:p>
    <w:p>
      <w:pPr>
        <w:pStyle w:val="H2"/>
        <w:numPr>
          <w:ilvl w:val="1"/>
          <w:numId w:val="1"/>
        </w:numPr>
      </w:pPr>
      <w:r>
        <w:t>5.3 Uptime and 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1471"/>
        <w:gridCol w:w="49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min/month</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99.5%</w:t>
            </w:r>
          </w:p>
        </w:tc>
        <w:tc>
          <w:tcPr>
            <w:tcW w:type="dxa" w:w="3249"/>
            <w:vAlign w:val="center"/>
          </w:tcPr>
          <w:p>
            <w:pPr>
              <w:spacing w:line="276" w:lineRule="auto" w:before="0" w:after="0"/>
            </w:pPr>
            <w:r/>
            <w:r>
              <w:rPr>
                <w:rFonts w:ascii="Figtree" w:hAnsi="Figtree"/>
                <w:b w:val="0"/>
                <w:i w:val="0"/>
                <w:sz w:val="20"/>
              </w:rPr>
              <w:t>3.6 hours/month</w:t>
            </w:r>
          </w:p>
        </w:tc>
      </w:tr>
    </w:tbl>
    <w:p>
      <w:pPr>
        <w:spacing w:before="0" w:after="0" w:line="120" w:lineRule="exact"/>
      </w:pPr>
    </w:p>
    <w:p>
      <w:r>
        <w:rPr>
          <w:rFonts w:ascii="Figtree" w:hAnsi="Figtree"/>
          <w:b w:val="0"/>
          <w:i w:val="0"/>
          <w:sz w:val="22"/>
        </w:rPr>
        <w:t>Service credits: 99.0%-99.5%: 25% monthly support credit; below 99.0%: 50% credit.</w:t>
      </w:r>
    </w:p>
    <w:p>
      <w:pPr>
        <w:pStyle w:val="H2"/>
        <w:numPr>
          <w:ilvl w:val="1"/>
          <w:numId w:val="1"/>
        </w:numPr>
      </w:pPr>
      <w:r>
        <w:t>5.4 Maintenance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91"/>
        <w:gridCol w:w="2646"/>
        <w:gridCol w:w="28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Notice</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7 calendar days</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patches</w:t>
            </w:r>
          </w:p>
        </w:tc>
        <w:tc>
          <w:tcPr>
            <w:tcW w:type="dxa" w:w="3249"/>
            <w:vAlign w:val="center"/>
          </w:tcPr>
          <w:p>
            <w:pPr>
              <w:spacing w:line="276" w:lineRule="auto" w:before="0" w:after="0"/>
            </w:pPr>
            <w:r/>
            <w:r>
              <w:rPr>
                <w:rFonts w:ascii="Figtree" w:hAnsi="Figtree"/>
                <w:b w:val="0"/>
                <w:i w:val="0"/>
                <w:sz w:val="20"/>
              </w:rPr>
              <w:t>As needed</w:t>
            </w:r>
          </w:p>
        </w:tc>
        <w:tc>
          <w:tcPr>
            <w:tcW w:type="dxa" w:w="3249"/>
            <w:vAlign w:val="center"/>
          </w:tcPr>
          <w:p>
            <w:pPr>
              <w:spacing w:line="276" w:lineRule="auto" w:before="0" w:after="0"/>
            </w:pPr>
            <w:r/>
            <w:r>
              <w:rPr>
                <w:rFonts w:ascii="Figtree" w:hAnsi="Figtree"/>
                <w:b w:val="0"/>
                <w:i w:val="0"/>
                <w:sz w:val="20"/>
              </w:rPr>
              <w:t>48 hours</w:t>
            </w:r>
          </w:p>
        </w:tc>
      </w:tr>
      <w:tr>
        <w:trPr>
          <w:trHeight w:val="425" w:hRule="atLeast"/>
        </w:trPr>
        <w:tc>
          <w:tcPr>
            <w:tcW w:type="dxa" w:w="3249"/>
            <w:vAlign w:val="center"/>
          </w:tcPr>
          <w:p>
            <w:pPr>
              <w:spacing w:line="276" w:lineRule="auto" w:before="0" w:after="0"/>
            </w:pPr>
            <w:r/>
            <w:r>
              <w:rPr>
                <w:rFonts w:ascii="Figtree" w:hAnsi="Figtree"/>
                <w:b w:val="0"/>
                <w:i w:val="0"/>
                <w:sz w:val="20"/>
              </w:rPr>
              <w:t>Major version</w:t>
            </w:r>
          </w:p>
        </w:tc>
        <w:tc>
          <w:tcPr>
            <w:tcW w:type="dxa" w:w="3249"/>
            <w:vAlign w:val="center"/>
          </w:tcPr>
          <w:p>
            <w:pPr>
              <w:spacing w:line="276" w:lineRule="auto" w:before="0" w:after="0"/>
            </w:pPr>
            <w:r/>
            <w:r>
              <w:rPr>
                <w:rFonts w:ascii="Figtree" w:hAnsi="Figtree"/>
                <w:b w:val="0"/>
                <w:i w:val="0"/>
                <w:sz w:val="20"/>
              </w:rPr>
              <w:t>Annual minimum</w:t>
            </w:r>
          </w:p>
        </w:tc>
        <w:tc>
          <w:tcPr>
            <w:tcW w:type="dxa" w:w="3249"/>
            <w:vAlign w:val="center"/>
          </w:tcPr>
          <w:p>
            <w:pPr>
              <w:spacing w:line="276" w:lineRule="auto" w:before="0" w:after="0"/>
            </w:pPr>
            <w:r/>
            <w:r>
              <w:rPr>
                <w:rFonts w:ascii="Figtree" w:hAnsi="Figtree"/>
                <w:b w:val="0"/>
                <w:i w:val="0"/>
                <w:sz w:val="20"/>
              </w:rPr>
              <w:t>12 months</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Phase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1744"/>
        <w:gridCol w:w="17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$28,000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$42,000</w:t>
            </w:r>
          </w:p>
        </w:tc>
      </w:tr>
      <w:tr>
        <w:trPr>
          <w:trHeight w:val="425" w:hRule="atLeast"/>
        </w:trPr>
        <w:tc>
          <w:tcPr>
            <w:tcW w:type="dxa" w:w="3249"/>
            <w:vAlign w:val="center"/>
          </w:tcPr>
          <w:p>
            <w:pPr>
              <w:spacing w:line="276" w:lineRule="auto" w:before="0" w:after="0"/>
            </w:pPr>
            <w:r/>
            <w:r>
              <w:rPr>
                <w:rFonts w:ascii="Figtree" w:hAnsi="Figtree"/>
                <w:b w:val="0"/>
                <w:i w:val="0"/>
                <w:sz w:val="20"/>
              </w:rPr>
              <w:t>Phase 3 — Configuration (incl. sukuk)</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$70,000</w:t>
            </w:r>
          </w:p>
        </w:tc>
      </w:tr>
      <w:tr>
        <w:trPr>
          <w:trHeight w:val="425" w:hRule="atLeast"/>
        </w:trPr>
        <w:tc>
          <w:tcPr>
            <w:tcW w:type="dxa" w:w="3249"/>
            <w:vAlign w:val="center"/>
          </w:tcPr>
          <w:p>
            <w:pPr>
              <w:spacing w:line="276" w:lineRule="auto" w:before="0" w:after="0"/>
            </w:pPr>
            <w:r/>
            <w:r>
              <w:rPr>
                <w:rFonts w:ascii="Figtree" w:hAnsi="Figtree"/>
                <w:b w:val="0"/>
                <w:i w:val="0"/>
                <w:sz w:val="20"/>
              </w:rPr>
              <w:t>Phase 4 — Integration (Maroclear + AMMC)</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$84,000</w:t>
            </w:r>
          </w:p>
        </w:tc>
      </w:tr>
      <w:tr>
        <w:trPr>
          <w:trHeight w:val="425" w:hRule="atLeast"/>
        </w:trPr>
        <w:tc>
          <w:tcPr>
            <w:tcW w:type="dxa" w:w="3249"/>
            <w:vAlign w:val="center"/>
          </w:tcPr>
          <w:p>
            <w:pPr>
              <w:spacing w:line="276" w:lineRule="auto" w:before="0" w:after="0"/>
            </w:pPr>
            <w:r/>
            <w:r>
              <w:rPr>
                <w:rFonts w:ascii="Figtree" w:hAnsi="Figtree"/>
                <w:b w:val="0"/>
                <w:i w:val="0"/>
                <w:sz w:val="20"/>
              </w:rPr>
              <w:t>Phase 5 — Go-Live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$42,000</w:t>
            </w:r>
          </w:p>
        </w:tc>
      </w:tr>
      <w:tr>
        <w:trPr>
          <w:trHeight w:val="425" w:hRule="atLeast"/>
        </w:trPr>
        <w:tc>
          <w:tcPr>
            <w:tcW w:type="dxa" w:w="3249"/>
            <w:vAlign w:val="center"/>
          </w:tcPr>
          <w:p>
            <w:pPr>
              <w:spacing w:line="276" w:lineRule="auto" w:before="0" w:after="0"/>
            </w:pPr>
            <w:r/>
            <w:r>
              <w:rPr>
                <w:rFonts w:ascii="Figtree" w:hAnsi="Figtree"/>
                <w:b w:val="0"/>
                <w:i w:val="0"/>
                <w:sz w:val="20"/>
              </w:rPr>
              <w:t>Phase 6 — Hypercare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$14,000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18 weeks</w:t>
            </w:r>
          </w:p>
        </w:tc>
        <w:tc>
          <w:tcPr>
            <w:tcW w:type="dxa" w:w="3249"/>
            <w:vAlign w:val="center"/>
          </w:tcPr>
          <w:p>
            <w:pPr>
              <w:spacing w:line="276" w:lineRule="auto" w:before="0" w:after="0"/>
            </w:pPr>
            <w:r/>
            <w:r>
              <w:rPr>
                <w:rFonts w:ascii="Figtree" w:hAnsi="Figtree"/>
                <w:b/>
                <w:i w:val="0"/>
                <w:sz w:val="20"/>
              </w:rPr>
              <w:t>$280,000</w:t>
            </w:r>
          </w:p>
        </w:tc>
      </w:tr>
    </w:tbl>
    <w:p>
      <w:pPr>
        <w:spacing w:before="0" w:after="0" w:line="120" w:lineRule="exact"/>
      </w:pPr>
    </w:p>
    <w:p>
      <w:r>
        <w:rPr>
          <w:rFonts w:ascii="Figtree" w:hAnsi="Figtree"/>
          <w:b w:val="0"/>
          <w:i w:val="0"/>
          <w:sz w:val="22"/>
        </w:rPr>
        <w:t>Billing: 20% at contract signature, then milestone-based per phase acceptance.</w:t>
      </w:r>
    </w:p>
    <w:p>
      <w:pPr>
        <w:pStyle w:val="H2"/>
        <w:numPr>
          <w:ilvl w:val="1"/>
          <w:numId w:val="1"/>
        </w:numPr>
      </w:pPr>
      <w:r>
        <w:t>6.2 Training (FR/AR Bilingual)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07"/>
        <w:gridCol w:w="1116"/>
        <w:gridCol w:w="2093"/>
        <w:gridCol w:w="19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Language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 + Arabic</w:t>
            </w:r>
          </w:p>
        </w:tc>
        <w:tc>
          <w:tcPr>
            <w:tcW w:type="dxa" w:w="2436"/>
            <w:vAlign w:val="center"/>
          </w:tcPr>
          <w:p>
            <w:pPr>
              <w:spacing w:line="276" w:lineRule="auto" w:before="0" w:after="0"/>
            </w:pPr>
            <w:r/>
            <w:r>
              <w:rPr>
                <w:rFonts w:ascii="Figtree" w:hAnsi="Figtree"/>
                <w:b w:val="0"/>
                <w:i w:val="0"/>
                <w:sz w:val="20"/>
              </w:rPr>
              <w:t>$6,000 premium</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 (AMMC)</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2"/>
        <w:numPr>
          <w:ilvl w:val="1"/>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92"/>
        <w:gridCol w:w="34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ISO 20022 Maroclear standard messages</w:t>
            </w:r>
          </w:p>
        </w:tc>
        <w:tc>
          <w:tcPr>
            <w:tcW w:type="dxa" w:w="4873"/>
            <w:vAlign w:val="center"/>
          </w:tcPr>
          <w:p>
            <w:pPr>
              <w:spacing w:line="276" w:lineRule="auto" w:before="0" w:after="0"/>
            </w:pPr>
            <w:r/>
            <w:r>
              <w:rPr>
                <w:rFonts w:ascii="Figtree" w:hAnsi="Figtree"/>
                <w:b w:val="0"/>
                <w:i w:val="0"/>
                <w:sz w:val="20"/>
              </w:rPr>
              <w:t>Accelerates Phase 4</w:t>
            </w:r>
          </w:p>
        </w:tc>
      </w:tr>
      <w:tr>
        <w:trPr>
          <w:trHeight w:val="425" w:hRule="atLeast"/>
        </w:trPr>
        <w:tc>
          <w:tcPr>
            <w:tcW w:type="dxa" w:w="4873"/>
            <w:vAlign w:val="center"/>
          </w:tcPr>
          <w:p>
            <w:pPr>
              <w:spacing w:line="276" w:lineRule="auto" w:before="0" w:after="0"/>
            </w:pPr>
            <w:r/>
            <w:r>
              <w:rPr>
                <w:rFonts w:ascii="Figtree" w:hAnsi="Figtree"/>
                <w:b w:val="0"/>
                <w:i w:val="0"/>
                <w:sz w:val="20"/>
              </w:rPr>
              <w:t>Existing French-language IAM/AD</w:t>
            </w:r>
          </w:p>
        </w:tc>
        <w:tc>
          <w:tcPr>
            <w:tcW w:type="dxa" w:w="4873"/>
            <w:vAlign w:val="center"/>
          </w:tcPr>
          <w:p>
            <w:pPr>
              <w:spacing w:line="276" w:lineRule="auto" w:before="0" w:after="0"/>
            </w:pPr>
            <w:r/>
            <w:r>
              <w:rPr>
                <w:rFonts w:ascii="Figtree" w:hAnsi="Figtree"/>
                <w:b w:val="0"/>
                <w:i w:val="0"/>
                <w:sz w:val="20"/>
              </w:rPr>
              <w:t>Accelerates Phase 2</w:t>
            </w:r>
          </w:p>
        </w:tc>
      </w:tr>
      <w:tr>
        <w:trPr>
          <w:trHeight w:val="425" w:hRule="atLeast"/>
        </w:trPr>
        <w:tc>
          <w:tcPr>
            <w:tcW w:type="dxa" w:w="4873"/>
            <w:vAlign w:val="center"/>
          </w:tcPr>
          <w:p>
            <w:pPr>
              <w:spacing w:line="276" w:lineRule="auto" w:before="0" w:after="0"/>
            </w:pPr>
            <w:r/>
            <w:r>
              <w:rPr>
                <w:rFonts w:ascii="Figtree" w:hAnsi="Figtree"/>
                <w:b w:val="0"/>
                <w:i w:val="0"/>
                <w:sz w:val="20"/>
              </w:rPr>
              <w:t>AMMC-aligned compliance template library</w:t>
            </w:r>
          </w:p>
        </w:tc>
        <w:tc>
          <w:tcPr>
            <w:tcW w:type="dxa" w:w="4873"/>
            <w:vAlign w:val="center"/>
          </w:tcPr>
          <w:p>
            <w:pPr>
              <w:spacing w:line="276" w:lineRule="auto" w:before="0" w:after="0"/>
            </w:pPr>
            <w:r/>
            <w:r>
              <w:rPr>
                <w:rFonts w:ascii="Figtree" w:hAnsi="Figtree"/>
                <w:b w:val="0"/>
                <w:i w:val="0"/>
                <w:sz w:val="20"/>
              </w:rPr>
              <w:t>Accelerates Phase 3</w:t>
            </w:r>
          </w:p>
        </w:tc>
      </w:tr>
      <w:tr>
        <w:trPr>
          <w:trHeight w:val="425" w:hRule="atLeast"/>
        </w:trPr>
        <w:tc>
          <w:tcPr>
            <w:tcW w:type="dxa" w:w="4873"/>
            <w:vAlign w:val="center"/>
          </w:tcPr>
          <w:p>
            <w:pPr>
              <w:spacing w:line="276" w:lineRule="auto" w:before="0" w:after="0"/>
            </w:pPr>
            <w:r/>
            <w:r>
              <w:rPr>
                <w:rFonts w:ascii="Figtree" w:hAnsi="Figtree"/>
                <w:b w:val="0"/>
                <w:i w:val="0"/>
                <w:sz w:val="20"/>
              </w:rPr>
              <w:t>Non-standard Maroclear custom messages</w:t>
            </w:r>
          </w:p>
        </w:tc>
        <w:tc>
          <w:tcPr>
            <w:tcW w:type="dxa" w:w="4873"/>
            <w:vAlign w:val="center"/>
          </w:tcPr>
          <w:p>
            <w:pPr>
              <w:spacing w:line="276" w:lineRule="auto" w:before="0" w:after="0"/>
            </w:pPr>
            <w:r/>
            <w:r>
              <w:rPr>
                <w:rFonts w:ascii="Figtree" w:hAnsi="Figtree"/>
                <w:b w:val="0"/>
                <w:i w:val="0"/>
                <w:sz w:val="20"/>
              </w:rPr>
              <w:t>+$20,000-$40,000, +1-2 weeks</w:t>
            </w:r>
          </w:p>
        </w:tc>
      </w:tr>
      <w:tr>
        <w:trPr>
          <w:trHeight w:val="425" w:hRule="atLeast"/>
        </w:trPr>
        <w:tc>
          <w:tcPr>
            <w:tcW w:type="dxa" w:w="4873"/>
            <w:vAlign w:val="center"/>
          </w:tcPr>
          <w:p>
            <w:pPr>
              <w:spacing w:line="276" w:lineRule="auto" w:before="0" w:after="0"/>
            </w:pPr>
            <w:r/>
            <w:r>
              <w:rPr>
                <w:rFonts w:ascii="Figtree" w:hAnsi="Figtree"/>
                <w:b w:val="0"/>
                <w:i w:val="0"/>
                <w:sz w:val="20"/>
              </w:rPr>
              <w:t>Complex sukuk AAOIFI documentation requirements</w:t>
            </w:r>
          </w:p>
        </w:tc>
        <w:tc>
          <w:tcPr>
            <w:tcW w:type="dxa" w:w="4873"/>
            <w:vAlign w:val="center"/>
          </w:tcPr>
          <w:p>
            <w:pPr>
              <w:spacing w:line="276" w:lineRule="auto" w:before="0" w:after="0"/>
            </w:pPr>
            <w:r/>
            <w:r>
              <w:rPr>
                <w:rFonts w:ascii="Figtree" w:hAnsi="Figtree"/>
                <w:b w:val="0"/>
                <w:i w:val="0"/>
                <w:sz w:val="20"/>
              </w:rPr>
              <w:t>+$15,000, +1 week in Phase 3</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4171"/>
        <w:gridCol w:w="27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Licence</w:t>
            </w:r>
          </w:p>
        </w:tc>
        <w:tc>
          <w:tcPr>
            <w:tcW w:type="dxa" w:w="3249"/>
            <w:vAlign w:val="center"/>
          </w:tcPr>
          <w:p>
            <w:pPr>
              <w:spacing w:line="276" w:lineRule="auto" w:before="0" w:after="0"/>
            </w:pPr>
            <w:r/>
            <w:r>
              <w:rPr>
                <w:rFonts w:ascii="Figtree" w:hAnsi="Figtree"/>
                <w:b w:val="0"/>
                <w:i w:val="0"/>
                <w:sz w:val="20"/>
              </w:rPr>
              <w:t>DALP software licence, IP, data handling</w:t>
            </w:r>
          </w:p>
        </w:tc>
        <w:tc>
          <w:tcPr>
            <w:tcW w:type="dxa" w:w="3249"/>
            <w:vAlign w:val="center"/>
          </w:tcPr>
          <w:p>
            <w:pPr>
              <w:spacing w:line="276" w:lineRule="auto" w:before="0" w:after="0"/>
            </w:pPr>
            <w:r/>
            <w:r>
              <w:rPr>
                <w:rFonts w:ascii="Figtree" w:hAnsi="Figtree"/>
                <w:b w:val="0"/>
                <w:i w:val="0"/>
                <w:sz w:val="20"/>
              </w:rPr>
              <w:t>3 years</w:t>
            </w:r>
          </w:p>
        </w:tc>
      </w:tr>
      <w:tr>
        <w:trPr>
          <w:trHeight w:val="425" w:hRule="atLeast"/>
        </w:trPr>
        <w:tc>
          <w:tcPr>
            <w:tcW w:type="dxa" w:w="3249"/>
            <w:vAlign w:val="center"/>
          </w:tcPr>
          <w:p>
            <w:pPr>
              <w:spacing w:line="276" w:lineRule="auto" w:before="0" w:after="0"/>
            </w:pPr>
            <w:r/>
            <w:r>
              <w:rPr>
                <w:rFonts w:ascii="Figtree" w:hAnsi="Figtree"/>
                <w:b w:val="0"/>
                <w:i w:val="0"/>
                <w:sz w:val="20"/>
              </w:rPr>
              <w:t>Professional Services</w:t>
            </w:r>
          </w:p>
        </w:tc>
        <w:tc>
          <w:tcPr>
            <w:tcW w:type="dxa" w:w="3249"/>
            <w:vAlign w:val="center"/>
          </w:tcPr>
          <w:p>
            <w:pPr>
              <w:spacing w:line="276" w:lineRule="auto" w:before="0" w:after="0"/>
            </w:pPr>
            <w:r/>
            <w:r>
              <w:rPr>
                <w:rFonts w:ascii="Figtree" w:hAnsi="Figtree"/>
                <w:b w:val="0"/>
                <w:i w:val="0"/>
                <w:sz w:val="20"/>
              </w:rPr>
              <w:t>Implementation, training</w:t>
            </w:r>
          </w:p>
        </w:tc>
        <w:tc>
          <w:tcPr>
            <w:tcW w:type="dxa" w:w="3249"/>
            <w:vAlign w:val="center"/>
          </w:tcPr>
          <w:p>
            <w:pPr>
              <w:spacing w:line="276" w:lineRule="auto" w:before="0" w:after="0"/>
            </w:pPr>
            <w:r/>
            <w:r>
              <w:rPr>
                <w:rFonts w:ascii="Figtree" w:hAnsi="Figtree"/>
                <w:b w:val="0"/>
                <w:i w:val="0"/>
                <w:sz w:val="20"/>
              </w:rPr>
              <w:t>18 weeks</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Enterprise FR-capable support</w:t>
            </w:r>
          </w:p>
        </w:tc>
        <w:tc>
          <w:tcPr>
            <w:tcW w:type="dxa" w:w="3249"/>
            <w:vAlign w:val="center"/>
          </w:tcPr>
          <w:p>
            <w:pPr>
              <w:spacing w:line="276" w:lineRule="auto" w:before="0" w:after="0"/>
            </w:pPr>
            <w:r/>
            <w:r>
              <w:rPr>
                <w:rFonts w:ascii="Figtree" w:hAnsi="Figtree"/>
                <w:b w:val="0"/>
                <w:i w:val="0"/>
                <w:sz w:val="20"/>
              </w:rPr>
              <w:t>Co-terminates with licence</w:t>
            </w:r>
          </w:p>
        </w:tc>
      </w:tr>
    </w:tbl>
    <w:p>
      <w:pPr>
        <w:spacing w:before="0" w:after="0" w:line="120" w:lineRule="exact"/>
      </w:pP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29"/>
        <w:gridCol w:w="33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Year 1 + Support Year 1)</w:t>
            </w:r>
          </w:p>
        </w:tc>
        <w:tc>
          <w:tcPr>
            <w:tcW w:type="dxa" w:w="4873"/>
            <w:vAlign w:val="center"/>
          </w:tcPr>
          <w:p>
            <w:pPr>
              <w:spacing w:line="276" w:lineRule="auto" w:before="0" w:after="0"/>
            </w:pPr>
            <w:r/>
            <w:r>
              <w:rPr>
                <w:rFonts w:ascii="Figtree" w:hAnsi="Figtree"/>
                <w:b w:val="0"/>
                <w:i w:val="0"/>
                <w:sz w:val="20"/>
              </w:rPr>
              <w:t>$624,000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 sign-off</w:t>
            </w:r>
          </w:p>
        </w:tc>
        <w:tc>
          <w:tcPr>
            <w:tcW w:type="dxa" w:w="4873"/>
            <w:vAlign w:val="center"/>
          </w:tcPr>
          <w:p>
            <w:pPr>
              <w:spacing w:line="276" w:lineRule="auto" w:before="0" w:after="0"/>
            </w:pPr>
            <w:r/>
            <w:r>
              <w:rPr>
                <w:rFonts w:ascii="Figtree" w:hAnsi="Figtree"/>
                <w:b w:val="0"/>
                <w:i w:val="0"/>
                <w:sz w:val="20"/>
              </w:rPr>
              <w:t>$42,000 (15%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Phase 3 gate sign-off</w:t>
            </w:r>
          </w:p>
        </w:tc>
        <w:tc>
          <w:tcPr>
            <w:tcW w:type="dxa" w:w="4873"/>
            <w:vAlign w:val="center"/>
          </w:tcPr>
          <w:p>
            <w:pPr>
              <w:spacing w:line="276" w:lineRule="auto" w:before="0" w:after="0"/>
            </w:pPr>
            <w:r/>
            <w:r>
              <w:rPr>
                <w:rFonts w:ascii="Figtree" w:hAnsi="Figtree"/>
                <w:b w:val="0"/>
                <w:i w:val="0"/>
                <w:sz w:val="20"/>
              </w:rPr>
              <w:t>$84,000 (30%)</w:t>
            </w:r>
          </w:p>
        </w:tc>
      </w:tr>
      <w:tr>
        <w:trPr>
          <w:trHeight w:val="425" w:hRule="atLeast"/>
        </w:trPr>
        <w:tc>
          <w:tcPr>
            <w:tcW w:type="dxa" w:w="4873"/>
            <w:vAlign w:val="center"/>
          </w:tcPr>
          <w:p>
            <w:pPr>
              <w:spacing w:line="276" w:lineRule="auto" w:before="0" w:after="0"/>
            </w:pPr>
            <w:r/>
            <w:r>
              <w:rPr>
                <w:rFonts w:ascii="Figtree" w:hAnsi="Figtree"/>
                <w:b w:val="0"/>
                <w:i w:val="0"/>
                <w:sz w:val="20"/>
              </w:rPr>
              <w:t>Phase 4 gate sign-off</w:t>
            </w:r>
          </w:p>
        </w:tc>
        <w:tc>
          <w:tcPr>
            <w:tcW w:type="dxa" w:w="4873"/>
            <w:vAlign w:val="center"/>
          </w:tcPr>
          <w:p>
            <w:pPr>
              <w:spacing w:line="276" w:lineRule="auto" w:before="0" w:after="0"/>
            </w:pPr>
            <w:r/>
            <w:r>
              <w:rPr>
                <w:rFonts w:ascii="Figtree" w:hAnsi="Figtree"/>
                <w:b w:val="0"/>
                <w:i w:val="0"/>
                <w:sz w:val="20"/>
              </w:rPr>
              <w:t>$56,000 (20%)</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$98,000 (35% remaining)</w:t>
            </w:r>
          </w:p>
        </w:tc>
      </w:tr>
    </w:tbl>
    <w:p>
      <w:pPr>
        <w:spacing w:before="0" w:after="0" w:line="120" w:lineRule="exact"/>
      </w:pPr>
    </w:p>
    <w:p>
      <w:pPr>
        <w:pStyle w:val="H2"/>
        <w:numPr>
          <w:ilvl w:val="1"/>
          <w:numId w:val="1"/>
        </w:numPr>
      </w:pPr>
      <w:r>
        <w:t>7.3 Currency and Duration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 or EUR equivalent at contract signing</w:t>
      </w:r>
    </w:p>
    <w:p>
      <w:pPr>
        <w:pStyle w:val="ListParagraph"/>
        <w:numPr>
          <w:ilvl w:val="0"/>
          <w:numId w:val="4"/>
        </w:numPr>
      </w:pPr>
      <w:r>
        <w:rPr>
          <w:rFonts w:ascii="Figtree" w:hAnsi="Figtree"/>
          <w:b/>
          <w:i w:val="0"/>
          <w:sz w:val="22"/>
        </w:rPr>
        <w:t>Initial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platform licence fees for 3-year upfront commitment</w:t>
      </w:r>
    </w:p>
    <w:p>
      <w:pPr>
        <w:pStyle w:val="H2"/>
        <w:numPr>
          <w:ilvl w:val="1"/>
          <w:numId w:val="1"/>
        </w:numPr>
      </w:pPr>
      <w:r>
        <w:t>7.4 Key Terms</w:t>
      </w:r>
    </w:p>
    <w:p>
      <w:pPr>
        <w:pStyle w:val="ListParagraph"/>
        <w:numPr>
          <w:ilvl w:val="0"/>
          <w:numId w:val="4"/>
        </w:numPr>
      </w:pPr>
      <w:r>
        <w:rPr>
          <w:rFonts w:ascii="Figtree" w:hAnsi="Figtree"/>
          <w:b/>
          <w:i w:val="0"/>
          <w:sz w:val="22"/>
        </w:rPr>
        <w:t>IP:</w:t>
      </w:r>
      <w:r>
        <w:rPr>
          <w:rFonts w:ascii="Figtree" w:hAnsi="Figtree"/>
          <w:b w:val="0"/>
          <w:i w:val="0"/>
          <w:sz w:val="22"/>
        </w:rPr>
        <w:t xml:space="preserve"> DALP platform remains SettleMint's. Client data and configurations remain CSE's.</w:t>
      </w:r>
    </w:p>
    <w:p>
      <w:pPr>
        <w:pStyle w:val="ListParagraph"/>
        <w:numPr>
          <w:ilvl w:val="0"/>
          <w:numId w:val="4"/>
        </w:numPr>
      </w:pPr>
      <w:r>
        <w:rPr>
          <w:rFonts w:ascii="Figtree" w:hAnsi="Figtree"/>
          <w:b/>
          <w:i w:val="0"/>
          <w:sz w:val="22"/>
        </w:rPr>
        <w:t>Liability cap:</w:t>
      </w:r>
      <w:r>
        <w:rPr>
          <w:rFonts w:ascii="Figtree" w:hAnsi="Figtree"/>
          <w:b w:val="0"/>
          <w:i w:val="0"/>
          <w:sz w:val="22"/>
        </w:rPr>
        <w:t xml:space="preserve"> 12 months of licence fees paid.</w:t>
      </w:r>
    </w:p>
    <w:p>
      <w:pPr>
        <w:pStyle w:val="ListParagraph"/>
        <w:numPr>
          <w:ilvl w:val="0"/>
          <w:numId w:val="4"/>
        </w:numPr>
      </w:pPr>
      <w:r>
        <w:rPr>
          <w:rFonts w:ascii="Figtree" w:hAnsi="Figtree"/>
          <w:b/>
          <w:i w:val="0"/>
          <w:sz w:val="22"/>
        </w:rPr>
        <w:t>Confidentiality:</w:t>
      </w:r>
      <w:r>
        <w:rPr>
          <w:rFonts w:ascii="Figtree" w:hAnsi="Figtree"/>
          <w:b w:val="0"/>
          <w:i w:val="0"/>
          <w:sz w:val="22"/>
        </w:rPr>
        <w:t xml:space="preserve"> Mutual, 3 years post-term.</w:t>
      </w:r>
    </w:p>
    <w:p>
      <w:pPr>
        <w:pStyle w:val="ListParagraph"/>
        <w:numPr>
          <w:ilvl w:val="0"/>
          <w:numId w:val="4"/>
        </w:numPr>
      </w:pPr>
      <w:r>
        <w:rPr>
          <w:rFonts w:ascii="Figtree" w:hAnsi="Figtree"/>
          <w:b/>
          <w:i w:val="0"/>
          <w:sz w:val="22"/>
        </w:rPr>
        <w:t>Termination for cause:</w:t>
      </w:r>
      <w:r>
        <w:rPr>
          <w:rFonts w:ascii="Figtree" w:hAnsi="Figtree"/>
          <w:b w:val="0"/>
          <w:i w:val="0"/>
          <w:sz w:val="22"/>
        </w:rPr>
        <w:t xml:space="preserve"> 30-day cure period.</w:t>
      </w:r>
    </w:p>
    <w:p>
      <w:pPr>
        <w:pStyle w:val="ListParagraph"/>
        <w:numPr>
          <w:ilvl w:val="0"/>
          <w:numId w:val="4"/>
        </w:numPr>
      </w:pPr>
      <w:r>
        <w:rPr>
          <w:rFonts w:ascii="Figtree" w:hAnsi="Figtree"/>
          <w:b/>
          <w:i w:val="0"/>
          <w:sz w:val="22"/>
        </w:rPr>
        <w:t>Data export:</w:t>
      </w:r>
      <w:r>
        <w:rPr>
          <w:rFonts w:ascii="Figtree" w:hAnsi="Figtree"/>
          <w:b w:val="0"/>
          <w:i w:val="0"/>
          <w:sz w:val="22"/>
        </w:rPr>
        <w:t xml:space="preserve"> 90-day access post-termination.</w:t>
      </w:r>
    </w:p>
    <w:p>
      <w:pPr>
        <w:pStyle w:val="ListParagraph"/>
        <w:numPr>
          <w:ilvl w:val="0"/>
          <w:numId w:val="4"/>
        </w:numPr>
      </w:pPr>
      <w:r>
        <w:rPr>
          <w:rFonts w:ascii="Figtree" w:hAnsi="Figtree"/>
          <w:b/>
          <w:i w:val="0"/>
          <w:sz w:val="22"/>
        </w:rPr>
        <w:t>Escrow:</w:t>
      </w:r>
      <w:r>
        <w:rPr>
          <w:rFonts w:ascii="Figtree" w:hAnsi="Figtree"/>
          <w:b w:val="0"/>
          <w:i w:val="0"/>
          <w:sz w:val="22"/>
        </w:rPr>
        <w:t xml:space="preserve"> Available on request; costs borne by CSE.</w:t>
      </w:r>
    </w:p>
    <w:p>
      <w:r>
        <w:br w:type="page"/>
      </w:r>
    </w:p>
    <w:p>
      <w:pPr>
        <w:pStyle w:val="H1"/>
        <w:numPr>
          <w:ilvl w:val="0"/>
          <w:numId w:val="1"/>
        </w:numPr>
      </w:pPr>
      <w:r>
        <w:t>8. Total Cost of Ownership</w:t>
      </w:r>
    </w:p>
    <w:p>
      <w:pPr>
        <w:pStyle w:val="H2"/>
        <w:numPr>
          <w:ilvl w:val="1"/>
          <w:numId w:val="1"/>
        </w:numPr>
      </w:pPr>
      <w:r>
        <w:t>8.1 Three-Year TCO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8"/>
        <w:gridCol w:w="1587"/>
        <w:gridCol w:w="2268"/>
        <w:gridCol w:w="26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Year 1 total</w:t>
            </w:r>
          </w:p>
        </w:tc>
        <w:tc>
          <w:tcPr>
            <w:tcW w:type="dxa" w:w="2436"/>
            <w:vAlign w:val="center"/>
          </w:tcPr>
          <w:p>
            <w:pPr>
              <w:spacing w:line="276" w:lineRule="auto" w:before="0" w:after="0"/>
            </w:pPr>
            <w:r/>
            <w:r>
              <w:rPr>
                <w:rFonts w:ascii="Figtree" w:hAnsi="Figtree"/>
                <w:b w:val="0"/>
                <w:i w:val="0"/>
                <w:sz w:val="20"/>
              </w:rPr>
              <w:t>$1,004,000</w:t>
            </w:r>
          </w:p>
        </w:tc>
        <w:tc>
          <w:tcPr>
            <w:tcW w:type="dxa" w:w="2436"/>
            <w:vAlign w:val="center"/>
          </w:tcPr>
          <w:p>
            <w:pPr>
              <w:spacing w:line="276" w:lineRule="auto" w:before="0" w:after="0"/>
            </w:pPr>
            <w:r/>
            <w:r>
              <w:rPr>
                <w:rFonts w:ascii="Figtree" w:hAnsi="Figtree"/>
                <w:b w:val="0"/>
                <w:i w:val="0"/>
                <w:sz w:val="20"/>
              </w:rPr>
              <w:t>$1,350,000</w:t>
            </w:r>
          </w:p>
        </w:tc>
        <w:tc>
          <w:tcPr>
            <w:tcW w:type="dxa" w:w="2436"/>
            <w:vAlign w:val="center"/>
          </w:tcPr>
          <w:p>
            <w:pPr>
              <w:spacing w:line="276" w:lineRule="auto" w:before="0" w:after="0"/>
            </w:pPr>
            <w:r/>
            <w:r>
              <w:rPr>
                <w:rFonts w:ascii="Figtree" w:hAnsi="Figtree"/>
                <w:b w:val="0"/>
                <w:i w:val="0"/>
                <w:sz w:val="20"/>
              </w:rPr>
              <w:t>$1,150,000</w:t>
            </w:r>
          </w:p>
        </w:tc>
      </w:tr>
      <w:tr>
        <w:trPr>
          <w:trHeight w:val="425" w:hRule="atLeast"/>
        </w:trPr>
        <w:tc>
          <w:tcPr>
            <w:tcW w:type="dxa" w:w="2436"/>
            <w:vAlign w:val="center"/>
          </w:tcPr>
          <w:p>
            <w:pPr>
              <w:spacing w:line="276" w:lineRule="auto" w:before="0" w:after="0"/>
            </w:pPr>
            <w:r/>
            <w:r>
              <w:rPr>
                <w:rFonts w:ascii="Figtree" w:hAnsi="Figtree"/>
                <w:b w:val="0"/>
                <w:i w:val="0"/>
                <w:sz w:val="20"/>
              </w:rPr>
              <w:t>Year 2 total</w:t>
            </w:r>
          </w:p>
        </w:tc>
        <w:tc>
          <w:tcPr>
            <w:tcW w:type="dxa" w:w="2436"/>
            <w:vAlign w:val="center"/>
          </w:tcPr>
          <w:p>
            <w:pPr>
              <w:spacing w:line="276" w:lineRule="auto" w:before="0" w:after="0"/>
            </w:pPr>
            <w:r/>
            <w:r>
              <w:rPr>
                <w:rFonts w:ascii="Figtree" w:hAnsi="Figtree"/>
                <w:b w:val="0"/>
                <w:i w:val="0"/>
                <w:sz w:val="20"/>
              </w:rPr>
              <w:t>$696,000</w:t>
            </w:r>
          </w:p>
        </w:tc>
        <w:tc>
          <w:tcPr>
            <w:tcW w:type="dxa" w:w="2436"/>
            <w:vAlign w:val="center"/>
          </w:tcPr>
          <w:p>
            <w:pPr>
              <w:spacing w:line="276" w:lineRule="auto" w:before="0" w:after="0"/>
            </w:pPr>
            <w:r/>
            <w:r>
              <w:rPr>
                <w:rFonts w:ascii="Figtree" w:hAnsi="Figtree"/>
                <w:b w:val="0"/>
                <w:i w:val="0"/>
                <w:sz w:val="20"/>
              </w:rPr>
              <w:t>$1,000,000</w:t>
            </w:r>
          </w:p>
        </w:tc>
        <w:tc>
          <w:tcPr>
            <w:tcW w:type="dxa" w:w="2436"/>
            <w:vAlign w:val="center"/>
          </w:tcPr>
          <w:p>
            <w:pPr>
              <w:spacing w:line="276" w:lineRule="auto" w:before="0" w:after="0"/>
            </w:pPr>
            <w:r/>
            <w:r>
              <w:rPr>
                <w:rFonts w:ascii="Figtree" w:hAnsi="Figtree"/>
                <w:b w:val="0"/>
                <w:i w:val="0"/>
                <w:sz w:val="20"/>
              </w:rPr>
              <w:t>$1,050,000</w:t>
            </w:r>
          </w:p>
        </w:tc>
      </w:tr>
      <w:tr>
        <w:trPr>
          <w:trHeight w:val="425" w:hRule="atLeast"/>
        </w:trPr>
        <w:tc>
          <w:tcPr>
            <w:tcW w:type="dxa" w:w="2436"/>
            <w:vAlign w:val="center"/>
          </w:tcPr>
          <w:p>
            <w:pPr>
              <w:spacing w:line="276" w:lineRule="auto" w:before="0" w:after="0"/>
            </w:pPr>
            <w:r/>
            <w:r>
              <w:rPr>
                <w:rFonts w:ascii="Figtree" w:hAnsi="Figtree"/>
                <w:b w:val="0"/>
                <w:i w:val="0"/>
                <w:sz w:val="20"/>
              </w:rPr>
              <w:t>Year 3 total</w:t>
            </w:r>
          </w:p>
        </w:tc>
        <w:tc>
          <w:tcPr>
            <w:tcW w:type="dxa" w:w="2436"/>
            <w:vAlign w:val="center"/>
          </w:tcPr>
          <w:p>
            <w:pPr>
              <w:spacing w:line="276" w:lineRule="auto" w:before="0" w:after="0"/>
            </w:pPr>
            <w:r/>
            <w:r>
              <w:rPr>
                <w:rFonts w:ascii="Figtree" w:hAnsi="Figtree"/>
                <w:b w:val="0"/>
                <w:i w:val="0"/>
                <w:sz w:val="20"/>
              </w:rPr>
              <w:t>$708,000</w:t>
            </w:r>
          </w:p>
        </w:tc>
        <w:tc>
          <w:tcPr>
            <w:tcW w:type="dxa" w:w="2436"/>
            <w:vAlign w:val="center"/>
          </w:tcPr>
          <w:p>
            <w:pPr>
              <w:spacing w:line="276" w:lineRule="auto" w:before="0" w:after="0"/>
            </w:pPr>
            <w:r/>
            <w:r>
              <w:rPr>
                <w:rFonts w:ascii="Figtree" w:hAnsi="Figtree"/>
                <w:b w:val="0"/>
                <w:i w:val="0"/>
                <w:sz w:val="20"/>
              </w:rPr>
              <w:t>$1,050,000</w:t>
            </w:r>
          </w:p>
        </w:tc>
        <w:tc>
          <w:tcPr>
            <w:tcW w:type="dxa" w:w="2436"/>
            <w:vAlign w:val="center"/>
          </w:tcPr>
          <w:p>
            <w:pPr>
              <w:spacing w:line="276" w:lineRule="auto" w:before="0" w:after="0"/>
            </w:pPr>
            <w:r/>
            <w:r>
              <w:rPr>
                <w:rFonts w:ascii="Figtree" w:hAnsi="Figtree"/>
                <w:b w:val="0"/>
                <w:i w:val="0"/>
                <w:sz w:val="20"/>
              </w:rPr>
              <w:t>$1,080,000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$2,408,000</w:t>
            </w:r>
          </w:p>
        </w:tc>
        <w:tc>
          <w:tcPr>
            <w:tcW w:type="dxa" w:w="2436"/>
            <w:vAlign w:val="center"/>
          </w:tcPr>
          <w:p>
            <w:pPr>
              <w:spacing w:line="276" w:lineRule="auto" w:before="0" w:after="0"/>
            </w:pPr>
            <w:r/>
            <w:r>
              <w:rPr>
                <w:rFonts w:ascii="Figtree" w:hAnsi="Figtree"/>
                <w:b/>
                <w:i w:val="0"/>
                <w:sz w:val="20"/>
              </w:rPr>
              <w:t>$3,400,000</w:t>
            </w:r>
          </w:p>
        </w:tc>
        <w:tc>
          <w:tcPr>
            <w:tcW w:type="dxa" w:w="2436"/>
            <w:vAlign w:val="center"/>
          </w:tcPr>
          <w:p>
            <w:pPr>
              <w:spacing w:line="276" w:lineRule="auto" w:before="0" w:after="0"/>
            </w:pPr>
            <w:r/>
            <w:r>
              <w:rPr>
                <w:rFonts w:ascii="Figtree" w:hAnsi="Figtree"/>
                <w:b/>
                <w:i w:val="0"/>
                <w:sz w:val="20"/>
              </w:rPr>
              <w:t>$3,280,000</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18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FR/AR support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Must hire/contract</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updates</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 legal review</w:t>
            </w:r>
          </w:p>
        </w:tc>
        <w:tc>
          <w:tcPr>
            <w:tcW w:type="dxa" w:w="2436"/>
            <w:vAlign w:val="center"/>
          </w:tcPr>
          <w:p>
            <w:pPr>
              <w:spacing w:line="276" w:lineRule="auto" w:before="0" w:after="0"/>
            </w:pPr>
            <w:r/>
            <w:r>
              <w:rPr>
                <w:rFonts w:ascii="Figtree" w:hAnsi="Figtree"/>
                <w:b w:val="0"/>
                <w:i w:val="0"/>
                <w:sz w:val="20"/>
              </w:rPr>
              <w:t>Multiple vendor patches</w:t>
            </w:r>
          </w:p>
        </w:tc>
      </w:tr>
      <w:tr>
        <w:trPr>
          <w:trHeight w:val="425" w:hRule="atLeast"/>
        </w:trPr>
        <w:tc>
          <w:tcPr>
            <w:tcW w:type="dxa" w:w="2436"/>
            <w:vAlign w:val="center"/>
          </w:tcPr>
          <w:p>
            <w:pPr>
              <w:spacing w:line="276" w:lineRule="auto" w:before="0" w:after="0"/>
            </w:pPr>
            <w:r/>
            <w:r>
              <w:rPr>
                <w:rFonts w:ascii="Figtree" w:hAnsi="Figtree"/>
                <w:b w:val="0"/>
                <w:i w:val="0"/>
                <w:sz w:val="20"/>
              </w:rPr>
              <w:t>Sukuk support</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Requires development</w:t>
            </w:r>
          </w:p>
        </w:tc>
        <w:tc>
          <w:tcPr>
            <w:tcW w:type="dxa" w:w="2436"/>
            <w:vAlign w:val="center"/>
          </w:tcPr>
          <w:p>
            <w:pPr>
              <w:spacing w:line="276" w:lineRule="auto" w:before="0" w:after="0"/>
            </w:pPr>
            <w:r/>
            <w:r>
              <w:rPr>
                <w:rFonts w:ascii="Figtree" w:hAnsi="Figtree"/>
                <w:b w:val="0"/>
                <w:i w:val="0"/>
                <w:sz w:val="20"/>
              </w:rPr>
              <w:t>Separate vendor likely</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3342"/>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$1,004,000</w:t>
            </w:r>
          </w:p>
        </w:tc>
        <w:tc>
          <w:tcPr>
            <w:tcW w:type="dxa" w:w="3249"/>
            <w:vAlign w:val="center"/>
          </w:tcPr>
          <w:p>
            <w:pPr>
              <w:spacing w:line="276" w:lineRule="auto" w:before="0" w:after="0"/>
            </w:pPr>
            <w:r/>
            <w:r>
              <w:rPr>
                <w:rFonts w:ascii="Figtree" w:hAnsi="Figtree"/>
                <w:b w:val="0"/>
                <w:i w:val="0"/>
                <w:sz w:val="20"/>
              </w:rPr>
              <w:t>$1,350,000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$696,000</w:t>
            </w:r>
          </w:p>
        </w:tc>
        <w:tc>
          <w:tcPr>
            <w:tcW w:type="dxa" w:w="3249"/>
            <w:vAlign w:val="center"/>
          </w:tcPr>
          <w:p>
            <w:pPr>
              <w:spacing w:line="276" w:lineRule="auto" w:before="0" w:after="0"/>
            </w:pPr>
            <w:r/>
            <w:r>
              <w:rPr>
                <w:rFonts w:ascii="Figtree" w:hAnsi="Figtree"/>
                <w:b w:val="0"/>
                <w:i w:val="0"/>
                <w:sz w:val="20"/>
              </w:rPr>
              <w:t>$1,000,000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$1,050,000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$1,100,000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$1,150,000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$3,824,000</w:t>
            </w:r>
          </w:p>
        </w:tc>
        <w:tc>
          <w:tcPr>
            <w:tcW w:type="dxa" w:w="3249"/>
            <w:vAlign w:val="center"/>
          </w:tcPr>
          <w:p>
            <w:pPr>
              <w:spacing w:line="276" w:lineRule="auto" w:before="0" w:after="0"/>
            </w:pPr>
            <w:r/>
            <w:r>
              <w:rPr>
                <w:rFonts w:ascii="Figtree" w:hAnsi="Figtree"/>
                <w:b/>
                <w:i w:val="0"/>
                <w:sz w:val="20"/>
              </w:rPr>
              <w:t>$5,650,000</w:t>
            </w:r>
          </w:p>
        </w:tc>
      </w:tr>
    </w:tbl>
    <w:p>
      <w:pPr>
        <w:spacing w:before="0" w:after="0" w:line="120" w:lineRule="exact"/>
      </w:pPr>
    </w:p>
    <w:p>
      <w:r>
        <w:rPr>
          <w:rFonts w:ascii="Figtree" w:hAnsi="Figtree"/>
          <w:b w:val="0"/>
          <w:i w:val="0"/>
          <w:sz w:val="22"/>
        </w:rPr>
        <w:t>DALP's 5-year advantage: $1,826,000 saved versus internal build; $1,700,000+ saved versus multi-vendor assembly.</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3"/>
        <w:gridCol w:w="2461"/>
        <w:gridCol w:w="36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CSE</w:t>
            </w:r>
          </w:p>
        </w:tc>
      </w:tr>
      <w:tr>
        <w:trPr>
          <w:trHeight w:val="425" w:hRule="atLeast"/>
        </w:trPr>
        <w:tc>
          <w:tcPr>
            <w:tcW w:type="dxa" w:w="3249"/>
            <w:vAlign w:val="center"/>
          </w:tcPr>
          <w:p>
            <w:pPr>
              <w:spacing w:line="276" w:lineRule="auto" w:before="0" w:after="0"/>
            </w:pPr>
            <w:r/>
            <w:r>
              <w:rPr>
                <w:rFonts w:ascii="Figtree" w:hAnsi="Figtree"/>
                <w:b w:val="0"/>
                <w:i w:val="0"/>
                <w:sz w:val="20"/>
              </w:rPr>
              <w:t>Euronext</w:t>
            </w:r>
          </w:p>
        </w:tc>
        <w:tc>
          <w:tcPr>
            <w:tcW w:type="dxa" w:w="3249"/>
            <w:vAlign w:val="center"/>
          </w:tcPr>
          <w:p>
            <w:pPr>
              <w:spacing w:line="276" w:lineRule="auto" w:before="0" w:after="0"/>
            </w:pPr>
            <w:r/>
            <w:r>
              <w:rPr>
                <w:rFonts w:ascii="Figtree" w:hAnsi="Figtree"/>
                <w:b w:val="0"/>
                <w:i w:val="0"/>
                <w:sz w:val="20"/>
              </w:rPr>
              <w:t>Digital securities listing (Europe)</w:t>
            </w:r>
          </w:p>
        </w:tc>
        <w:tc>
          <w:tcPr>
            <w:tcW w:type="dxa" w:w="3249"/>
            <w:vAlign w:val="center"/>
          </w:tcPr>
          <w:p>
            <w:pPr>
              <w:spacing w:line="276" w:lineRule="auto" w:before="0" w:after="0"/>
            </w:pPr>
            <w:r/>
            <w:r>
              <w:rPr>
                <w:rFonts w:ascii="Figtree" w:hAnsi="Figtree"/>
                <w:b w:val="0"/>
                <w:i w:val="0"/>
                <w:sz w:val="20"/>
              </w:rPr>
              <w:t>Exchange operator, listing controls, CSD integration</w:t>
            </w:r>
          </w:p>
        </w:tc>
      </w:tr>
      <w:tr>
        <w:trPr>
          <w:trHeight w:val="425" w:hRule="atLeast"/>
        </w:trPr>
        <w:tc>
          <w:tcPr>
            <w:tcW w:type="dxa" w:w="3249"/>
            <w:vAlign w:val="center"/>
          </w:tcPr>
          <w:p>
            <w:pPr>
              <w:spacing w:line="276" w:lineRule="auto" w:before="0" w:after="0"/>
            </w:pPr>
            <w:r/>
            <w:r>
              <w:rPr>
                <w:rFonts w:ascii="Figtree" w:hAnsi="Figtree"/>
                <w:b w:val="0"/>
                <w:i w:val="0"/>
                <w:sz w:val="20"/>
              </w:rPr>
              <w:t>JSE (Johannesburg Stock Exchange context)</w:t>
            </w:r>
          </w:p>
        </w:tc>
        <w:tc>
          <w:tcPr>
            <w:tcW w:type="dxa" w:w="3249"/>
            <w:vAlign w:val="center"/>
          </w:tcPr>
          <w:p>
            <w:pPr>
              <w:spacing w:line="276" w:lineRule="auto" w:before="0" w:after="0"/>
            </w:pPr>
            <w:r/>
            <w:r>
              <w:rPr>
                <w:rFonts w:ascii="Figtree" w:hAnsi="Figtree"/>
                <w:b w:val="0"/>
                <w:i w:val="0"/>
                <w:sz w:val="20"/>
              </w:rPr>
              <w:t>African exchange infrastructure</w:t>
            </w:r>
          </w:p>
        </w:tc>
        <w:tc>
          <w:tcPr>
            <w:tcW w:type="dxa" w:w="3249"/>
            <w:vAlign w:val="center"/>
          </w:tcPr>
          <w:p>
            <w:pPr>
              <w:spacing w:line="276" w:lineRule="auto" w:before="0" w:after="0"/>
            </w:pPr>
            <w:r/>
            <w:r>
              <w:rPr>
                <w:rFonts w:ascii="Figtree" w:hAnsi="Figtree"/>
                <w:b w:val="0"/>
                <w:i w:val="0"/>
                <w:sz w:val="20"/>
              </w:rPr>
              <w:t>African market dynamics, local CSD interaction</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Bank</w:t>
            </w:r>
          </w:p>
        </w:tc>
        <w:tc>
          <w:tcPr>
            <w:tcW w:type="dxa" w:w="3249"/>
            <w:vAlign w:val="center"/>
          </w:tcPr>
          <w:p>
            <w:pPr>
              <w:spacing w:line="276" w:lineRule="auto" w:before="0" w:after="0"/>
            </w:pPr>
            <w:r/>
            <w:r>
              <w:rPr>
                <w:rFonts w:ascii="Figtree" w:hAnsi="Figtree"/>
                <w:b w:val="0"/>
                <w:i w:val="0"/>
                <w:sz w:val="20"/>
              </w:rPr>
              <w:t>Multi-jurisdiction digital assets</w:t>
            </w:r>
          </w:p>
        </w:tc>
        <w:tc>
          <w:tcPr>
            <w:tcW w:type="dxa" w:w="3249"/>
            <w:vAlign w:val="center"/>
          </w:tcPr>
          <w:p>
            <w:pPr>
              <w:spacing w:line="276" w:lineRule="auto" w:before="0" w:after="0"/>
            </w:pPr>
            <w:r/>
            <w:r>
              <w:rPr>
                <w:rFonts w:ascii="Figtree" w:hAnsi="Figtree"/>
                <w:b w:val="0"/>
                <w:i w:val="0"/>
                <w:sz w:val="20"/>
              </w:rPr>
              <w:t>Cross-border investor compliance, AML/CFT patterns</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Digital Dirham infrastructure</w:t>
            </w:r>
          </w:p>
        </w:tc>
        <w:tc>
          <w:tcPr>
            <w:tcW w:type="dxa" w:w="3249"/>
            <w:vAlign w:val="center"/>
          </w:tcPr>
          <w:p>
            <w:pPr>
              <w:spacing w:line="276" w:lineRule="auto" w:before="0" w:after="0"/>
            </w:pPr>
            <w:r/>
            <w:r>
              <w:rPr>
                <w:rFonts w:ascii="Figtree" w:hAnsi="Figtree"/>
                <w:b w:val="0"/>
                <w:i w:val="0"/>
                <w:sz w:val="20"/>
              </w:rPr>
              <w:t>Islamic finance context, Gulf regulatory framework</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 (CIB Egypt context)</w:t>
            </w:r>
          </w:p>
        </w:tc>
        <w:tc>
          <w:tcPr>
            <w:tcW w:type="dxa" w:w="3249"/>
            <w:vAlign w:val="center"/>
          </w:tcPr>
          <w:p>
            <w:pPr>
              <w:spacing w:line="276" w:lineRule="auto" w:before="0" w:after="0"/>
            </w:pPr>
            <w:r/>
            <w:r>
              <w:rPr>
                <w:rFonts w:ascii="Figtree" w:hAnsi="Figtree"/>
                <w:b w:val="0"/>
                <w:i w:val="0"/>
                <w:sz w:val="20"/>
              </w:rPr>
              <w:t>Digital fixed income</w:t>
            </w:r>
          </w:p>
        </w:tc>
        <w:tc>
          <w:tcPr>
            <w:tcW w:type="dxa" w:w="3249"/>
            <w:vAlign w:val="center"/>
          </w:tcPr>
          <w:p>
            <w:pPr>
              <w:spacing w:line="276" w:lineRule="auto" w:before="0" w:after="0"/>
            </w:pPr>
            <w:r/>
            <w:r>
              <w:rPr>
                <w:rFonts w:ascii="Figtree" w:hAnsi="Figtree"/>
                <w:b w:val="0"/>
                <w:i w:val="0"/>
                <w:sz w:val="20"/>
              </w:rPr>
              <w:t>North/Pan-African institutional context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91"/>
        <w:gridCol w:w="1814"/>
        <w:gridCol w:w="32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acknowledgment</w:t>
            </w:r>
          </w:p>
        </w:tc>
        <w:tc>
          <w:tcPr>
            <w:tcW w:type="dxa" w:w="3249"/>
            <w:vAlign w:val="center"/>
          </w:tcPr>
          <w:p>
            <w:pPr>
              <w:spacing w:line="276" w:lineRule="auto" w:before="0" w:after="0"/>
            </w:pPr>
            <w:r/>
            <w:r>
              <w:rPr>
                <w:rFonts w:ascii="Figtree" w:hAnsi="Figtree"/>
                <w:b w:val="0"/>
                <w:i w:val="0"/>
                <w:sz w:val="20"/>
              </w:rPr>
              <w:t>CSE Procurement</w:t>
            </w:r>
          </w:p>
        </w:tc>
        <w:tc>
          <w:tcPr>
            <w:tcW w:type="dxa" w:w="3249"/>
            <w:vAlign w:val="center"/>
          </w:tcPr>
          <w:p>
            <w:pPr>
              <w:spacing w:line="276" w:lineRule="auto" w:before="0" w:after="0"/>
            </w:pPr>
            <w:r/>
            <w:r>
              <w:rPr>
                <w:rFonts w:ascii="Figtree" w:hAnsi="Figtree"/>
                <w:b w:val="0"/>
                <w:i w:val="0"/>
                <w:sz w:val="20"/>
              </w:rPr>
              <w:t>Week 1</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 (French)</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Maroclear integration workshop</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AMMC compliance alignment session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Reference client calls</w:t>
            </w:r>
          </w:p>
        </w:tc>
        <w:tc>
          <w:tcPr>
            <w:tcW w:type="dxa" w:w="3249"/>
            <w:vAlign w:val="center"/>
          </w:tcPr>
          <w:p>
            <w:pPr>
              <w:spacing w:line="276" w:lineRule="auto" w:before="0" w:after="0"/>
            </w:pPr>
            <w:r/>
            <w:r>
              <w:rPr>
                <w:rFonts w:ascii="Figtree" w:hAnsi="Figtree"/>
                <w:b w:val="0"/>
                <w:i w:val="0"/>
                <w:sz w:val="20"/>
              </w:rPr>
              <w:t>CSE</w:t>
            </w:r>
          </w:p>
        </w:tc>
        <w:tc>
          <w:tcPr>
            <w:tcW w:type="dxa" w:w="3249"/>
            <w:vAlign w:val="center"/>
          </w:tcPr>
          <w:p>
            <w:pPr>
              <w:spacing w:line="276" w:lineRule="auto" w:before="0" w:after="0"/>
            </w:pPr>
            <w:r/>
            <w:r>
              <w:rPr>
                <w:rFonts w:ascii="Figtree" w:hAnsi="Figtree"/>
                <w:b w:val="0"/>
                <w:i w:val="0"/>
                <w:sz w:val="20"/>
              </w:rPr>
              <w:t>Concurrent</w:t>
            </w:r>
          </w:p>
        </w:tc>
      </w:tr>
      <w:tr>
        <w:trPr>
          <w:trHeight w:val="425" w:hRule="atLeast"/>
        </w:trPr>
        <w:tc>
          <w:tcPr>
            <w:tcW w:type="dxa" w:w="3249"/>
            <w:vAlign w:val="center"/>
          </w:tcPr>
          <w:p>
            <w:pPr>
              <w:spacing w:line="276" w:lineRule="auto" w:before="0" w:after="0"/>
            </w:pPr>
            <w:r/>
            <w:r>
              <w:rPr>
                <w:rFonts w:ascii="Figtree" w:hAnsi="Figtree"/>
                <w:b w:val="0"/>
                <w:i w:val="0"/>
                <w:sz w:val="20"/>
              </w:rPr>
              <w:t>Commercial terms negotiation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5-6</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2 weeks of signature</w:t>
            </w:r>
          </w:p>
        </w:tc>
      </w:tr>
    </w:tbl>
    <w:p>
      <w:pPr>
        <w:spacing w:before="0" w:after="0" w:line="120" w:lineRule="exact"/>
      </w:pPr>
    </w:p>
    <w:p>
      <w:r>
        <w:rPr>
          <w:rFonts w:ascii="Figtree" w:hAnsi="Figtree"/>
          <w:b w:val="0"/>
          <w:i w:val="0"/>
          <w:sz w:val="22"/>
        </w:rPr>
        <w:t>SettleMint is available for clarification sessions and presentations in French. Named commercial and technical contacts will be provided on request.</w:t>
      </w:r>
    </w:p>
    <w:p>
      <w:r>
        <w:br w:type="page"/>
      </w:r>
    </w:p>
    <w:p>
      <w:r>
        <w:rPr>
          <w:rFonts w:ascii="Figtree" w:hAnsi="Figtree"/>
          <w:b w:val="0"/>
          <w:i/>
          <w:sz w:val="22"/>
        </w:rPr>
        <w:t>End of Commercial Proposal — Casablanca Stock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