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Central Bank of Bahrain</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Digital Asset Regulatory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Central Bank of Bahrain</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Digital Asset Regulatory Platform and Supervised Market Access</w:t>
          </w:r>
          <w:r>
            <w:tab/>
          </w:r>
          <w:r>
            <w:t xml:space="preserve">3</w:t>
          </w:r>
        </w:p>
        <w:p>
          <w:pPr>
            <w:pStyle w:val="TOC1"/>
            <w:tabs>
              <w:tab w:val="right" w:leader="dot" w:pos="9072"/>
            </w:tabs>
          </w:pPr>
          <w:r>
            <w:t xml:space="preserve">Table of Contents</w:t>
          </w:r>
          <w:r>
            <w:tab/>
          </w:r>
          <w:r>
            <w:t xml:space="preserve">4</w:t>
          </w:r>
        </w:p>
        <w:p>
          <w:pPr>
            <w:pStyle w:val="TOC1"/>
            <w:tabs>
              <w:tab w:val="right" w:leader="dot" w:pos="9072"/>
            </w:tabs>
          </w:pPr>
          <w:r>
            <w:t xml:space="preserve">1. Executive Summary</w:t>
          </w:r>
          <w:r>
            <w:tab/>
          </w:r>
          <w:r>
            <w:t xml:space="preserve">5</w:t>
          </w:r>
        </w:p>
        <w:p>
          <w:pPr>
            <w:pStyle w:val="TOC2"/>
            <w:tabs>
              <w:tab w:val="right" w:leader="dot" w:pos="9072"/>
            </w:tabs>
          </w:pPr>
          <w:r>
            <w:t xml:space="preserve">1.1 Commercial Recommendation</w:t>
          </w:r>
          <w:r>
            <w:tab/>
          </w:r>
          <w:r>
            <w:t xml:space="preserve">6</w:t>
          </w:r>
        </w:p>
        <w:p>
          <w:pPr>
            <w:pStyle w:val="TOC2"/>
            <w:tabs>
              <w:tab w:val="right" w:leader="dot" w:pos="9072"/>
            </w:tabs>
          </w:pPr>
          <w:r>
            <w:t xml:space="preserve">1.2 Summary of Investment</w:t>
          </w:r>
          <w:r>
            <w:tab/>
          </w:r>
          <w:r>
            <w:t xml:space="preserve">7</w:t>
          </w:r>
        </w:p>
        <w:p>
          <w:pPr>
            <w:pStyle w:val="TOC2"/>
            <w:tabs>
              <w:tab w:val="right" w:leader="dot" w:pos="9072"/>
            </w:tabs>
          </w:pPr>
          <w:r>
            <w:t xml:space="preserve">1.3 Why This Commercial Model</w:t>
          </w:r>
          <w:r>
            <w:tab/>
          </w:r>
          <w:r>
            <w:t xml:space="preserve">8</w:t>
          </w:r>
        </w:p>
        <w:p>
          <w:pPr>
            <w:pStyle w:val="TOC1"/>
            <w:tabs>
              <w:tab w:val="right" w:leader="dot" w:pos="9072"/>
            </w:tabs>
          </w:pPr>
          <w:r>
            <w:t xml:space="preserve">2. Investment Rationale</w:t>
          </w:r>
          <w:r>
            <w:tab/>
          </w:r>
          <w:r>
            <w:t xml:space="preserve">9</w:t>
          </w:r>
        </w:p>
        <w:p>
          <w:pPr>
            <w:pStyle w:val="TOC2"/>
            <w:tabs>
              <w:tab w:val="right" w:leader="dot" w:pos="9072"/>
            </w:tabs>
          </w:pPr>
          <w:r>
            <w:t xml:space="preserve">2.1 The Cost of Current Approach</w:t>
          </w:r>
          <w:r>
            <w:tab/>
          </w:r>
          <w:r>
            <w:t xml:space="preserve">10</w:t>
          </w:r>
        </w:p>
        <w:p>
          <w:pPr>
            <w:pStyle w:val="TOC2"/>
            <w:tabs>
              <w:tab w:val="right" w:leader="dot" w:pos="9072"/>
            </w:tabs>
          </w:pPr>
          <w:r>
            <w:t xml:space="preserve">2.2 How DALP Changes the Economics</w:t>
          </w:r>
          <w:r>
            <w:tab/>
          </w:r>
          <w:r>
            <w:t xml:space="preserve">11</w:t>
          </w:r>
        </w:p>
        <w:p>
          <w:pPr>
            <w:pStyle w:val="TOC2"/>
            <w:tabs>
              <w:tab w:val="right" w:leader="dot" w:pos="9072"/>
            </w:tabs>
          </w:pPr>
          <w:r>
            <w:t xml:space="preserve">2.3 ROI Framework</w:t>
          </w:r>
          <w:r>
            <w:tab/>
          </w:r>
          <w:r>
            <w:t xml:space="preserve">12</w:t>
          </w:r>
        </w:p>
        <w:p>
          <w:pPr>
            <w:pStyle w:val="TOC1"/>
            <w:tabs>
              <w:tab w:val="right" w:leader="dot" w:pos="9072"/>
            </w:tabs>
          </w:pPr>
          <w:r>
            <w:t xml:space="preserve">3. Proposed Commercial Model</w:t>
          </w:r>
          <w:r>
            <w:tab/>
          </w:r>
          <w:r>
            <w:t xml:space="preserve">13</w:t>
          </w:r>
        </w:p>
        <w:p>
          <w:pPr>
            <w:pStyle w:val="TOC2"/>
            <w:tabs>
              <w:tab w:val="right" w:leader="dot" w:pos="9072"/>
            </w:tabs>
          </w:pPr>
          <w:r>
            <w:t xml:space="preserve">3.1 Commercial Structure</w:t>
          </w:r>
          <w:r>
            <w:tab/>
          </w:r>
          <w:r>
            <w:t xml:space="preserve">14</w:t>
          </w:r>
        </w:p>
        <w:p>
          <w:pPr>
            <w:pStyle w:val="TOC2"/>
            <w:tabs>
              <w:tab w:val="right" w:leader="dot" w:pos="9072"/>
            </w:tabs>
          </w:pPr>
          <w:r>
            <w:t xml:space="preserve">3.2 Deployment Model: Private Cloud</w:t>
          </w:r>
          <w:r>
            <w:tab/>
          </w:r>
          <w:r>
            <w:t xml:space="preserve">15</w:t>
          </w:r>
        </w:p>
        <w:p>
          <w:pPr>
            <w:pStyle w:val="TOC2"/>
            <w:tabs>
              <w:tab w:val="right" w:leader="dot" w:pos="9072"/>
            </w:tabs>
          </w:pPr>
          <w:r>
            <w:t xml:space="preserve">3.3 Support Tier Recommendation</w:t>
          </w:r>
          <w:r>
            <w:tab/>
          </w:r>
          <w:r>
            <w:t xml:space="preserve">16</w:t>
          </w:r>
        </w:p>
        <w:p>
          <w:pPr>
            <w:pStyle w:val="TOC1"/>
            <w:tabs>
              <w:tab w:val="right" w:leader="dot" w:pos="9072"/>
            </w:tabs>
          </w:pPr>
          <w:r>
            <w:t xml:space="preserve">4. Investment Summary</w:t>
          </w:r>
          <w:r>
            <w:tab/>
          </w:r>
          <w:r>
            <w:t xml:space="preserve">17</w:t>
          </w:r>
        </w:p>
        <w:p>
          <w:pPr>
            <w:pStyle w:val="TOC2"/>
            <w:tabs>
              <w:tab w:val="right" w:leader="dot" w:pos="9072"/>
            </w:tabs>
          </w:pPr>
          <w:r>
            <w:t xml:space="preserve">4.1 Investment Components</w:t>
          </w:r>
          <w:r>
            <w:tab/>
          </w:r>
          <w:r>
            <w:t xml:space="preserve">18</w:t>
          </w:r>
        </w:p>
        <w:p>
          <w:pPr>
            <w:pStyle w:val="TOC2"/>
            <w:tabs>
              <w:tab w:val="right" w:leader="dot" w:pos="9072"/>
            </w:tabs>
          </w:pPr>
          <w:r>
            <w:t xml:space="preserve">4.2 Payment Terms</w:t>
          </w:r>
          <w:r>
            <w:tab/>
          </w:r>
          <w:r>
            <w:t xml:space="preserve">19</w:t>
          </w:r>
        </w:p>
        <w:p>
          <w:pPr>
            <w:pStyle w:val="TOC2"/>
            <w:tabs>
              <w:tab w:val="right" w:leader="dot" w:pos="9072"/>
            </w:tabs>
          </w:pPr>
          <w:r>
            <w:t xml:space="preserve">4.3 Assumptions</w:t>
          </w:r>
          <w:r>
            <w:tab/>
          </w:r>
          <w:r>
            <w:t xml:space="preserve">20</w:t>
          </w:r>
        </w:p>
        <w:p>
          <w:pPr>
            <w:pStyle w:val="TOC1"/>
            <w:tabs>
              <w:tab w:val="right" w:leader="dot" w:pos="9072"/>
            </w:tabs>
          </w:pPr>
          <w:r>
            <w:t xml:space="preserve">5. Implementation Investment</w:t>
          </w:r>
          <w:r>
            <w:tab/>
          </w:r>
          <w:r>
            <w:t xml:space="preserve">21</w:t>
          </w:r>
        </w:p>
        <w:p>
          <w:pPr>
            <w:pStyle w:val="TOC2"/>
            <w:tabs>
              <w:tab w:val="right" w:leader="dot" w:pos="9072"/>
            </w:tabs>
          </w:pPr>
          <w:r>
            <w:t xml:space="preserve">5.1 Phase-Based Investment</w:t>
          </w:r>
          <w:r>
            <w:tab/>
          </w:r>
          <w:r>
            <w:t xml:space="preserve">22</w:t>
          </w:r>
        </w:p>
        <w:p>
          <w:pPr>
            <w:pStyle w:val="TOC2"/>
            <w:tabs>
              <w:tab w:val="right" w:leader="dot" w:pos="9072"/>
            </w:tabs>
          </w:pPr>
          <w:r>
            <w:t xml:space="preserve">5.2 Client Investment Contribution</w:t>
          </w:r>
          <w:r>
            <w:tab/>
          </w:r>
          <w:r>
            <w:t xml:space="preserve">23</w:t>
          </w:r>
        </w:p>
        <w:p>
          <w:pPr>
            <w:pStyle w:val="TOC2"/>
            <w:tabs>
              <w:tab w:val="right" w:leader="dot" w:pos="9072"/>
            </w:tabs>
          </w:pPr>
          <w:r>
            <w:t xml:space="preserve">5.3 Investment Protection</w:t>
          </w:r>
          <w:r>
            <w:tab/>
          </w:r>
          <w:r>
            <w:t xml:space="preserve">24</w:t>
          </w:r>
        </w:p>
        <w:p>
          <w:pPr>
            <w:pStyle w:val="TOC1"/>
            <w:tabs>
              <w:tab w:val="right" w:leader="dot" w:pos="9072"/>
            </w:tabs>
          </w:pPr>
          <w:r>
            <w:t xml:space="preserve">6. Ongoing Operational Costs</w:t>
          </w:r>
          <w:r>
            <w:tab/>
          </w:r>
          <w:r>
            <w:t xml:space="preserve">25</w:t>
          </w:r>
        </w:p>
        <w:p>
          <w:pPr>
            <w:pStyle w:val="TOC2"/>
            <w:tabs>
              <w:tab w:val="right" w:leader="dot" w:pos="9072"/>
            </w:tabs>
          </w:pPr>
          <w:r>
            <w:t xml:space="preserve">6.1 Environment Fees</w:t>
          </w:r>
          <w:r>
            <w:tab/>
          </w:r>
          <w:r>
            <w:t xml:space="preserve">26</w:t>
          </w:r>
        </w:p>
        <w:p>
          <w:pPr>
            <w:pStyle w:val="TOC2"/>
            <w:tabs>
              <w:tab w:val="right" w:leader="dot" w:pos="9072"/>
            </w:tabs>
          </w:pPr>
          <w:r>
            <w:t xml:space="preserve">6.2 Support Fees</w:t>
          </w:r>
          <w:r>
            <w:tab/>
          </w:r>
          <w:r>
            <w:t xml:space="preserve">27</w:t>
          </w:r>
        </w:p>
        <w:p>
          <w:pPr>
            <w:pStyle w:val="TOC2"/>
            <w:tabs>
              <w:tab w:val="right" w:leader="dot" w:pos="9072"/>
            </w:tabs>
          </w:pPr>
          <w:r>
            <w:t xml:space="preserve">6.3 Cost Optimization</w:t>
          </w:r>
          <w:r>
            <w:tab/>
          </w:r>
          <w:r>
            <w:t xml:space="preserve">28</w:t>
          </w:r>
        </w:p>
        <w:p>
          <w:pPr>
            <w:pStyle w:val="TOC1"/>
            <w:tabs>
              <w:tab w:val="right" w:leader="dot" w:pos="9072"/>
            </w:tabs>
          </w:pPr>
          <w:r>
            <w:t xml:space="preserve">7. Commercial Terms</w:t>
          </w:r>
          <w:r>
            <w:tab/>
          </w:r>
          <w:r>
            <w:t xml:space="preserve">29</w:t>
          </w:r>
        </w:p>
        <w:p>
          <w:pPr>
            <w:pStyle w:val="TOC2"/>
            <w:tabs>
              <w:tab w:val="right" w:leader="dot" w:pos="9072"/>
            </w:tabs>
          </w:pPr>
          <w:r>
            <w:t xml:space="preserve">7.1 Contract Structure</w:t>
          </w:r>
          <w:r>
            <w:tab/>
          </w:r>
          <w:r>
            <w:t xml:space="preserve">30</w:t>
          </w:r>
        </w:p>
        <w:p>
          <w:pPr>
            <w:pStyle w:val="TOC2"/>
            <w:tabs>
              <w:tab w:val="right" w:leader="dot" w:pos="9072"/>
            </w:tabs>
          </w:pPr>
          <w:r>
            <w:t xml:space="preserve">7.2 Contract Terms</w:t>
          </w:r>
          <w:r>
            <w:tab/>
          </w:r>
          <w:r>
            <w:t xml:space="preserve">31</w:t>
          </w:r>
        </w:p>
        <w:p>
          <w:pPr>
            <w:pStyle w:val="TOC2"/>
            <w:tabs>
              <w:tab w:val="right" w:leader="dot" w:pos="9072"/>
            </w:tabs>
          </w:pPr>
          <w:r>
            <w:t xml:space="preserve">7.3 Service Level Agreement</w:t>
          </w:r>
          <w:r>
            <w:tab/>
          </w:r>
          <w:r>
            <w:t xml:space="preserve">32</w:t>
          </w:r>
        </w:p>
        <w:p>
          <w:pPr>
            <w:pStyle w:val="TOC2"/>
            <w:tabs>
              <w:tab w:val="right" w:leader="dot" w:pos="9072"/>
            </w:tabs>
          </w:pPr>
          <w:r>
            <w:t xml:space="preserve">7.4 Liability and Indemnification</w:t>
          </w:r>
          <w:r>
            <w:tab/>
          </w:r>
          <w:r>
            <w:t xml:space="preserve">33</w:t>
          </w:r>
        </w:p>
        <w:p>
          <w:pPr>
            <w:pStyle w:val="TOC1"/>
            <w:tabs>
              <w:tab w:val="right" w:leader="dot" w:pos="9072"/>
            </w:tabs>
          </w:pPr>
          <w:r>
            <w:t xml:space="preserve">8. Value Analysis and ROI</w:t>
          </w:r>
          <w:r>
            <w:tab/>
          </w:r>
          <w:r>
            <w:t xml:space="preserve">34</w:t>
          </w:r>
        </w:p>
        <w:p>
          <w:pPr>
            <w:pStyle w:val="TOC2"/>
            <w:tabs>
              <w:tab w:val="right" w:leader="dot" w:pos="9072"/>
            </w:tabs>
          </w:pPr>
          <w:r>
            <w:t xml:space="preserve">8.1 Cost-Benefit Framework</w:t>
          </w:r>
          <w:r>
            <w:tab/>
          </w:r>
          <w:r>
            <w:t xml:space="preserve">35</w:t>
          </w:r>
        </w:p>
        <w:p>
          <w:pPr>
            <w:pStyle w:val="TOC3"/>
            <w:tabs>
              <w:tab w:val="right" w:leader="dot" w:pos="9072"/>
            </w:tabs>
          </w:pPr>
          <w:r>
            <w:t xml:space="preserve">Cost Avoidance</w:t>
          </w:r>
          <w:r>
            <w:tab/>
          </w:r>
          <w:r>
            <w:t xml:space="preserve">36</w:t>
          </w:r>
        </w:p>
        <w:p>
          <w:pPr>
            <w:pStyle w:val="TOC3"/>
            <w:tabs>
              <w:tab w:val="right" w:leader="dot" w:pos="9072"/>
            </w:tabs>
          </w:pPr>
          <w:r>
            <w:t xml:space="preserve">Operational Efficiency</w:t>
          </w:r>
          <w:r>
            <w:tab/>
          </w:r>
          <w:r>
            <w:t xml:space="preserve">37</w:t>
          </w:r>
        </w:p>
        <w:p>
          <w:pPr>
            <w:pStyle w:val="TOC3"/>
            <w:tabs>
              <w:tab w:val="right" w:leader="dot" w:pos="9072"/>
            </w:tabs>
          </w:pPr>
          <w:r>
            <w:t xml:space="preserve">Risk Reduction</w:t>
          </w:r>
          <w:r>
            <w:tab/>
          </w:r>
          <w:r>
            <w:t xml:space="preserve">38</w:t>
          </w:r>
        </w:p>
        <w:p>
          <w:pPr>
            <w:pStyle w:val="TOC3"/>
            <w:tabs>
              <w:tab w:val="right" w:leader="dot" w:pos="9072"/>
            </w:tabs>
          </w:pPr>
          <w:r>
            <w:t xml:space="preserve">Strategic Enablement</w:t>
          </w:r>
          <w:r>
            <w:tab/>
          </w:r>
          <w:r>
            <w:t xml:space="preserve">39</w:t>
          </w:r>
        </w:p>
        <w:p>
          <w:pPr>
            <w:pStyle w:val="TOC2"/>
            <w:tabs>
              <w:tab w:val="right" w:leader="dot" w:pos="9072"/>
            </w:tabs>
          </w:pPr>
          <w:r>
            <w:t xml:space="preserve">8.2 Total Cost of Ownership</w:t>
          </w:r>
          <w:r>
            <w:tab/>
          </w:r>
          <w:r>
            <w:t xml:space="preserve">40</w:t>
          </w:r>
        </w:p>
        <w:p>
          <w:pPr>
            <w:pStyle w:val="TOC1"/>
            <w:tabs>
              <w:tab w:val="right" w:leader="dot" w:pos="9072"/>
            </w:tabs>
          </w:pPr>
          <w:r>
            <w:t xml:space="preserve">9. Risk and Mitigation</w:t>
          </w:r>
          <w:r>
            <w:tab/>
          </w:r>
          <w:r>
            <w:t xml:space="preserve">41</w:t>
          </w:r>
        </w:p>
        <w:p>
          <w:pPr>
            <w:pStyle w:val="TOC2"/>
            <w:tabs>
              <w:tab w:val="right" w:leader="dot" w:pos="9072"/>
            </w:tabs>
          </w:pPr>
          <w:r>
            <w:t xml:space="preserve">9.1 Commercial Risks</w:t>
          </w:r>
          <w:r>
            <w:tab/>
          </w:r>
          <w:r>
            <w:t xml:space="preserve">42</w:t>
          </w:r>
        </w:p>
        <w:p>
          <w:pPr>
            <w:pStyle w:val="TOC2"/>
            <w:tabs>
              <w:tab w:val="right" w:leader="dot" w:pos="9072"/>
            </w:tabs>
          </w:pPr>
          <w:r>
            <w:t xml:space="preserve">9.2 SettleMint Commitments</w:t>
          </w:r>
          <w:r>
            <w:tab/>
          </w:r>
          <w:r>
            <w:t xml:space="preserve">43</w:t>
          </w:r>
        </w:p>
        <w:p>
          <w:pPr>
            <w:pStyle w:val="TOC1"/>
            <w:tabs>
              <w:tab w:val="right" w:leader="dot" w:pos="9072"/>
            </w:tabs>
          </w:pPr>
          <w:r>
            <w:t xml:space="preserve">10. Appendix: Commercial Schedule</w:t>
          </w:r>
          <w:r>
            <w:tab/>
          </w:r>
          <w:r>
            <w:t xml:space="preserve">44</w:t>
          </w:r>
        </w:p>
        <w:p>
          <w:pPr>
            <w:pStyle w:val="TOC2"/>
            <w:tabs>
              <w:tab w:val="right" w:leader="dot" w:pos="9072"/>
            </w:tabs>
          </w:pPr>
          <w:r>
            <w:t xml:space="preserve">10.1 Pricing Schedule</w:t>
          </w:r>
          <w:r>
            <w:tab/>
          </w:r>
          <w:r>
            <w:t xml:space="preserve">45</w:t>
          </w:r>
        </w:p>
        <w:p>
          <w:pPr>
            <w:pStyle w:val="TOC2"/>
            <w:tabs>
              <w:tab w:val="right" w:leader="dot" w:pos="9072"/>
            </w:tabs>
          </w:pPr>
          <w:r>
            <w:t xml:space="preserve">10.2 Assumptions and Exclusions</w:t>
          </w:r>
          <w:r>
            <w:tab/>
          </w:r>
          <w:r>
            <w:t xml:space="preserve">46</w:t>
          </w:r>
        </w:p>
        <w:p>
          <w:pPr>
            <w:pStyle w:val="TOC1"/>
            <w:tabs>
              <w:tab w:val="right" w:leader="dot" w:pos="9072"/>
            </w:tabs>
          </w:pPr>
          <w:r>
            <w:t xml:space="preserve">Document Control</w:t>
          </w:r>
          <w:r>
            <w:tab/>
          </w:r>
          <w:r>
            <w:t xml:space="preserve">47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Digital Asset Regulatory Platform and Supervised Market Access</w:t>
      </w:r>
    </w:p>
    <w:p>
      <w:r>
        <w:br w:type="page"/>
      </w:r>
    </w:p>
    <w:p>
      <w:r>
        <w:rPr>
          <w:rFonts w:ascii="Figtree" w:hAnsi="Figtree"/>
          <w:b/>
          <w:i w:val="0"/>
          <w:sz w:val="22"/>
        </w:rPr>
        <w:t>Document Title:</w:t>
      </w:r>
      <w:r>
        <w:rPr>
          <w:rFonts w:ascii="Figtree" w:hAnsi="Figtree"/>
          <w:b w:val="0"/>
          <w:i w:val="0"/>
          <w:sz w:val="22"/>
        </w:rPr>
        <w:t xml:space="preserve"> Commercial Proposal — Digital Asset Regulatory Platform and Supervised Market Access</w:t>
      </w:r>
    </w:p>
    <w:p>
      <w:r>
        <w:rPr>
          <w:rFonts w:ascii="Figtree" w:hAnsi="Figtree"/>
          <w:b/>
          <w:i w:val="0"/>
          <w:sz w:val="22"/>
        </w:rPr>
        <w:t>Client:</w:t>
      </w:r>
      <w:r>
        <w:rPr>
          <w:rFonts w:ascii="Figtree" w:hAnsi="Figtree"/>
          <w:b w:val="0"/>
          <w:i w:val="0"/>
          <w:sz w:val="22"/>
        </w:rPr>
        <w:t xml:space="preserve"> Central Bank of Bahrain</w:t>
      </w:r>
    </w:p>
    <w:p>
      <w:r>
        <w:rPr>
          <w:rFonts w:ascii="Figtree" w:hAnsi="Figtree"/>
          <w:b/>
          <w:i w:val="0"/>
          <w:sz w:val="22"/>
        </w:rPr>
        <w:t>Submission Date:</w:t>
      </w:r>
      <w:r>
        <w:rPr>
          <w:rFonts w:ascii="Figtree" w:hAnsi="Figtree"/>
          <w:b w:val="0"/>
          <w:i w:val="0"/>
          <w:sz w:val="22"/>
        </w:rPr>
        <w:t xml:space="preserve"> 2026-03-17</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commercial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Proposed Commercial Model</w:t>
      </w:r>
    </w:p>
    <w:p>
      <w:pPr>
        <w:pStyle w:val="ListParagraph"/>
        <w:numPr>
          <w:ilvl w:val="0"/>
          <w:numId w:val="6"/>
        </w:numPr>
      </w:pPr>
      <w:r>
        <w:rPr>
          <w:rFonts w:ascii="Figtree" w:hAnsi="Figtree"/>
          <w:b w:val="0"/>
          <w:i w:val="0"/>
          <w:sz w:val="22"/>
        </w:rPr>
        <w:t>Investment Summary</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Ongoing Operational Costs</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Value Analysis and ROI</w:t>
      </w:r>
    </w:p>
    <w:p>
      <w:pPr>
        <w:pStyle w:val="ListParagraph"/>
        <w:numPr>
          <w:ilvl w:val="0"/>
          <w:numId w:val="6"/>
        </w:numPr>
      </w:pPr>
      <w:r>
        <w:rPr>
          <w:rFonts w:ascii="Figtree" w:hAnsi="Figtree"/>
          <w:b w:val="0"/>
          <w:i w:val="0"/>
          <w:sz w:val="22"/>
        </w:rPr>
        <w:t>Risk and Mitigation</w:t>
      </w:r>
    </w:p>
    <w:p>
      <w:pPr>
        <w:pStyle w:val="ListParagraph"/>
        <w:numPr>
          <w:ilvl w:val="0"/>
          <w:numId w:val="6"/>
        </w:numPr>
      </w:pPr>
      <w:r>
        <w:rPr>
          <w:rFonts w:ascii="Figtree" w:hAnsi="Figtree"/>
          <w:b w:val="0"/>
          <w:i w:val="0"/>
          <w:sz w:val="22"/>
        </w:rPr>
        <w:t>Appendix: Commercial Schedule</w:t>
      </w:r>
    </w:p>
    <w:p>
      <w:r>
        <w:br w:type="page"/>
      </w:r>
    </w:p>
    <w:p>
      <w:pPr>
        <w:pStyle w:val="H1"/>
        <w:numPr>
          <w:ilvl w:val="0"/>
          <w:numId w:val="1"/>
        </w:numPr>
      </w:pPr>
      <w:r>
        <w:t>1. Executive Summary</w:t>
      </w:r>
    </w:p>
    <w:p>
      <w:pPr>
        <w:pStyle w:val="H2"/>
        <w:numPr>
          <w:ilvl w:val="1"/>
          <w:numId w:val="1"/>
        </w:numPr>
      </w:pPr>
      <w:r>
        <w:t>1.1 Commercial Recommendation</w:t>
      </w:r>
    </w:p>
    <w:p>
      <w:r>
        <w:rPr>
          <w:rFonts w:ascii="Figtree" w:hAnsi="Figtree"/>
          <w:b w:val="0"/>
          <w:i w:val="0"/>
          <w:sz w:val="22"/>
        </w:rPr>
        <w:t>SettleMint recommends a commercial model for the Central Bank of Bahrain's digital asset regulatory platform based on private cloud deployment with enterprise support. The model provides the Central Bank with full control over infrastructure and data residency while leveraging DALP's pre-built capabilities to minimize implementation risk and time-to-value.</w:t>
      </w:r>
    </w:p>
    <w:p>
      <w:r>
        <w:rPr>
          <w:rFonts w:ascii="Figtree" w:hAnsi="Figtree"/>
          <w:b w:val="0"/>
          <w:i w:val="0"/>
          <w:sz w:val="22"/>
        </w:rPr>
        <w:t>The recommended approach combines platform licensing, implementation services, and ongoing support into a structured commercial framework that provides transparency, predictability, and alignment with the Central Bank's procurement objectives.</w:t>
      </w:r>
    </w:p>
    <w:p>
      <w:pPr>
        <w:pStyle w:val="H2"/>
        <w:numPr>
          <w:ilvl w:val="1"/>
          <w:numId w:val="1"/>
        </w:numPr>
      </w:pPr>
      <w:r>
        <w:t>1.2 Summary of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16"/>
        <w:gridCol w:w="315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Investment (USD)</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 (3-year term)</w:t>
            </w:r>
          </w:p>
        </w:tc>
        <w:tc>
          <w:tcPr>
            <w:tcW w:type="dxa" w:w="4873"/>
            <w:vAlign w:val="center"/>
          </w:tcPr>
          <w:p>
            <w:pPr>
              <w:spacing w:line="276" w:lineRule="auto" w:before="0" w:after="0"/>
            </w:pPr>
            <w:r/>
            <w:r>
              <w:rPr>
                <w:rFonts w:ascii="Figtree" w:hAnsi="Figtree"/>
                <w:b w:val="0"/>
                <w:i w:val="0"/>
                <w:sz w:val="20"/>
              </w:rPr>
              <w:t>Upon agreement</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(19 weeks)</w:t>
            </w:r>
          </w:p>
        </w:tc>
        <w:tc>
          <w:tcPr>
            <w:tcW w:type="dxa" w:w="4873"/>
            <w:vAlign w:val="center"/>
          </w:tcPr>
          <w:p>
            <w:pPr>
              <w:spacing w:line="276" w:lineRule="auto" w:before="0" w:after="0"/>
            </w:pPr>
            <w:r/>
            <w:r>
              <w:rPr>
                <w:rFonts w:ascii="Figtree" w:hAnsi="Figtree"/>
                <w:b w:val="0"/>
                <w:i w:val="0"/>
                <w:sz w:val="20"/>
              </w:rPr>
              <w:t>Upon agreement</w:t>
            </w:r>
          </w:p>
        </w:tc>
      </w:tr>
      <w:tr>
        <w:trPr>
          <w:trHeight w:val="425" w:hRule="atLeast"/>
        </w:trPr>
        <w:tc>
          <w:tcPr>
            <w:tcW w:type="dxa" w:w="4873"/>
            <w:vAlign w:val="center"/>
          </w:tcPr>
          <w:p>
            <w:pPr>
              <w:spacing w:line="276" w:lineRule="auto" w:before="0" w:after="0"/>
            </w:pPr>
            <w:r/>
            <w:r>
              <w:rPr>
                <w:rFonts w:ascii="Figtree" w:hAnsi="Figtree"/>
                <w:b w:val="0"/>
                <w:i w:val="0"/>
                <w:sz w:val="20"/>
              </w:rPr>
              <w:t>Environment Fees (monthly)</w:t>
            </w:r>
          </w:p>
        </w:tc>
        <w:tc>
          <w:tcPr>
            <w:tcW w:type="dxa" w:w="4873"/>
            <w:vAlign w:val="center"/>
          </w:tcPr>
          <w:p>
            <w:pPr>
              <w:spacing w:line="276" w:lineRule="auto" w:before="0" w:after="0"/>
            </w:pPr>
            <w:r/>
            <w:r>
              <w:rPr>
                <w:rFonts w:ascii="Figtree" w:hAnsi="Figtree"/>
                <w:b w:val="0"/>
                <w:i w:val="0"/>
                <w:sz w:val="20"/>
              </w:rPr>
              <w:t>Upon agreement</w:t>
            </w:r>
          </w:p>
        </w:tc>
      </w:tr>
      <w:tr>
        <w:trPr>
          <w:trHeight w:val="425" w:hRule="atLeast"/>
        </w:trPr>
        <w:tc>
          <w:tcPr>
            <w:tcW w:type="dxa" w:w="4873"/>
            <w:vAlign w:val="center"/>
          </w:tcPr>
          <w:p>
            <w:pPr>
              <w:spacing w:line="276" w:lineRule="auto" w:before="0" w:after="0"/>
            </w:pPr>
            <w:r/>
            <w:r>
              <w:rPr>
                <w:rFonts w:ascii="Figtree" w:hAnsi="Figtree"/>
                <w:b w:val="0"/>
                <w:i w:val="0"/>
                <w:sz w:val="20"/>
              </w:rPr>
              <w:t>Support Tier (Enterprise 24/7)</w:t>
            </w:r>
          </w:p>
        </w:tc>
        <w:tc>
          <w:tcPr>
            <w:tcW w:type="dxa" w:w="4873"/>
            <w:vAlign w:val="center"/>
          </w:tcPr>
          <w:p>
            <w:pPr>
              <w:spacing w:line="276" w:lineRule="auto" w:before="0" w:after="0"/>
            </w:pPr>
            <w:r/>
            <w:r>
              <w:rPr>
                <w:rFonts w:ascii="Figtree" w:hAnsi="Figtree"/>
                <w:b w:val="0"/>
                <w:i w:val="0"/>
                <w:sz w:val="20"/>
              </w:rPr>
              <w:t>Upon agreement</w:t>
            </w:r>
          </w:p>
        </w:tc>
      </w:tr>
    </w:tbl>
    <w:p>
      <w:pPr>
        <w:spacing w:before="0" w:after="0" w:line="120" w:lineRule="exact"/>
      </w:pPr>
    </w:p>
    <w:p>
      <w:r>
        <w:rPr>
          <w:rFonts w:ascii="Figtree" w:hAnsi="Figtree"/>
          <w:b w:val="0"/>
          <w:i w:val="0"/>
          <w:sz w:val="22"/>
        </w:rPr>
        <w:t>The total cost of ownership over a three-year period will be provided following commercial validation sessions. All pricing is in USD unless otherwise stated.</w:t>
      </w:r>
    </w:p>
    <w:p>
      <w:pPr>
        <w:pStyle w:val="H2"/>
        <w:numPr>
          <w:ilvl w:val="1"/>
          <w:numId w:val="1"/>
        </w:numPr>
      </w:pPr>
      <w:r>
        <w:t>1.3 Why This Commercial Model</w:t>
      </w:r>
    </w:p>
    <w:p>
      <w:r>
        <w:rPr>
          <w:rFonts w:ascii="Figtree" w:hAnsi="Figtree"/>
          <w:b w:val="0"/>
          <w:i w:val="0"/>
          <w:sz w:val="22"/>
        </w:rPr>
        <w:t>The proposed model reflects SettleMint's experience with regulated institutions in the Middle East. The private cloud deployment ensures data residency within Bahrain while providing the operational flexibility required for regulatory supervision. The phased implementation approach aligns with the Central Bank's governance requirements, with clear acceptance gates and decision points throughout the programme.</w:t>
      </w:r>
    </w:p>
    <w:p>
      <w:r>
        <w:rPr>
          <w:rFonts w:ascii="Figtree" w:hAnsi="Figtree"/>
          <w:b w:val="0"/>
          <w:i w:val="0"/>
          <w:sz w:val="22"/>
        </w:rPr>
        <w:t>The commercial structure provides predictability: environment fees are monthly and fixed; support tiers have defined response times and escalation paths; implementation investment is phased across the delivery timeline. This enables accurate budgeting and reduces the commercial uncertainty that often accompanies complex technology programmes.</w:t>
      </w:r>
    </w:p>
    <w:p>
      <w:r>
        <w:br w:type="page"/>
      </w:r>
    </w:p>
    <w:p>
      <w:pPr>
        <w:pStyle w:val="H1"/>
        <w:numPr>
          <w:ilvl w:val="0"/>
          <w:numId w:val="1"/>
        </w:numPr>
      </w:pPr>
      <w:r>
        <w:t>2. Investment Rationale</w:t>
      </w:r>
    </w:p>
    <w:p>
      <w:pPr>
        <w:pStyle w:val="H2"/>
        <w:numPr>
          <w:ilvl w:val="1"/>
          <w:numId w:val="1"/>
        </w:numPr>
      </w:pPr>
      <w:r>
        <w:t>2.1 The Cost of Current Approach</w:t>
      </w:r>
    </w:p>
    <w:p>
      <w:r>
        <w:rPr>
          <w:rFonts w:ascii="Figtree" w:hAnsi="Figtree"/>
          <w:b w:val="0"/>
          <w:i w:val="0"/>
          <w:sz w:val="22"/>
        </w:rPr>
        <w:t>The Central Bank of Bahrain faces a decision about how to build digital asset regulatory infrastructure. The alternative approaches each carry distinct cost profiles and risk characteristics.</w:t>
      </w:r>
    </w:p>
    <w:p>
      <w:r>
        <w:rPr>
          <w:rFonts w:ascii="Figtree" w:hAnsi="Figtree"/>
          <w:b/>
          <w:i w:val="0"/>
          <w:sz w:val="22"/>
        </w:rPr>
        <w:t>Build Approach:</w:t>
      </w:r>
      <w:r>
        <w:rPr>
          <w:rFonts w:ascii="Figtree" w:hAnsi="Figtree"/>
          <w:b w:val="0"/>
          <w:i w:val="0"/>
          <w:sz w:val="22"/>
        </w:rPr>
        <w:t xml:space="preserve"> Developing a bespoke platform internally would require significant engineering investment, regulatory expertise, and ongoing operational capability. The cost of building compliant digital asset infrastructure from scratch typically ranges from USD 8-15 million for initial development, with annual operational costs of USD 2-4 million. More critically, build approaches carry execution risk: most financial institutions that attempt bespoke development experience significant delays, scope creep, and regulatory challenges that extend timelines by 12-24 months beyond initial estimates.</w:t>
      </w:r>
    </w:p>
    <w:p>
      <w:r>
        <w:rPr>
          <w:rFonts w:ascii="Figtree" w:hAnsi="Figtree"/>
          <w:b/>
          <w:i w:val="0"/>
          <w:sz w:val="22"/>
        </w:rPr>
        <w:t>Multi-Vendor Assembly:</w:t>
      </w:r>
      <w:r>
        <w:rPr>
          <w:rFonts w:ascii="Figtree" w:hAnsi="Figtree"/>
          <w:b w:val="0"/>
          <w:i w:val="0"/>
          <w:sz w:val="22"/>
        </w:rPr>
        <w:t xml:space="preserve"> Assembling a solution from multiple point vendors introduces integration complexity, vendor coordination overhead, and governance burden. Each vendor brings separate contractual relationships, support escalations, and technology roadmaps. The operational cost of managing a multi-vendor environment typically adds 30-50% to the base technology cost through integration work, reconciliation effort, and coordination overhead. The governance burden also slows decision-making, as changes requiring coordinated vendor response take weeks or months rather than days.</w:t>
      </w:r>
    </w:p>
    <w:p>
      <w:r>
        <w:rPr>
          <w:rFonts w:ascii="Figtree" w:hAnsi="Figtree"/>
          <w:b/>
          <w:i w:val="0"/>
          <w:sz w:val="22"/>
        </w:rPr>
        <w:t>Platform-Based Approach:</w:t>
      </w:r>
      <w:r>
        <w:rPr>
          <w:rFonts w:ascii="Figtree" w:hAnsi="Figtree"/>
          <w:b w:val="0"/>
          <w:i w:val="0"/>
          <w:sz w:val="22"/>
        </w:rPr>
        <w:t xml:space="preserve"> DALP provides a pre-built, production-tested platform that addresses the full digital asset lifecycle. The platform has been refined through 14 production deployments, including sovereign-scale programmes in the Gulf region. This approach reduces implementation risk, accelerates time-to-value, and provides a single point of accountability for platform operations.</w:t>
      </w:r>
    </w:p>
    <w:p>
      <w:pPr>
        <w:pStyle w:val="H2"/>
        <w:numPr>
          <w:ilvl w:val="1"/>
          <w:numId w:val="1"/>
        </w:numPr>
      </w:pPr>
      <w:r>
        <w:t>2.2 How DALP Changes the Economics</w:t>
      </w:r>
    </w:p>
    <w:p>
      <w:r>
        <w:rPr>
          <w:rFonts w:ascii="Figtree" w:hAnsi="Figtree"/>
          <w:b w:val="0"/>
          <w:i w:val="0"/>
          <w:sz w:val="22"/>
        </w:rPr>
        <w:t>DALP transforms the economics of digital asset regulatory infrastructure through three mechanisms:</w:t>
      </w:r>
    </w:p>
    <w:p>
      <w:r>
        <w:rPr>
          <w:rFonts w:ascii="Figtree" w:hAnsi="Figtree"/>
          <w:b/>
          <w:i w:val="0"/>
          <w:sz w:val="22"/>
        </w:rPr>
        <w:t>Configuration Over Development:</w:t>
      </w:r>
      <w:r>
        <w:rPr>
          <w:rFonts w:ascii="Figtree" w:hAnsi="Figtree"/>
          <w:b w:val="0"/>
          <w:i w:val="0"/>
          <w:sz w:val="22"/>
        </w:rPr>
        <w:t xml:space="preserve"> DALP provides pre-built asset templates, compliance modules, and operational workflows that would otherwise require custom development. A bond tokenization capability that might take 6-9 months to build bespoke is available through configuration in days. The compliance library includes templates for major regulatory frameworks, eliminating the need to build compliance logic from first principles. This compression of configuration time relative to development time directly reduces implementation investment.</w:t>
      </w:r>
    </w:p>
    <w:p>
      <w:r>
        <w:rPr>
          <w:rFonts w:ascii="Figtree" w:hAnsi="Figtree"/>
          <w:b/>
          <w:i w:val="0"/>
          <w:sz w:val="22"/>
        </w:rPr>
        <w:t>Shared Investment Recovery:</w:t>
      </w:r>
      <w:r>
        <w:rPr>
          <w:rFonts w:ascii="Figtree" w:hAnsi="Figtree"/>
          <w:b w:val="0"/>
          <w:i w:val="0"/>
          <w:sz w:val="22"/>
        </w:rPr>
        <w:t xml:space="preserve"> The DALP platform represents accumulated investment across multiple deployments and use cases. SettleMint's customers collectively benefit from the platform's maturity, as each deployment contributes to bug fixes, performance improvements, and capability enhancements that flow to all customers. This shared investment model means the Central Bank benefits from capabilities funded by previous deployments without bearing the full cost of their development.</w:t>
      </w:r>
    </w:p>
    <w:p>
      <w:r>
        <w:rPr>
          <w:rFonts w:ascii="Figtree" w:hAnsi="Figtree"/>
          <w:b/>
          <w:i w:val="0"/>
          <w:sz w:val="22"/>
        </w:rPr>
        <w:t>Operational Efficiency:</w:t>
      </w:r>
      <w:r>
        <w:rPr>
          <w:rFonts w:ascii="Figtree" w:hAnsi="Figtree"/>
          <w:b w:val="0"/>
          <w:i w:val="0"/>
          <w:sz w:val="22"/>
        </w:rPr>
        <w:t xml:space="preserve"> DALP's unified operational model eliminates the reconciliation overhead that characterises multi-vendor environments. The platform's on-chain compliance enforcement reduces manual review burden. The comprehensive audit trail reduces evidence-gathering costs for regulatory and internal audit review. These operational efficiencies compound over the platform's lifecycle, reducing the ongoing cost of operations relative to alternative approaches.</w:t>
      </w:r>
    </w:p>
    <w:p>
      <w:pPr>
        <w:pStyle w:val="H2"/>
        <w:numPr>
          <w:ilvl w:val="1"/>
          <w:numId w:val="1"/>
        </w:numPr>
      </w:pPr>
      <w:r>
        <w:t>2.3 ROI Framework</w:t>
      </w:r>
    </w:p>
    <w:p>
      <w:r>
        <w:rPr>
          <w:rFonts w:ascii="Figtree" w:hAnsi="Figtree"/>
          <w:b w:val="0"/>
          <w:i w:val="0"/>
          <w:sz w:val="22"/>
        </w:rPr>
        <w:t>The return on investment for DALP manifests across four value dimensions: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5"/>
        <w:gridCol w:w="4663"/>
        <w:gridCol w:w="30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Quantification Approach</w:t>
            </w:r>
          </w:p>
        </w:tc>
      </w:tr>
      <w:tr>
        <w:trPr>
          <w:trHeight w:val="425" w:hRule="atLeast"/>
        </w:trPr>
        <w:tc>
          <w:tcPr>
            <w:tcW w:type="dxa" w:w="3249"/>
            <w:vAlign w:val="center"/>
          </w:tcPr>
          <w:p>
            <w:pPr>
              <w:spacing w:line="276" w:lineRule="auto" w:before="0" w:after="0"/>
            </w:pPr>
            <w:r/>
            <w:r>
              <w:rPr>
                <w:rFonts w:ascii="Figtree" w:hAnsi="Figtree"/>
                <w:b w:val="0"/>
                <w:i w:val="0"/>
                <w:sz w:val="20"/>
              </w:rPr>
              <w:t>Cost Avoidance</w:t>
            </w:r>
          </w:p>
        </w:tc>
        <w:tc>
          <w:tcPr>
            <w:tcW w:type="dxa" w:w="3249"/>
            <w:vAlign w:val="center"/>
          </w:tcPr>
          <w:p>
            <w:pPr>
              <w:spacing w:line="276" w:lineRule="auto" w:before="0" w:after="0"/>
            </w:pPr>
            <w:r/>
            <w:r>
              <w:rPr>
                <w:rFonts w:ascii="Figtree" w:hAnsi="Figtree"/>
                <w:b w:val="0"/>
                <w:i w:val="0"/>
                <w:sz w:val="20"/>
              </w:rPr>
              <w:t>Avoided custom development, reduced integration effort</w:t>
            </w:r>
          </w:p>
        </w:tc>
        <w:tc>
          <w:tcPr>
            <w:tcW w:type="dxa" w:w="3249"/>
            <w:vAlign w:val="center"/>
          </w:tcPr>
          <w:p>
            <w:pPr>
              <w:spacing w:line="276" w:lineRule="auto" w:before="0" w:after="0"/>
            </w:pPr>
            <w:r/>
            <w:r>
              <w:rPr>
                <w:rFonts w:ascii="Figtree" w:hAnsi="Figtree"/>
                <w:b w:val="0"/>
                <w:i w:val="0"/>
                <w:sz w:val="20"/>
              </w:rPr>
              <w:t>Compare implementation cost to build estimate</w:t>
            </w:r>
          </w:p>
        </w:tc>
      </w:tr>
      <w:tr>
        <w:trPr>
          <w:trHeight w:val="425" w:hRule="atLeast"/>
        </w:trPr>
        <w:tc>
          <w:tcPr>
            <w:tcW w:type="dxa" w:w="3249"/>
            <w:vAlign w:val="center"/>
          </w:tcPr>
          <w:p>
            <w:pPr>
              <w:spacing w:line="276" w:lineRule="auto" w:before="0" w:after="0"/>
            </w:pPr>
            <w:r/>
            <w:r>
              <w:rPr>
                <w:rFonts w:ascii="Figtree" w:hAnsi="Figtree"/>
                <w:b w:val="0"/>
                <w:i w:val="0"/>
                <w:sz w:val="20"/>
              </w:rPr>
              <w:t>Operational Efficiency</w:t>
            </w:r>
          </w:p>
        </w:tc>
        <w:tc>
          <w:tcPr>
            <w:tcW w:type="dxa" w:w="3249"/>
            <w:vAlign w:val="center"/>
          </w:tcPr>
          <w:p>
            <w:pPr>
              <w:spacing w:line="276" w:lineRule="auto" w:before="0" w:after="0"/>
            </w:pPr>
            <w:r/>
            <w:r>
              <w:rPr>
                <w:rFonts w:ascii="Figtree" w:hAnsi="Figtree"/>
                <w:b w:val="0"/>
                <w:i w:val="0"/>
                <w:sz w:val="20"/>
              </w:rPr>
              <w:t>Reduced reconciliation, automated compliance, streamlined audit</w:t>
            </w:r>
          </w:p>
        </w:tc>
        <w:tc>
          <w:tcPr>
            <w:tcW w:type="dxa" w:w="3249"/>
            <w:vAlign w:val="center"/>
          </w:tcPr>
          <w:p>
            <w:pPr>
              <w:spacing w:line="276" w:lineRule="auto" w:before="0" w:after="0"/>
            </w:pPr>
            <w:r/>
            <w:r>
              <w:rPr>
                <w:rFonts w:ascii="Figtree" w:hAnsi="Figtree"/>
                <w:b w:val="0"/>
                <w:i w:val="0"/>
                <w:sz w:val="20"/>
              </w:rPr>
              <w:t>Measure operational staff hours saved</w:t>
            </w:r>
          </w:p>
        </w:tc>
      </w:tr>
      <w:tr>
        <w:trPr>
          <w:trHeight w:val="425" w:hRule="atLeast"/>
        </w:trPr>
        <w:tc>
          <w:tcPr>
            <w:tcW w:type="dxa" w:w="3249"/>
            <w:vAlign w:val="center"/>
          </w:tcPr>
          <w:p>
            <w:pPr>
              <w:spacing w:line="276" w:lineRule="auto" w:before="0" w:after="0"/>
            </w:pPr>
            <w:r/>
            <w:r>
              <w:rPr>
                <w:rFonts w:ascii="Figtree" w:hAnsi="Figtree"/>
                <w:b w:val="0"/>
                <w:i w:val="0"/>
                <w:sz w:val="20"/>
              </w:rPr>
              <w:t>Risk Reduction</w:t>
            </w:r>
          </w:p>
        </w:tc>
        <w:tc>
          <w:tcPr>
            <w:tcW w:type="dxa" w:w="3249"/>
            <w:vAlign w:val="center"/>
          </w:tcPr>
          <w:p>
            <w:pPr>
              <w:spacing w:line="276" w:lineRule="auto" w:before="0" w:after="0"/>
            </w:pPr>
            <w:r/>
            <w:r>
              <w:rPr>
                <w:rFonts w:ascii="Figtree" w:hAnsi="Figtree"/>
                <w:b w:val="0"/>
                <w:i w:val="0"/>
                <w:sz w:val="20"/>
              </w:rPr>
              <w:t>Production-tested platform, regulatory alignment, security certifications</w:t>
            </w:r>
          </w:p>
        </w:tc>
        <w:tc>
          <w:tcPr>
            <w:tcW w:type="dxa" w:w="3249"/>
            <w:vAlign w:val="center"/>
          </w:tcPr>
          <w:p>
            <w:pPr>
              <w:spacing w:line="276" w:lineRule="auto" w:before="0" w:after="0"/>
            </w:pPr>
            <w:r/>
            <w:r>
              <w:rPr>
                <w:rFonts w:ascii="Figtree" w:hAnsi="Figtree"/>
                <w:b w:val="0"/>
                <w:i w:val="0"/>
                <w:sz w:val="20"/>
              </w:rPr>
              <w:t>Assess avoided regulatory and operational risk</w:t>
            </w:r>
          </w:p>
        </w:tc>
      </w:tr>
      <w:tr>
        <w:trPr>
          <w:trHeight w:val="425" w:hRule="atLeast"/>
        </w:trPr>
        <w:tc>
          <w:tcPr>
            <w:tcW w:type="dxa" w:w="3249"/>
            <w:vAlign w:val="center"/>
          </w:tcPr>
          <w:p>
            <w:pPr>
              <w:spacing w:line="276" w:lineRule="auto" w:before="0" w:after="0"/>
            </w:pPr>
            <w:r/>
            <w:r>
              <w:rPr>
                <w:rFonts w:ascii="Figtree" w:hAnsi="Figtree"/>
                <w:b w:val="0"/>
                <w:i w:val="0"/>
                <w:sz w:val="20"/>
              </w:rPr>
              <w:t>Strategic Enablement</w:t>
            </w:r>
          </w:p>
        </w:tc>
        <w:tc>
          <w:tcPr>
            <w:tcW w:type="dxa" w:w="3249"/>
            <w:vAlign w:val="center"/>
          </w:tcPr>
          <w:p>
            <w:pPr>
              <w:spacing w:line="276" w:lineRule="auto" w:before="0" w:after="0"/>
            </w:pPr>
            <w:r/>
            <w:r>
              <w:rPr>
                <w:rFonts w:ascii="Figtree" w:hAnsi="Figtree"/>
                <w:b w:val="0"/>
                <w:i w:val="0"/>
                <w:sz w:val="20"/>
              </w:rPr>
              <w:t>Faster time-to-market for digital asset initiatives</w:t>
            </w:r>
          </w:p>
        </w:tc>
        <w:tc>
          <w:tcPr>
            <w:tcW w:type="dxa" w:w="3249"/>
            <w:vAlign w:val="center"/>
          </w:tcPr>
          <w:p>
            <w:pPr>
              <w:spacing w:line="276" w:lineRule="auto" w:before="0" w:after="0"/>
            </w:pPr>
            <w:r/>
            <w:r>
              <w:rPr>
                <w:rFonts w:ascii="Figtree" w:hAnsi="Figtree"/>
                <w:b w:val="0"/>
                <w:i w:val="0"/>
                <w:sz w:val="20"/>
              </w:rPr>
              <w:t>Evaluate opportunity cost of delayed capability</w:t>
            </w:r>
          </w:p>
        </w:tc>
      </w:tr>
    </w:tbl>
    <w:p>
      <w:pPr>
        <w:spacing w:before="0" w:after="0" w:line="120" w:lineRule="exact"/>
      </w:pPr>
    </w:p>
    <w:p>
      <w:r>
        <w:rPr>
          <w:rFonts w:ascii="Figtree" w:hAnsi="Figtree"/>
          <w:b w:val="0"/>
          <w:i w:val="0"/>
          <w:sz w:val="22"/>
        </w:rPr>
        <w:t>SettleMint will work with the Central Bank during Phase 1 to develop specific ROI metrics aligned with the programme's objectives.</w:t>
      </w:r>
    </w:p>
    <w:p>
      <w:r>
        <w:br w:type="page"/>
      </w:r>
    </w:p>
    <w:p>
      <w:pPr>
        <w:pStyle w:val="H1"/>
        <w:numPr>
          <w:ilvl w:val="0"/>
          <w:numId w:val="1"/>
        </w:numPr>
      </w:pPr>
      <w:r>
        <w:t>3. Proposed Commercial Model</w:t>
      </w:r>
    </w:p>
    <w:p>
      <w:pPr>
        <w:pStyle w:val="H2"/>
        <w:numPr>
          <w:ilvl w:val="1"/>
          <w:numId w:val="1"/>
        </w:numPr>
      </w:pPr>
      <w:r>
        <w:t>3.1 Commercial Structure</w:t>
      </w:r>
    </w:p>
    <w:p>
      <w:r>
        <w:rPr>
          <w:rFonts w:ascii="Figtree" w:hAnsi="Figtree"/>
          <w:b w:val="0"/>
          <w:i w:val="0"/>
          <w:sz w:val="22"/>
        </w:rPr>
        <w:t>SettleMint proposes a commercial model consisting of four components:</w:t>
      </w:r>
    </w:p>
    <w:p>
      <w:r>
        <w:rPr>
          <w:rFonts w:ascii="Figtree" w:hAnsi="Figtree"/>
          <w:b/>
          <w:i w:val="0"/>
          <w:sz w:val="22"/>
        </w:rPr>
        <w:t>Platform License:</w:t>
      </w:r>
      <w:r>
        <w:rPr>
          <w:rFonts w:ascii="Figtree" w:hAnsi="Figtree"/>
          <w:b w:val="0"/>
          <w:i w:val="0"/>
          <w:sz w:val="22"/>
        </w:rPr>
        <w:t xml:space="preserve"> DALP platform access under a term license. The license provides access to the DALP software, including the application layer, API services, middleware components, and smart contracts. License terms are annual with three-year commitment for pricing purposes.</w:t>
      </w:r>
    </w:p>
    <w:p>
      <w:r>
        <w:rPr>
          <w:rFonts w:ascii="Figtree" w:hAnsi="Figtree"/>
          <w:b/>
          <w:i w:val="0"/>
          <w:sz w:val="22"/>
        </w:rPr>
        <w:t>Implementation Services:</w:t>
      </w:r>
      <w:r>
        <w:rPr>
          <w:rFonts w:ascii="Figtree" w:hAnsi="Figtree"/>
          <w:b w:val="0"/>
          <w:i w:val="0"/>
          <w:sz w:val="22"/>
        </w:rPr>
        <w:t xml:space="preserve"> Professional services for programme delivery following SettleMint's 19-week methodology. Implementation includes discovery, configuration, integration, testing, and go-live support. Services are priced on a fixed-fee basis with defined deliverables and acceptance criteria.</w:t>
      </w:r>
    </w:p>
    <w:p>
      <w:r>
        <w:rPr>
          <w:rFonts w:ascii="Figtree" w:hAnsi="Figtree"/>
          <w:b/>
          <w:i w:val="0"/>
          <w:sz w:val="22"/>
        </w:rPr>
        <w:t>Environment Fees:</w:t>
      </w:r>
      <w:r>
        <w:rPr>
          <w:rFonts w:ascii="Figtree" w:hAnsi="Figtree"/>
          <w:b w:val="0"/>
          <w:i w:val="0"/>
          <w:sz w:val="22"/>
        </w:rPr>
        <w:t xml:space="preserve"> Monthly fees for the platform infrastructure. Environment fees cover the Kubernetes clusters, database, object storage, blockchain network, and observability stack required to operate DALP. Fees are per-environment (development, staging, production) and fixed monthly.</w:t>
      </w:r>
    </w:p>
    <w:p>
      <w:r>
        <w:rPr>
          <w:rFonts w:ascii="Figtree" w:hAnsi="Figtree"/>
          <w:b/>
          <w:i w:val="0"/>
          <w:sz w:val="22"/>
        </w:rPr>
        <w:t>Support Services:</w:t>
      </w:r>
      <w:r>
        <w:rPr>
          <w:rFonts w:ascii="Figtree" w:hAnsi="Figtree"/>
          <w:b w:val="0"/>
          <w:i w:val="0"/>
          <w:sz w:val="22"/>
        </w:rPr>
        <w:t xml:space="preserve"> Ongoing support services following the go-live transition. Support tiers define response times, escalation paths, and service scope. The Enterprise tier (24/7) is recommended for regulatory infrastructure.</w:t>
      </w:r>
    </w:p>
    <w:p>
      <w:pPr>
        <w:pStyle w:val="H2"/>
        <w:numPr>
          <w:ilvl w:val="1"/>
          <w:numId w:val="1"/>
        </w:numPr>
      </w:pPr>
      <w:r>
        <w:t>3.2 Deployment Model: Private Cloud</w:t>
      </w:r>
    </w:p>
    <w:p>
      <w:r>
        <w:rPr>
          <w:rFonts w:ascii="Figtree" w:hAnsi="Figtree"/>
          <w:b w:val="0"/>
          <w:i w:val="0"/>
          <w:sz w:val="22"/>
        </w:rPr>
        <w:t>The proposed commercial model is based on private cloud deployment within the Central Bank's specified cloud environment (AWS, Azure, or GCP). This deployment model provides:</w:t>
      </w:r>
    </w:p>
    <w:p>
      <w:r>
        <w:rPr>
          <w:rFonts w:ascii="Figtree" w:hAnsi="Figtree"/>
          <w:b/>
          <w:i w:val="0"/>
          <w:sz w:val="22"/>
        </w:rPr>
        <w:t>Data Residency:</w:t>
      </w:r>
      <w:r>
        <w:rPr>
          <w:rFonts w:ascii="Figtree" w:hAnsi="Figtree"/>
          <w:b w:val="0"/>
          <w:i w:val="0"/>
          <w:sz w:val="22"/>
        </w:rPr>
        <w:t xml:space="preserve"> All data remains within Bahrain. No data is transferred to external regions or third parties without explicit Central Bank approval.</w:t>
      </w:r>
    </w:p>
    <w:p>
      <w:r>
        <w:rPr>
          <w:rFonts w:ascii="Figtree" w:hAnsi="Figtree"/>
          <w:b/>
          <w:i w:val="0"/>
          <w:sz w:val="22"/>
        </w:rPr>
        <w:t>Infrastructure Control:</w:t>
      </w:r>
      <w:r>
        <w:rPr>
          <w:rFonts w:ascii="Figtree" w:hAnsi="Figtree"/>
          <w:b w:val="0"/>
          <w:i w:val="0"/>
          <w:sz w:val="22"/>
        </w:rPr>
        <w:t xml:space="preserve"> The Central Bank maintains control over infrastructure sizing, network configuration, and security policies. SettleMint provides platform management but does not have independent access to production infrastructure.</w:t>
      </w:r>
    </w:p>
    <w:p>
      <w:r>
        <w:rPr>
          <w:rFonts w:ascii="Figtree" w:hAnsi="Figtree"/>
          <w:b/>
          <w:i w:val="0"/>
          <w:sz w:val="22"/>
        </w:rPr>
        <w:t>Cost Transparency:</w:t>
      </w:r>
      <w:r>
        <w:rPr>
          <w:rFonts w:ascii="Figtree" w:hAnsi="Figtree"/>
          <w:b w:val="0"/>
          <w:i w:val="0"/>
          <w:sz w:val="22"/>
        </w:rPr>
        <w:t xml:space="preserve"> Environment fees are directly tied to infrastructure costs (compute, storage, network). The Central Bank can optimize costs through right-sizing and resource management.</w:t>
      </w:r>
    </w:p>
    <w:p>
      <w:r>
        <w:rPr>
          <w:rFonts w:ascii="Figtree" w:hAnsi="Figtree"/>
          <w:b/>
          <w:i w:val="0"/>
          <w:sz w:val="22"/>
        </w:rPr>
        <w:t>Regulatory Alignment:</w:t>
      </w:r>
      <w:r>
        <w:rPr>
          <w:rFonts w:ascii="Figtree" w:hAnsi="Figtree"/>
          <w:b w:val="0"/>
          <w:i w:val="0"/>
          <w:sz w:val="22"/>
        </w:rPr>
        <w:t xml:space="preserve"> Private cloud deployment aligns with CBB's data localisation requirements and regulatory expectations for supervised market infrastructure.</w:t>
      </w:r>
    </w:p>
    <w:p>
      <w:pPr>
        <w:pStyle w:val="H2"/>
        <w:numPr>
          <w:ilvl w:val="1"/>
          <w:numId w:val="1"/>
        </w:numPr>
      </w:pPr>
      <w:r>
        <w:t>3.3 Support Tier Recommendation</w:t>
      </w:r>
    </w:p>
    <w:p>
      <w:r>
        <w:rPr>
          <w:rFonts w:ascii="Figtree" w:hAnsi="Figtree"/>
          <w:b w:val="0"/>
          <w:i w:val="0"/>
          <w:sz w:val="22"/>
        </w:rPr>
        <w:t>SettleMint recommends the Enterprise support tier (24/7) for the Central Bank's digital asset regulatory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2177"/>
        <w:gridCol w:w="3447"/>
        <w:gridCol w:w="16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 (8x5)</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 (12x7)</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(24/7)</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09:00-18:00 CET, Mon-Fri</w:t>
            </w:r>
          </w:p>
        </w:tc>
        <w:tc>
          <w:tcPr>
            <w:tcW w:type="dxa" w:w="2436"/>
            <w:vAlign w:val="center"/>
          </w:tcPr>
          <w:p>
            <w:pPr>
              <w:spacing w:line="276" w:lineRule="auto" w:before="0" w:after="0"/>
            </w:pPr>
            <w:r/>
            <w:r>
              <w:rPr>
                <w:rFonts w:ascii="Figtree" w:hAnsi="Figtree"/>
                <w:b w:val="0"/>
                <w:i w:val="0"/>
                <w:sz w:val="20"/>
              </w:rPr>
              <w:t>07:00-22:00 CET, Mon-Fri + P1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 Time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 Target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Up to 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 Slack, phone</w:t>
            </w:r>
          </w:p>
        </w:tc>
        <w:tc>
          <w:tcPr>
            <w:tcW w:type="dxa" w:w="2436"/>
            <w:vAlign w:val="center"/>
          </w:tcPr>
          <w:p>
            <w:pPr>
              <w:spacing w:line="276" w:lineRule="auto" w:before="0" w:after="0"/>
            </w:pPr>
            <w:r/>
            <w:r>
              <w:rPr>
                <w:rFonts w:ascii="Figtree" w:hAnsi="Figtree"/>
                <w:b w:val="0"/>
                <w:i w:val="0"/>
                <w:sz w:val="20"/>
              </w:rPr>
              <w:t>+ Video escalation</w:t>
            </w:r>
          </w:p>
        </w:tc>
      </w:tr>
      <w:tr>
        <w:trPr>
          <w:trHeight w:val="425" w:hRule="atLeast"/>
        </w:trPr>
        <w:tc>
          <w:tcPr>
            <w:tcW w:type="dxa" w:w="2436"/>
            <w:vAlign w:val="center"/>
          </w:tcPr>
          <w:p>
            <w:pPr>
              <w:spacing w:line="276" w:lineRule="auto" w:before="0" w:after="0"/>
            </w:pPr>
            <w:r/>
            <w:r>
              <w:rPr>
                <w:rFonts w:ascii="Figtree" w:hAnsi="Figtree"/>
                <w:b w:val="0"/>
                <w:i w:val="0"/>
                <w:sz w:val="20"/>
              </w:rPr>
              <w:t>Assigned Engineer</w:t>
            </w:r>
          </w:p>
        </w:tc>
        <w:tc>
          <w:tcPr>
            <w:tcW w:type="dxa" w:w="2436"/>
            <w:vAlign w:val="center"/>
          </w:tcPr>
          <w:p>
            <w:pPr>
              <w:spacing w:line="276" w:lineRule="auto" w:before="0" w:after="0"/>
            </w:pPr>
            <w:r/>
            <w:r>
              <w:rPr>
                <w:rFonts w:ascii="Figtree" w:hAnsi="Figtree"/>
                <w:b w:val="0"/>
                <w:i w:val="0"/>
                <w:sz w:val="20"/>
              </w:rPr>
              <w:t>Shared pool</w:t>
            </w:r>
          </w:p>
        </w:tc>
        <w:tc>
          <w:tcPr>
            <w:tcW w:type="dxa" w:w="2436"/>
            <w:vAlign w:val="center"/>
          </w:tcPr>
          <w:p>
            <w:pPr>
              <w:spacing w:line="276" w:lineRule="auto" w:before="0" w:after="0"/>
            </w:pPr>
            <w:r/>
            <w:r>
              <w:rPr>
                <w:rFonts w:ascii="Figtree" w:hAnsi="Figtree"/>
                <w:b w:val="0"/>
                <w:i w:val="0"/>
                <w:sz w:val="20"/>
              </w:rPr>
              <w:t>Designated</w:t>
            </w:r>
          </w:p>
        </w:tc>
        <w:tc>
          <w:tcPr>
            <w:tcW w:type="dxa" w:w="2436"/>
            <w:vAlign w:val="center"/>
          </w:tcPr>
          <w:p>
            <w:pPr>
              <w:spacing w:line="276" w:lineRule="auto" w:before="0" w:after="0"/>
            </w:pPr>
            <w:r/>
            <w:r>
              <w:rPr>
                <w:rFonts w:ascii="Figtree" w:hAnsi="Figtree"/>
                <w:b w:val="0"/>
                <w:i w:val="0"/>
                <w:sz w:val="20"/>
              </w:rPr>
              <w:t>Dedicated team</w:t>
            </w:r>
          </w:p>
        </w:tc>
      </w:tr>
      <w:tr>
        <w:trPr>
          <w:trHeight w:val="425" w:hRule="atLeast"/>
        </w:trPr>
        <w:tc>
          <w:tcPr>
            <w:tcW w:type="dxa" w:w="2436"/>
            <w:vAlign w:val="center"/>
          </w:tcPr>
          <w:p>
            <w:pPr>
              <w:spacing w:line="276" w:lineRule="auto" w:before="0" w:after="0"/>
            </w:pPr>
            <w:r/>
            <w:r>
              <w:rPr>
                <w:rFonts w:ascii="Figtree" w:hAnsi="Figtree"/>
                <w:b w:val="0"/>
                <w:i w:val="0"/>
                <w:sz w:val="20"/>
              </w:rPr>
              <w:t>Release Cadence</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w:t>
            </w:r>
          </w:p>
        </w:tc>
      </w:tr>
      <w:tr>
        <w:trPr>
          <w:trHeight w:val="425" w:hRule="atLeast"/>
        </w:trPr>
        <w:tc>
          <w:tcPr>
            <w:tcW w:type="dxa" w:w="2436"/>
            <w:vAlign w:val="center"/>
          </w:tcPr>
          <w:p>
            <w:pPr>
              <w:spacing w:line="276" w:lineRule="auto" w:before="0" w:after="0"/>
            </w:pPr>
            <w:r/>
            <w:r>
              <w:rPr>
                <w:rFonts w:ascii="Figtree" w:hAnsi="Figtree"/>
                <w:b w:val="0"/>
                <w:i w:val="0"/>
                <w:sz w:val="20"/>
              </w:rPr>
              <w:t>Business Reviews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Bi-weekly</w:t>
            </w:r>
          </w:p>
        </w:tc>
      </w:tr>
      <w:tr>
        <w:trPr>
          <w:trHeight w:val="425" w:hRule="atLeast"/>
        </w:trPr>
        <w:tc>
          <w:tcPr>
            <w:tcW w:type="dxa" w:w="2436"/>
            <w:vAlign w:val="center"/>
          </w:tcPr>
          <w:p>
            <w:pPr>
              <w:spacing w:line="276" w:lineRule="auto" w:before="0" w:after="0"/>
            </w:pPr>
            <w:r/>
            <w:r>
              <w:rPr>
                <w:rFonts w:ascii="Figtree" w:hAnsi="Figtree"/>
                <w:b w:val="0"/>
                <w:i w:val="0"/>
                <w:sz w:val="20"/>
              </w:rPr>
              <w:t>Architecture Reviews</w:t>
            </w:r>
          </w:p>
        </w:tc>
        <w:tc>
          <w:tcPr>
            <w:tcW w:type="dxa" w:w="2436"/>
            <w:vAlign w:val="center"/>
          </w:tcPr>
          <w:p>
            <w:pPr>
              <w:spacing w:line="276" w:lineRule="auto" w:before="0" w:after="0"/>
            </w:pPr>
            <w:r/>
            <w:r>
              <w:rPr>
                <w:rFonts w:ascii="Figtree" w:hAnsi="Figtree"/>
                <w:b w:val="0"/>
                <w:i w:val="0"/>
                <w:sz w:val="20"/>
              </w:rPr>
              <w:t>None</w:t>
            </w:r>
          </w:p>
        </w:tc>
        <w:tc>
          <w:tcPr>
            <w:tcW w:type="dxa" w:w="2436"/>
            <w:vAlign w:val="center"/>
          </w:tcPr>
          <w:p>
            <w:pPr>
              <w:spacing w:line="276" w:lineRule="auto" w:before="0" w:after="0"/>
            </w:pPr>
            <w:r/>
            <w:r>
              <w:rPr>
                <w:rFonts w:ascii="Figtree" w:hAnsi="Figtree"/>
                <w:b w:val="0"/>
                <w:i w:val="0"/>
                <w:sz w:val="20"/>
              </w:rPr>
              <w:t>None</w:t>
            </w:r>
          </w:p>
        </w:tc>
        <w:tc>
          <w:tcPr>
            <w:tcW w:type="dxa" w:w="2436"/>
            <w:vAlign w:val="center"/>
          </w:tcPr>
          <w:p>
            <w:pPr>
              <w:spacing w:line="276" w:lineRule="auto" w:before="0" w:after="0"/>
            </w:pPr>
            <w:r/>
            <w:r>
              <w:rPr>
                <w:rFonts w:ascii="Figtree" w:hAnsi="Figtree"/>
                <w:b w:val="0"/>
                <w:i w:val="0"/>
                <w:sz w:val="20"/>
              </w:rPr>
              <w:t>Quarterly</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bl>
    <w:p>
      <w:pPr>
        <w:spacing w:before="0" w:after="0" w:line="120" w:lineRule="exact"/>
      </w:pPr>
    </w:p>
    <w:p>
      <w:r>
        <w:rPr>
          <w:rFonts w:ascii="Figtree" w:hAnsi="Figtree"/>
          <w:b w:val="0"/>
          <w:i w:val="0"/>
          <w:sz w:val="22"/>
        </w:rPr>
        <w:t>The Enterprise tier ensures that regulatory infrastructure has immediate access to engineering expertise when issues arise, with the response times and resolution targets appropriate for systems that support market supervision.</w:t>
      </w:r>
    </w:p>
    <w:p>
      <w:r>
        <w:br w:type="page"/>
      </w:r>
    </w:p>
    <w:p>
      <w:pPr>
        <w:pStyle w:val="H1"/>
        <w:numPr>
          <w:ilvl w:val="0"/>
          <w:numId w:val="1"/>
        </w:numPr>
      </w:pPr>
      <w:r>
        <w:t>4. Investment Summary</w:t>
      </w:r>
    </w:p>
    <w:p>
      <w:pPr>
        <w:pStyle w:val="H2"/>
        <w:numPr>
          <w:ilvl w:val="1"/>
          <w:numId w:val="1"/>
        </w:numPr>
      </w:pPr>
      <w:r>
        <w:t>4.1 Investment Components</w:t>
      </w:r>
    </w:p>
    <w:p>
      <w:r>
        <w:rPr>
          <w:rFonts w:ascii="Figtree" w:hAnsi="Figtree"/>
          <w:b w:val="0"/>
          <w:i w:val="0"/>
          <w:sz w:val="22"/>
        </w:rPr>
        <w:t>The following table summarizes the investment components. Specific figures will be finalised following commercial validation: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1"/>
        <w:gridCol w:w="4044"/>
        <w:gridCol w:w="20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 Basis</w:t>
            </w:r>
          </w:p>
        </w:tc>
      </w:tr>
      <w:tr>
        <w:trPr>
          <w:trHeight w:val="425" w:hRule="atLeast"/>
        </w:trPr>
        <w:tc>
          <w:tcPr>
            <w:tcW w:type="dxa" w:w="3249"/>
            <w:vAlign w:val="center"/>
          </w:tcPr>
          <w:p>
            <w:pPr>
              <w:spacing w:line="276" w:lineRule="auto" w:before="0" w:after="0"/>
            </w:pPr>
            <w:r/>
            <w:r>
              <w:rPr>
                <w:rFonts w:ascii="Figtree" w:hAnsi="Figtree"/>
                <w:b/>
                <w:i w:val="0"/>
                <w:sz w:val="20"/>
              </w:rPr>
              <w:t>Platform License</w:t>
            </w:r>
          </w:p>
        </w:tc>
        <w:tc>
          <w:tcPr>
            <w:tcW w:type="dxa" w:w="3249"/>
            <w:vAlign w:val="center"/>
          </w:tcPr>
          <w:p>
            <w:pPr>
              <w:spacing w:line="276" w:lineRule="auto" w:before="0" w:after="0"/>
            </w:pPr>
            <w:r/>
            <w:r>
              <w:rPr>
                <w:rFonts w:ascii="Figtree" w:hAnsi="Figtree"/>
                <w:b w:val="0"/>
                <w:i w:val="0"/>
                <w:sz w:val="20"/>
              </w:rPr>
              <w:t>DALP software access for 3-year term</w:t>
            </w:r>
          </w:p>
        </w:tc>
        <w:tc>
          <w:tcPr>
            <w:tcW w:type="dxa" w:w="3249"/>
            <w:vAlign w:val="center"/>
          </w:tcPr>
          <w:p>
            <w:pPr>
              <w:spacing w:line="276" w:lineRule="auto" w:before="0" w:after="0"/>
            </w:pPr>
            <w:r/>
            <w:r>
              <w:rPr>
                <w:rFonts w:ascii="Figtree" w:hAnsi="Figtree"/>
                <w:b w:val="0"/>
                <w:i w:val="0"/>
                <w:sz w:val="20"/>
              </w:rPr>
              <w:t>Annual license fee</w:t>
            </w:r>
          </w:p>
        </w:tc>
      </w:tr>
      <w:tr>
        <w:trPr>
          <w:trHeight w:val="425" w:hRule="atLeast"/>
        </w:trPr>
        <w:tc>
          <w:tcPr>
            <w:tcW w:type="dxa" w:w="3249"/>
            <w:vAlign w:val="center"/>
          </w:tcPr>
          <w:p>
            <w:pPr>
              <w:spacing w:line="276" w:lineRule="auto" w:before="0" w:after="0"/>
            </w:pPr>
            <w:r/>
            <w:r>
              <w:rPr>
                <w:rFonts w:ascii="Figtree" w:hAnsi="Figtree"/>
                <w:b/>
                <w:i w:val="0"/>
                <w:sz w:val="20"/>
              </w:rPr>
              <w:t>Implementation Services</w:t>
            </w:r>
          </w:p>
        </w:tc>
        <w:tc>
          <w:tcPr>
            <w:tcW w:type="dxa" w:w="3249"/>
            <w:vAlign w:val="center"/>
          </w:tcPr>
          <w:p>
            <w:pPr>
              <w:spacing w:line="276" w:lineRule="auto" w:before="0" w:after="0"/>
            </w:pPr>
            <w:r/>
            <w:r>
              <w:rPr>
                <w:rFonts w:ascii="Figtree" w:hAnsi="Figtree"/>
                <w:b w:val="0"/>
                <w:i w:val="0"/>
                <w:sz w:val="20"/>
              </w:rPr>
              <w:t>19-week delivery programme</w:t>
            </w:r>
          </w:p>
        </w:tc>
        <w:tc>
          <w:tcPr>
            <w:tcW w:type="dxa" w:w="3249"/>
            <w:vAlign w:val="center"/>
          </w:tcPr>
          <w:p>
            <w:pPr>
              <w:spacing w:line="276" w:lineRule="auto" w:before="0" w:after="0"/>
            </w:pPr>
            <w:r/>
            <w:r>
              <w:rPr>
                <w:rFonts w:ascii="Figtree" w:hAnsi="Figtree"/>
                <w:b w:val="0"/>
                <w:i w:val="0"/>
                <w:sz w:val="20"/>
              </w:rPr>
              <w:t>Fixed fee per phase</w:t>
            </w:r>
          </w:p>
        </w:tc>
      </w:tr>
      <w:tr>
        <w:trPr>
          <w:trHeight w:val="425" w:hRule="atLeast"/>
        </w:trPr>
        <w:tc>
          <w:tcPr>
            <w:tcW w:type="dxa" w:w="3249"/>
            <w:vAlign w:val="center"/>
          </w:tcPr>
          <w:p>
            <w:pPr>
              <w:spacing w:line="276" w:lineRule="auto" w:before="0" w:after="0"/>
            </w:pPr>
            <w:r/>
            <w:r>
              <w:rPr>
                <w:rFonts w:ascii="Figtree" w:hAnsi="Figtree"/>
                <w:b/>
                <w:i w:val="0"/>
                <w:sz w:val="20"/>
              </w:rPr>
              <w:t>Development Environment</w:t>
            </w:r>
          </w:p>
        </w:tc>
        <w:tc>
          <w:tcPr>
            <w:tcW w:type="dxa" w:w="3249"/>
            <w:vAlign w:val="center"/>
          </w:tcPr>
          <w:p>
            <w:pPr>
              <w:spacing w:line="276" w:lineRule="auto" w:before="0" w:after="0"/>
            </w:pPr>
            <w:r/>
            <w:r>
              <w:rPr>
                <w:rFonts w:ascii="Figtree" w:hAnsi="Figtree"/>
                <w:b w:val="0"/>
                <w:i w:val="0"/>
                <w:sz w:val="20"/>
              </w:rPr>
              <w:t>Kubernetes cluster, database, storage</w:t>
            </w:r>
          </w:p>
        </w:tc>
        <w:tc>
          <w:tcPr>
            <w:tcW w:type="dxa" w:w="3249"/>
            <w:vAlign w:val="center"/>
          </w:tcPr>
          <w:p>
            <w:pPr>
              <w:spacing w:line="276" w:lineRule="auto" w:before="0" w:after="0"/>
            </w:pPr>
            <w:r/>
            <w:r>
              <w:rPr>
                <w:rFonts w:ascii="Figtree" w:hAnsi="Figtree"/>
                <w:b w:val="0"/>
                <w:i w:val="0"/>
                <w:sz w:val="20"/>
              </w:rPr>
              <w:t>Monthly fee</w:t>
            </w:r>
          </w:p>
        </w:tc>
      </w:tr>
      <w:tr>
        <w:trPr>
          <w:trHeight w:val="425" w:hRule="atLeast"/>
        </w:trPr>
        <w:tc>
          <w:tcPr>
            <w:tcW w:type="dxa" w:w="3249"/>
            <w:vAlign w:val="center"/>
          </w:tcPr>
          <w:p>
            <w:pPr>
              <w:spacing w:line="276" w:lineRule="auto" w:before="0" w:after="0"/>
            </w:pPr>
            <w:r/>
            <w:r>
              <w:rPr>
                <w:rFonts w:ascii="Figtree" w:hAnsi="Figtree"/>
                <w:b/>
                <w:i w:val="0"/>
                <w:sz w:val="20"/>
              </w:rPr>
              <w:t>Staging Environment</w:t>
            </w:r>
          </w:p>
        </w:tc>
        <w:tc>
          <w:tcPr>
            <w:tcW w:type="dxa" w:w="3249"/>
            <w:vAlign w:val="center"/>
          </w:tcPr>
          <w:p>
            <w:pPr>
              <w:spacing w:line="276" w:lineRule="auto" w:before="0" w:after="0"/>
            </w:pPr>
            <w:r/>
            <w:r>
              <w:rPr>
                <w:rFonts w:ascii="Figtree" w:hAnsi="Figtree"/>
                <w:b w:val="0"/>
                <w:i w:val="0"/>
                <w:sz w:val="20"/>
              </w:rPr>
              <w:t>Kubernetes cluster, database, storage</w:t>
            </w:r>
          </w:p>
        </w:tc>
        <w:tc>
          <w:tcPr>
            <w:tcW w:type="dxa" w:w="3249"/>
            <w:vAlign w:val="center"/>
          </w:tcPr>
          <w:p>
            <w:pPr>
              <w:spacing w:line="276" w:lineRule="auto" w:before="0" w:after="0"/>
            </w:pPr>
            <w:r/>
            <w:r>
              <w:rPr>
                <w:rFonts w:ascii="Figtree" w:hAnsi="Figtree"/>
                <w:b w:val="0"/>
                <w:i w:val="0"/>
                <w:sz w:val="20"/>
              </w:rPr>
              <w:t>Monthly fee</w:t>
            </w:r>
          </w:p>
        </w:tc>
      </w:tr>
      <w:tr>
        <w:trPr>
          <w:trHeight w:val="425" w:hRule="atLeast"/>
        </w:trPr>
        <w:tc>
          <w:tcPr>
            <w:tcW w:type="dxa" w:w="3249"/>
            <w:vAlign w:val="center"/>
          </w:tcPr>
          <w:p>
            <w:pPr>
              <w:spacing w:line="276" w:lineRule="auto" w:before="0" w:after="0"/>
            </w:pPr>
            <w:r/>
            <w:r>
              <w:rPr>
                <w:rFonts w:ascii="Figtree" w:hAnsi="Figtree"/>
                <w:b/>
                <w:i w:val="0"/>
                <w:sz w:val="20"/>
              </w:rPr>
              <w:t>Production Environment</w:t>
            </w:r>
          </w:p>
        </w:tc>
        <w:tc>
          <w:tcPr>
            <w:tcW w:type="dxa" w:w="3249"/>
            <w:vAlign w:val="center"/>
          </w:tcPr>
          <w:p>
            <w:pPr>
              <w:spacing w:line="276" w:lineRule="auto" w:before="0" w:after="0"/>
            </w:pPr>
            <w:r/>
            <w:r>
              <w:rPr>
                <w:rFonts w:ascii="Figtree" w:hAnsi="Figtree"/>
                <w:b w:val="0"/>
                <w:i w:val="0"/>
                <w:sz w:val="20"/>
              </w:rPr>
              <w:t>Kubernetes cluster, database, storage</w:t>
            </w:r>
          </w:p>
        </w:tc>
        <w:tc>
          <w:tcPr>
            <w:tcW w:type="dxa" w:w="3249"/>
            <w:vAlign w:val="center"/>
          </w:tcPr>
          <w:p>
            <w:pPr>
              <w:spacing w:line="276" w:lineRule="auto" w:before="0" w:after="0"/>
            </w:pPr>
            <w:r/>
            <w:r>
              <w:rPr>
                <w:rFonts w:ascii="Figtree" w:hAnsi="Figtree"/>
                <w:b w:val="0"/>
                <w:i w:val="0"/>
                <w:sz w:val="20"/>
              </w:rPr>
              <w:t>Monthly fee</w:t>
            </w:r>
          </w:p>
        </w:tc>
      </w:tr>
      <w:tr>
        <w:trPr>
          <w:trHeight w:val="425" w:hRule="atLeast"/>
        </w:trPr>
        <w:tc>
          <w:tcPr>
            <w:tcW w:type="dxa" w:w="3249"/>
            <w:vAlign w:val="center"/>
          </w:tcPr>
          <w:p>
            <w:pPr>
              <w:spacing w:line="276" w:lineRule="auto" w:before="0" w:after="0"/>
            </w:pPr>
            <w:r/>
            <w:r>
              <w:rPr>
                <w:rFonts w:ascii="Figtree" w:hAnsi="Figtree"/>
                <w:b/>
                <w:i w:val="0"/>
                <w:sz w:val="20"/>
              </w:rPr>
              <w:t>Blockchain Network</w:t>
            </w:r>
          </w:p>
        </w:tc>
        <w:tc>
          <w:tcPr>
            <w:tcW w:type="dxa" w:w="3249"/>
            <w:vAlign w:val="center"/>
          </w:tcPr>
          <w:p>
            <w:pPr>
              <w:spacing w:line="276" w:lineRule="auto" w:before="0" w:after="0"/>
            </w:pPr>
            <w:r/>
            <w:r>
              <w:rPr>
                <w:rFonts w:ascii="Figtree" w:hAnsi="Figtree"/>
                <w:b w:val="0"/>
                <w:i w:val="0"/>
                <w:sz w:val="20"/>
              </w:rPr>
              <w:t>Hyperledger Besu nodes</w:t>
            </w:r>
          </w:p>
        </w:tc>
        <w:tc>
          <w:tcPr>
            <w:tcW w:type="dxa" w:w="3249"/>
            <w:vAlign w:val="center"/>
          </w:tcPr>
          <w:p>
            <w:pPr>
              <w:spacing w:line="276" w:lineRule="auto" w:before="0" w:after="0"/>
            </w:pPr>
            <w:r/>
            <w:r>
              <w:rPr>
                <w:rFonts w:ascii="Figtree" w:hAnsi="Figtree"/>
                <w:b w:val="0"/>
                <w:i w:val="0"/>
                <w:sz w:val="20"/>
              </w:rPr>
              <w:t>Monthly fee</w:t>
            </w:r>
          </w:p>
        </w:tc>
      </w:tr>
      <w:tr>
        <w:trPr>
          <w:trHeight w:val="425" w:hRule="atLeast"/>
        </w:trPr>
        <w:tc>
          <w:tcPr>
            <w:tcW w:type="dxa" w:w="3249"/>
            <w:vAlign w:val="center"/>
          </w:tcPr>
          <w:p>
            <w:pPr>
              <w:spacing w:line="276" w:lineRule="auto" w:before="0" w:after="0"/>
            </w:pPr>
            <w:r/>
            <w:r>
              <w:rPr>
                <w:rFonts w:ascii="Figtree" w:hAnsi="Figtree"/>
                <w:b/>
                <w:i w:val="0"/>
                <w:sz w:val="20"/>
              </w:rPr>
              <w:t>Support Services</w:t>
            </w:r>
          </w:p>
        </w:tc>
        <w:tc>
          <w:tcPr>
            <w:tcW w:type="dxa" w:w="3249"/>
            <w:vAlign w:val="center"/>
          </w:tcPr>
          <w:p>
            <w:pPr>
              <w:spacing w:line="276" w:lineRule="auto" w:before="0" w:after="0"/>
            </w:pPr>
            <w:r/>
            <w:r>
              <w:rPr>
                <w:rFonts w:ascii="Figtree" w:hAnsi="Figtree"/>
                <w:b w:val="0"/>
                <w:i w:val="0"/>
                <w:sz w:val="20"/>
              </w:rPr>
              <w:t>Enterprise tier 24/7</w:t>
            </w:r>
          </w:p>
        </w:tc>
        <w:tc>
          <w:tcPr>
            <w:tcW w:type="dxa" w:w="3249"/>
            <w:vAlign w:val="center"/>
          </w:tcPr>
          <w:p>
            <w:pPr>
              <w:spacing w:line="276" w:lineRule="auto" w:before="0" w:after="0"/>
            </w:pPr>
            <w:r/>
            <w:r>
              <w:rPr>
                <w:rFonts w:ascii="Figtree" w:hAnsi="Figtree"/>
                <w:b w:val="0"/>
                <w:i w:val="0"/>
                <w:sz w:val="20"/>
              </w:rPr>
              <w:t>Monthly fee</w:t>
            </w:r>
          </w:p>
        </w:tc>
      </w:tr>
    </w:tbl>
    <w:p>
      <w:pPr>
        <w:spacing w:before="0" w:after="0" w:line="120" w:lineRule="exact"/>
      </w:pPr>
    </w:p>
    <w:p>
      <w:pPr>
        <w:pStyle w:val="H2"/>
        <w:numPr>
          <w:ilvl w:val="1"/>
          <w:numId w:val="1"/>
        </w:numPr>
      </w:pPr>
      <w:r>
        <w:t>4.2 Payment Terms</w:t>
      </w:r>
    </w:p>
    <w:p>
      <w:r>
        <w:rPr>
          <w:rFonts w:ascii="Figtree" w:hAnsi="Figtree"/>
          <w:b w:val="0"/>
          <w:i w:val="0"/>
          <w:sz w:val="22"/>
        </w:rPr>
        <w:t>SettleMint proposes the following payment structure:</w:t>
      </w:r>
    </w:p>
    <w:p>
      <w:r>
        <w:rPr>
          <w:rFonts w:ascii="Figtree" w:hAnsi="Figtree"/>
          <w:b/>
          <w:i w:val="0"/>
          <w:sz w:val="22"/>
        </w:rPr>
        <w:t>Implementation Services:</w:t>
      </w:r>
      <w:r>
        <w:rPr>
          <w:rFonts w:ascii="Figtree" w:hAnsi="Figtree"/>
          <w:b w:val="0"/>
          <w:i w:val="0"/>
          <w:sz w:val="22"/>
        </w:rPr>
        <w:t xml:space="preserve"> Payment on milestone completion aligned to phase gates. Payment triggers upon acceptance of phase deliverables:</w:t>
      </w:r>
    </w:p>
    <w:p>
      <w:pPr>
        <w:pStyle w:val="ListParagraph"/>
        <w:numPr>
          <w:ilvl w:val="0"/>
          <w:numId w:val="4"/>
        </w:numPr>
      </w:pPr>
      <w:r>
        <w:rPr>
          <w:rFonts w:ascii="Figtree" w:hAnsi="Figtree"/>
          <w:b w:val="0"/>
          <w:i w:val="0"/>
          <w:sz w:val="22"/>
        </w:rPr>
        <w:t>20% upon Phase 1 completion (Requirements sign-off)</w:t>
      </w:r>
    </w:p>
    <w:p>
      <w:pPr>
        <w:pStyle w:val="ListParagraph"/>
        <w:numPr>
          <w:ilvl w:val="0"/>
          <w:numId w:val="4"/>
        </w:numPr>
      </w:pPr>
      <w:r>
        <w:rPr>
          <w:rFonts w:ascii="Figtree" w:hAnsi="Figtree"/>
          <w:b w:val="0"/>
          <w:i w:val="0"/>
          <w:sz w:val="22"/>
        </w:rPr>
        <w:t>30% upon Phase 2 completion (Environment readiness)</w:t>
      </w:r>
    </w:p>
    <w:p>
      <w:pPr>
        <w:pStyle w:val="ListParagraph"/>
        <w:numPr>
          <w:ilvl w:val="0"/>
          <w:numId w:val="4"/>
        </w:numPr>
      </w:pPr>
      <w:r>
        <w:rPr>
          <w:rFonts w:ascii="Figtree" w:hAnsi="Figtree"/>
          <w:b w:val="0"/>
          <w:i w:val="0"/>
          <w:sz w:val="22"/>
        </w:rPr>
        <w:t>30% upon Phase 4 completion (UAT sign-off)</w:t>
      </w:r>
    </w:p>
    <w:p>
      <w:pPr>
        <w:pStyle w:val="ListParagraph"/>
        <w:numPr>
          <w:ilvl w:val="0"/>
          <w:numId w:val="4"/>
        </w:numPr>
      </w:pPr>
      <w:r>
        <w:rPr>
          <w:rFonts w:ascii="Figtree" w:hAnsi="Figtree"/>
          <w:b w:val="0"/>
          <w:i w:val="0"/>
          <w:sz w:val="22"/>
        </w:rPr>
        <w:t>20% upon Phase 5 completion (Go-live confirmation)</w:t>
      </w:r>
    </w:p>
    <w:p>
      <w:r>
        <w:rPr>
          <w:rFonts w:ascii="Figtree" w:hAnsi="Figtree"/>
          <w:b/>
          <w:i w:val="0"/>
          <w:sz w:val="22"/>
        </w:rPr>
        <w:t>Environment Fees:</w:t>
      </w:r>
      <w:r>
        <w:rPr>
          <w:rFonts w:ascii="Figtree" w:hAnsi="Figtree"/>
          <w:b w:val="0"/>
          <w:i w:val="0"/>
          <w:sz w:val="22"/>
        </w:rPr>
        <w:t xml:space="preserve"> Monthly in arrears, starting from environment provisioning.</w:t>
      </w:r>
    </w:p>
    <w:p>
      <w:r>
        <w:rPr>
          <w:rFonts w:ascii="Figtree" w:hAnsi="Figtree"/>
          <w:b/>
          <w:i w:val="0"/>
          <w:sz w:val="22"/>
        </w:rPr>
        <w:t>Support Services:</w:t>
      </w:r>
      <w:r>
        <w:rPr>
          <w:rFonts w:ascii="Figtree" w:hAnsi="Figtree"/>
          <w:b w:val="0"/>
          <w:i w:val="0"/>
          <w:sz w:val="22"/>
        </w:rPr>
        <w:t xml:space="preserve"> Monthly in arrears, starting from go-live.</w:t>
      </w:r>
    </w:p>
    <w:p>
      <w:r>
        <w:rPr>
          <w:rFonts w:ascii="Figtree" w:hAnsi="Figtree"/>
          <w:b/>
          <w:i w:val="0"/>
          <w:sz w:val="22"/>
        </w:rPr>
        <w:t>Platform License:</w:t>
      </w:r>
      <w:r>
        <w:rPr>
          <w:rFonts w:ascii="Figtree" w:hAnsi="Figtree"/>
          <w:b w:val="0"/>
          <w:i w:val="0"/>
          <w:sz w:val="22"/>
        </w:rPr>
        <w:t xml:space="preserve"> Annual in advance, with first payment due upon contract signature.</w:t>
      </w:r>
    </w:p>
    <w:p>
      <w:pPr>
        <w:pStyle w:val="H2"/>
        <w:numPr>
          <w:ilvl w:val="1"/>
          <w:numId w:val="1"/>
        </w:numPr>
      </w:pPr>
      <w:r>
        <w:t>4.3 Assumptions</w:t>
      </w:r>
    </w:p>
    <w:p>
      <w:r>
        <w:rPr>
          <w:rFonts w:ascii="Figtree" w:hAnsi="Figtree"/>
          <w:b w:val="0"/>
          <w:i w:val="0"/>
          <w:sz w:val="22"/>
        </w:rPr>
        <w:t>The investment summary is based on the following assumptions:</w:t>
      </w:r>
    </w:p>
    <w:p>
      <w:pPr>
        <w:pStyle w:val="ListParagraph"/>
        <w:numPr>
          <w:ilvl w:val="0"/>
          <w:numId w:val="4"/>
        </w:numPr>
      </w:pPr>
      <w:r>
        <w:rPr>
          <w:rFonts w:ascii="Figtree" w:hAnsi="Figtree"/>
          <w:b w:val="0"/>
          <w:i w:val="0"/>
          <w:sz w:val="22"/>
        </w:rPr>
        <w:t>Single deployment region (Bahrain)</w:t>
      </w:r>
    </w:p>
    <w:p>
      <w:pPr>
        <w:pStyle w:val="ListParagraph"/>
        <w:numPr>
          <w:ilvl w:val="0"/>
          <w:numId w:val="4"/>
        </w:numPr>
      </w:pPr>
      <w:r>
        <w:rPr>
          <w:rFonts w:ascii="Figtree" w:hAnsi="Figtree"/>
          <w:b w:val="0"/>
          <w:i w:val="0"/>
          <w:sz w:val="22"/>
        </w:rPr>
        <w:t>Up to 3 asset classes in initial scope</w:t>
      </w:r>
    </w:p>
    <w:p>
      <w:pPr>
        <w:pStyle w:val="ListParagraph"/>
        <w:numPr>
          <w:ilvl w:val="0"/>
          <w:numId w:val="4"/>
        </w:numPr>
      </w:pPr>
      <w:r>
        <w:rPr>
          <w:rFonts w:ascii="Figtree" w:hAnsi="Figtree"/>
          <w:b w:val="0"/>
          <w:i w:val="0"/>
          <w:sz w:val="22"/>
        </w:rPr>
        <w:t>Up to 5 external integrations</w:t>
      </w:r>
    </w:p>
    <w:p>
      <w:pPr>
        <w:pStyle w:val="ListParagraph"/>
        <w:numPr>
          <w:ilvl w:val="0"/>
          <w:numId w:val="4"/>
        </w:numPr>
      </w:pPr>
      <w:r>
        <w:rPr>
          <w:rFonts w:ascii="Figtree" w:hAnsi="Figtree"/>
          <w:b w:val="0"/>
          <w:i w:val="0"/>
          <w:sz w:val="22"/>
        </w:rPr>
        <w:t>Standard compliance configuration (pre-built templates)</w:t>
      </w:r>
    </w:p>
    <w:p>
      <w:pPr>
        <w:pStyle w:val="ListParagraph"/>
        <w:numPr>
          <w:ilvl w:val="0"/>
          <w:numId w:val="4"/>
        </w:numPr>
      </w:pPr>
      <w:r>
        <w:rPr>
          <w:rFonts w:ascii="Figtree" w:hAnsi="Figtree"/>
          <w:b w:val="0"/>
          <w:i w:val="0"/>
          <w:sz w:val="22"/>
        </w:rPr>
        <w:t>Enterprise support tier</w:t>
      </w:r>
    </w:p>
    <w:p>
      <w:pPr>
        <w:pStyle w:val="ListParagraph"/>
        <w:numPr>
          <w:ilvl w:val="0"/>
          <w:numId w:val="4"/>
        </w:numPr>
      </w:pPr>
      <w:r>
        <w:rPr>
          <w:rFonts w:ascii="Figtree" w:hAnsi="Figtree"/>
          <w:b w:val="0"/>
          <w:i w:val="0"/>
          <w:sz w:val="22"/>
        </w:rPr>
        <w:t>Client team availability per the RACI matrix</w:t>
      </w:r>
    </w:p>
    <w:p>
      <w:r>
        <w:rPr>
          <w:rFonts w:ascii="Figtree" w:hAnsi="Figtree"/>
          <w:b w:val="0"/>
          <w:i w:val="0"/>
          <w:sz w:val="22"/>
        </w:rPr>
        <w:t>Additional asset classes, jurisdictions, integrations, or multi-region deployment would result in adjusted pricing.</w:t>
      </w:r>
    </w:p>
    <w:p>
      <w:r>
        <w:br w:type="page"/>
      </w:r>
    </w:p>
    <w:p>
      <w:pPr>
        <w:pStyle w:val="H1"/>
        <w:numPr>
          <w:ilvl w:val="0"/>
          <w:numId w:val="1"/>
        </w:numPr>
      </w:pPr>
      <w:r>
        <w:t>5. Implementation Investment</w:t>
      </w:r>
    </w:p>
    <w:p>
      <w:pPr>
        <w:pStyle w:val="H2"/>
        <w:numPr>
          <w:ilvl w:val="1"/>
          <w:numId w:val="1"/>
        </w:numPr>
      </w:pPr>
      <w:r>
        <w:t>5.1 Phase-Based Investment</w:t>
      </w:r>
    </w:p>
    <w:p>
      <w:r>
        <w:rPr>
          <w:rFonts w:ascii="Figtree" w:hAnsi="Figtree"/>
          <w:b w:val="0"/>
          <w:i w:val="0"/>
          <w:sz w:val="22"/>
        </w:rPr>
        <w:t>Implementation investment is structured across the five delivery phases: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84"/>
        <w:gridCol w:w="723"/>
        <w:gridCol w:w="3787"/>
        <w:gridCol w:w="137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 Basis</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 and Requirements</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document, architecture, roadmap</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 and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Provisioned environments, network setup</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 and Compliance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Configured platform, compliance setup</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Integrated system, test reports, UAT</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Production deployment, knowledge transfer</w:t>
            </w:r>
          </w:p>
        </w:tc>
        <w:tc>
          <w:tcPr>
            <w:tcW w:type="dxa" w:w="2436"/>
            <w:vAlign w:val="center"/>
          </w:tcPr>
          <w:p>
            <w:pPr>
              <w:spacing w:line="276" w:lineRule="auto" w:before="0" w:after="0"/>
            </w:pPr>
            <w:r/>
            <w:r>
              <w:rPr>
                <w:rFonts w:ascii="Figtree" w:hAnsi="Figtree"/>
                <w:b w:val="0"/>
                <w:i w:val="0"/>
                <w:sz w:val="20"/>
              </w:rPr>
              <w:t>Fixed fee</w:t>
            </w:r>
          </w:p>
        </w:tc>
      </w:tr>
    </w:tbl>
    <w:p>
      <w:pPr>
        <w:spacing w:before="0" w:after="0" w:line="120" w:lineRule="exact"/>
      </w:pPr>
    </w:p>
    <w:p>
      <w:pPr>
        <w:pStyle w:val="H2"/>
        <w:numPr>
          <w:ilvl w:val="1"/>
          <w:numId w:val="1"/>
        </w:numPr>
      </w:pPr>
      <w:r>
        <w:t>5.2 Client Investment Contribution</w:t>
      </w:r>
    </w:p>
    <w:p>
      <w:r>
        <w:rPr>
          <w:rFonts w:ascii="Figtree" w:hAnsi="Figtree"/>
          <w:b w:val="0"/>
          <w:i w:val="0"/>
          <w:sz w:val="22"/>
        </w:rPr>
        <w:t>Successful implementation requires active participation from the Central Bank's team. The following client-side investments are assumed:</w:t>
      </w:r>
    </w:p>
    <w:p>
      <w:r>
        <w:rPr>
          <w:rFonts w:ascii="Figtree" w:hAnsi="Figtree"/>
          <w:b/>
          <w:i w:val="0"/>
          <w:sz w:val="22"/>
        </w:rPr>
        <w:t>Personnel:</w:t>
      </w:r>
      <w:r>
        <w:rPr>
          <w:rFonts w:ascii="Figtree" w:hAnsi="Figtree"/>
          <w:b w:val="0"/>
          <w:i w:val="0"/>
          <w:sz w:val="22"/>
        </w:rPr>
        <w:t xml:space="preserve"> Project Manager, Technical Lead, DevOps/Infrastructure, Compliance/Risk resources available per the RACI matrix.</w:t>
      </w:r>
    </w:p>
    <w:p>
      <w:r>
        <w:rPr>
          <w:rFonts w:ascii="Figtree" w:hAnsi="Figtree"/>
          <w:b/>
          <w:i w:val="0"/>
          <w:sz w:val="22"/>
        </w:rPr>
        <w:t>Infrastructure:</w:t>
      </w:r>
      <w:r>
        <w:rPr>
          <w:rFonts w:ascii="Figtree" w:hAnsi="Figtree"/>
          <w:b w:val="0"/>
          <w:i w:val="0"/>
          <w:sz w:val="22"/>
        </w:rPr>
        <w:t xml:space="preserve"> Cloud account access, Kubernetes clusters, database instances, networking, DNS, TLS certificates. SettleMint will provide specific requirements during Phase 1.</w:t>
      </w:r>
    </w:p>
    <w:p>
      <w:r>
        <w:rPr>
          <w:rFonts w:ascii="Figtree" w:hAnsi="Figtree"/>
          <w:b/>
          <w:i w:val="0"/>
          <w:sz w:val="22"/>
        </w:rPr>
        <w:t>Integration:</w:t>
      </w:r>
      <w:r>
        <w:rPr>
          <w:rFonts w:ascii="Figtree" w:hAnsi="Figtree"/>
          <w:b w:val="0"/>
          <w:i w:val="0"/>
          <w:sz w:val="22"/>
        </w:rPr>
        <w:t xml:space="preserve"> API access, credentials, and test environments for core banking, custody, AML, and reporting systems.</w:t>
      </w:r>
    </w:p>
    <w:p>
      <w:r>
        <w:rPr>
          <w:rFonts w:ascii="Figtree" w:hAnsi="Figtree"/>
          <w:b/>
          <w:i w:val="0"/>
          <w:sz w:val="22"/>
        </w:rPr>
        <w:t>Decision-Making:</w:t>
      </w:r>
      <w:r>
        <w:rPr>
          <w:rFonts w:ascii="Figtree" w:hAnsi="Figtree"/>
          <w:b w:val="0"/>
          <w:i w:val="0"/>
          <w:sz w:val="22"/>
        </w:rPr>
        <w:t xml:space="preserve"> Timely responses to clarification requests, sign-off on configuration decisions, participation in gate reviews.</w:t>
      </w:r>
    </w:p>
    <w:p>
      <w:r>
        <w:rPr>
          <w:rFonts w:ascii="Figtree" w:hAnsi="Figtree"/>
          <w:b w:val="0"/>
          <w:i w:val="0"/>
          <w:sz w:val="22"/>
        </w:rPr>
        <w:t>SettleMint will provide detailed responsibility definitions during the programme kick-off.</w:t>
      </w:r>
    </w:p>
    <w:p>
      <w:pPr>
        <w:pStyle w:val="H2"/>
        <w:numPr>
          <w:ilvl w:val="1"/>
          <w:numId w:val="1"/>
        </w:numPr>
      </w:pPr>
      <w:r>
        <w:t>5.3 Investment Protection</w:t>
      </w:r>
    </w:p>
    <w:p>
      <w:r>
        <w:rPr>
          <w:rFonts w:ascii="Figtree" w:hAnsi="Figtree"/>
          <w:b w:val="0"/>
          <w:i w:val="0"/>
          <w:sz w:val="22"/>
        </w:rPr>
        <w:t>SettleMint provides the following protections for the Central Bank's implementation investment:</w:t>
      </w:r>
    </w:p>
    <w:p>
      <w:r>
        <w:rPr>
          <w:rFonts w:ascii="Figtree" w:hAnsi="Figtree"/>
          <w:b/>
          <w:i w:val="0"/>
          <w:sz w:val="22"/>
        </w:rPr>
        <w:t>Deliverable Acceptance:</w:t>
      </w:r>
      <w:r>
        <w:rPr>
          <w:rFonts w:ascii="Figtree" w:hAnsi="Figtree"/>
          <w:b w:val="0"/>
          <w:i w:val="0"/>
          <w:sz w:val="22"/>
        </w:rPr>
        <w:t xml:space="preserve"> Each phase concludes with formal acceptance criteria and gate review. Payment is triggered by acceptance, not by time elapsed.</w:t>
      </w:r>
    </w:p>
    <w:p>
      <w:r>
        <w:rPr>
          <w:rFonts w:ascii="Figtree" w:hAnsi="Figtree"/>
          <w:b/>
          <w:i w:val="0"/>
          <w:sz w:val="22"/>
        </w:rPr>
        <w:t>Knowledge Transfer:</w:t>
      </w:r>
      <w:r>
        <w:rPr>
          <w:rFonts w:ascii="Figtree" w:hAnsi="Figtree"/>
          <w:b w:val="0"/>
          <w:i w:val="0"/>
          <w:sz w:val="22"/>
        </w:rPr>
        <w:t xml:space="preserve"> The implementation methodology includes explicit knowledge transfer during Phase 5 (Hypercare). By programme conclusion, the Central Bank's team will have operational capability to manage the platform independently.</w:t>
      </w:r>
    </w:p>
    <w:p>
      <w:r>
        <w:rPr>
          <w:rFonts w:ascii="Figtree" w:hAnsi="Figtree"/>
          <w:b/>
          <w:i w:val="0"/>
          <w:sz w:val="22"/>
        </w:rPr>
        <w:t>Documentation:</w:t>
      </w:r>
      <w:r>
        <w:rPr>
          <w:rFonts w:ascii="Figtree" w:hAnsi="Figtree"/>
          <w:b w:val="0"/>
          <w:i w:val="0"/>
          <w:sz w:val="22"/>
        </w:rPr>
        <w:t xml:space="preserve"> All implementation artefacts (configuration documentation, integration specifications, operational procedures, runbooks) are delivered as part of the implementation investment.</w:t>
      </w:r>
    </w:p>
    <w:p>
      <w:r>
        <w:br w:type="page"/>
      </w:r>
    </w:p>
    <w:p>
      <w:pPr>
        <w:pStyle w:val="H1"/>
        <w:numPr>
          <w:ilvl w:val="0"/>
          <w:numId w:val="1"/>
        </w:numPr>
      </w:pPr>
      <w:r>
        <w:t>6. Ongoing Operational Costs</w:t>
      </w:r>
    </w:p>
    <w:p>
      <w:pPr>
        <w:pStyle w:val="H2"/>
        <w:numPr>
          <w:ilvl w:val="1"/>
          <w:numId w:val="1"/>
        </w:numPr>
      </w:pPr>
      <w:r>
        <w:t>6.1 Environment Fees</w:t>
      </w:r>
    </w:p>
    <w:p>
      <w:r>
        <w:rPr>
          <w:rFonts w:ascii="Figtree" w:hAnsi="Figtree"/>
          <w:b w:val="0"/>
          <w:i w:val="0"/>
          <w:sz w:val="22"/>
        </w:rPr>
        <w:t>Environment fees cover the infrastructure required to operate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70"/>
        <w:gridCol w:w="5957"/>
        <w:gridCol w:w="2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Components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Monthly Range</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Kubernetes cluster, PostgreSQL, Redis, storage</w:t>
            </w:r>
          </w:p>
        </w:tc>
        <w:tc>
          <w:tcPr>
            <w:tcW w:type="dxa" w:w="3249"/>
            <w:vAlign w:val="center"/>
          </w:tcPr>
          <w:p>
            <w:pPr>
              <w:spacing w:line="276" w:lineRule="auto" w:before="0" w:after="0"/>
            </w:pPr>
            <w:r/>
            <w:r>
              <w:rPr>
                <w:rFonts w:ascii="Figtree" w:hAnsi="Figtree"/>
                <w:b w:val="0"/>
                <w:i w:val="0"/>
                <w:sz w:val="20"/>
              </w:rPr>
              <w:t>USD 8,000-12,000</w:t>
            </w:r>
          </w:p>
        </w:tc>
      </w:tr>
      <w:tr>
        <w:trPr>
          <w:trHeight w:val="425" w:hRule="atLeast"/>
        </w:trPr>
        <w:tc>
          <w:tcPr>
            <w:tcW w:type="dxa" w:w="3249"/>
            <w:vAlign w:val="center"/>
          </w:tcPr>
          <w:p>
            <w:pPr>
              <w:spacing w:line="276" w:lineRule="auto" w:before="0" w:after="0"/>
            </w:pPr>
            <w:r/>
            <w:r>
              <w:rPr>
                <w:rFonts w:ascii="Figtree" w:hAnsi="Figtree"/>
                <w:b w:val="0"/>
                <w:i w:val="0"/>
                <w:sz w:val="20"/>
              </w:rPr>
              <w:t>Staging</w:t>
            </w:r>
          </w:p>
        </w:tc>
        <w:tc>
          <w:tcPr>
            <w:tcW w:type="dxa" w:w="3249"/>
            <w:vAlign w:val="center"/>
          </w:tcPr>
          <w:p>
            <w:pPr>
              <w:spacing w:line="276" w:lineRule="auto" w:before="0" w:after="0"/>
            </w:pPr>
            <w:r/>
            <w:r>
              <w:rPr>
                <w:rFonts w:ascii="Figtree" w:hAnsi="Figtree"/>
                <w:b w:val="0"/>
                <w:i w:val="0"/>
                <w:sz w:val="20"/>
              </w:rPr>
              <w:t>Kubernetes cluster, PostgreSQL, Redis, storage</w:t>
            </w:r>
          </w:p>
        </w:tc>
        <w:tc>
          <w:tcPr>
            <w:tcW w:type="dxa" w:w="3249"/>
            <w:vAlign w:val="center"/>
          </w:tcPr>
          <w:p>
            <w:pPr>
              <w:spacing w:line="276" w:lineRule="auto" w:before="0" w:after="0"/>
            </w:pPr>
            <w:r/>
            <w:r>
              <w:rPr>
                <w:rFonts w:ascii="Figtree" w:hAnsi="Figtree"/>
                <w:b w:val="0"/>
                <w:i w:val="0"/>
                <w:sz w:val="20"/>
              </w:rPr>
              <w:t>USD 12,000-18,000</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Kubernetes cluster (HA), PostgreSQL (HA), Redis, storage, Besu network</w:t>
            </w:r>
          </w:p>
        </w:tc>
        <w:tc>
          <w:tcPr>
            <w:tcW w:type="dxa" w:w="3249"/>
            <w:vAlign w:val="center"/>
          </w:tcPr>
          <w:p>
            <w:pPr>
              <w:spacing w:line="276" w:lineRule="auto" w:before="0" w:after="0"/>
            </w:pPr>
            <w:r/>
            <w:r>
              <w:rPr>
                <w:rFonts w:ascii="Figtree" w:hAnsi="Figtree"/>
                <w:b w:val="0"/>
                <w:i w:val="0"/>
                <w:sz w:val="20"/>
              </w:rPr>
              <w:t>USD 25,000-40,000</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USD 45,000-70,000</w:t>
            </w:r>
          </w:p>
        </w:tc>
      </w:tr>
    </w:tbl>
    <w:p>
      <w:pPr>
        <w:spacing w:before="0" w:after="0" w:line="120" w:lineRule="exact"/>
      </w:pPr>
    </w:p>
    <w:p>
      <w:r>
        <w:rPr>
          <w:rFonts w:ascii="Figtree" w:hAnsi="Figtree"/>
          <w:b w:val="0"/>
          <w:i w:val="0"/>
          <w:sz w:val="22"/>
        </w:rPr>
        <w:t>Exact fees depend on the selected cloud provider, instance sizes, storage volumes, and network configuration. The figures above are indicative ranges for a production-grade deployment with high availability.</w:t>
      </w:r>
    </w:p>
    <w:p>
      <w:pPr>
        <w:pStyle w:val="H2"/>
        <w:numPr>
          <w:ilvl w:val="1"/>
          <w:numId w:val="1"/>
        </w:numPr>
      </w:pPr>
      <w:r>
        <w:t>6.2 Support Fees</w:t>
      </w:r>
    </w:p>
    <w:p>
      <w:r>
        <w:rPr>
          <w:rFonts w:ascii="Figtree" w:hAnsi="Figtree"/>
          <w:b w:val="0"/>
          <w:i w:val="0"/>
          <w:sz w:val="22"/>
        </w:rPr>
        <w:t>Support fees depend on the selected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 Range</w:t>
            </w:r>
          </w:p>
        </w:tc>
      </w:tr>
      <w:tr>
        <w:trPr>
          <w:trHeight w:val="425" w:hRule="atLeast"/>
        </w:trPr>
        <w:tc>
          <w:tcPr>
            <w:tcW w:type="dxa" w:w="4873"/>
            <w:vAlign w:val="center"/>
          </w:tcPr>
          <w:p>
            <w:pPr>
              <w:spacing w:line="276" w:lineRule="auto" w:before="0" w:after="0"/>
            </w:pPr>
            <w:r/>
            <w:r>
              <w:rPr>
                <w:rFonts w:ascii="Figtree" w:hAnsi="Figtree"/>
                <w:b w:val="0"/>
                <w:i w:val="0"/>
                <w:sz w:val="20"/>
              </w:rPr>
              <w:t>Standard (8x5)</w:t>
            </w:r>
          </w:p>
        </w:tc>
        <w:tc>
          <w:tcPr>
            <w:tcW w:type="dxa" w:w="4873"/>
            <w:vAlign w:val="center"/>
          </w:tcPr>
          <w:p>
            <w:pPr>
              <w:spacing w:line="276" w:lineRule="auto" w:before="0" w:after="0"/>
            </w:pPr>
            <w:r/>
            <w:r>
              <w:rPr>
                <w:rFonts w:ascii="Figtree" w:hAnsi="Figtree"/>
                <w:b w:val="0"/>
                <w:i w:val="0"/>
                <w:sz w:val="20"/>
              </w:rPr>
              <w:t>USD 8,000-12,000</w:t>
            </w:r>
          </w:p>
        </w:tc>
      </w:tr>
      <w:tr>
        <w:trPr>
          <w:trHeight w:val="425" w:hRule="atLeast"/>
        </w:trPr>
        <w:tc>
          <w:tcPr>
            <w:tcW w:type="dxa" w:w="4873"/>
            <w:vAlign w:val="center"/>
          </w:tcPr>
          <w:p>
            <w:pPr>
              <w:spacing w:line="276" w:lineRule="auto" w:before="0" w:after="0"/>
            </w:pPr>
            <w:r/>
            <w:r>
              <w:rPr>
                <w:rFonts w:ascii="Figtree" w:hAnsi="Figtree"/>
                <w:b w:val="0"/>
                <w:i w:val="0"/>
                <w:sz w:val="20"/>
              </w:rPr>
              <w:t>Premium (12x7)</w:t>
            </w:r>
          </w:p>
        </w:tc>
        <w:tc>
          <w:tcPr>
            <w:tcW w:type="dxa" w:w="4873"/>
            <w:vAlign w:val="center"/>
          </w:tcPr>
          <w:p>
            <w:pPr>
              <w:spacing w:line="276" w:lineRule="auto" w:before="0" w:after="0"/>
            </w:pPr>
            <w:r/>
            <w:r>
              <w:rPr>
                <w:rFonts w:ascii="Figtree" w:hAnsi="Figtree"/>
                <w:b w:val="0"/>
                <w:i w:val="0"/>
                <w:sz w:val="20"/>
              </w:rPr>
              <w:t>USD 15,000-22,000</w:t>
            </w:r>
          </w:p>
        </w:tc>
      </w:tr>
      <w:tr>
        <w:trPr>
          <w:trHeight w:val="425" w:hRule="atLeast"/>
        </w:trPr>
        <w:tc>
          <w:tcPr>
            <w:tcW w:type="dxa" w:w="4873"/>
            <w:vAlign w:val="center"/>
          </w:tcPr>
          <w:p>
            <w:pPr>
              <w:spacing w:line="276" w:lineRule="auto" w:before="0" w:after="0"/>
            </w:pPr>
            <w:r/>
            <w:r>
              <w:rPr>
                <w:rFonts w:ascii="Figtree" w:hAnsi="Figtree"/>
                <w:b w:val="0"/>
                <w:i w:val="0"/>
                <w:sz w:val="20"/>
              </w:rPr>
              <w:t>Enterprise (24/7)</w:t>
            </w:r>
          </w:p>
        </w:tc>
        <w:tc>
          <w:tcPr>
            <w:tcW w:type="dxa" w:w="4873"/>
            <w:vAlign w:val="center"/>
          </w:tcPr>
          <w:p>
            <w:pPr>
              <w:spacing w:line="276" w:lineRule="auto" w:before="0" w:after="0"/>
            </w:pPr>
            <w:r/>
            <w:r>
              <w:rPr>
                <w:rFonts w:ascii="Figtree" w:hAnsi="Figtree"/>
                <w:b w:val="0"/>
                <w:i w:val="0"/>
                <w:sz w:val="20"/>
              </w:rPr>
              <w:t>USD 25,000-35,000</w:t>
            </w:r>
          </w:p>
        </w:tc>
      </w:tr>
    </w:tbl>
    <w:p>
      <w:pPr>
        <w:spacing w:before="0" w:after="0" w:line="120" w:lineRule="exact"/>
      </w:pPr>
    </w:p>
    <w:p>
      <w:r>
        <w:rPr>
          <w:rFonts w:ascii="Figtree" w:hAnsi="Figtree"/>
          <w:b w:val="0"/>
          <w:i w:val="0"/>
          <w:sz w:val="22"/>
        </w:rPr>
        <w:t>The Enterprise tier is recommended for regulatory infrastructure requiring 24/7 availability and immediate escalation capability.</w:t>
      </w:r>
    </w:p>
    <w:p>
      <w:pPr>
        <w:pStyle w:val="H2"/>
        <w:numPr>
          <w:ilvl w:val="1"/>
          <w:numId w:val="1"/>
        </w:numPr>
      </w:pPr>
      <w:r>
        <w:t>6.3 Cost Optimization</w:t>
      </w:r>
    </w:p>
    <w:p>
      <w:r>
        <w:rPr>
          <w:rFonts w:ascii="Figtree" w:hAnsi="Figtree"/>
          <w:b w:val="0"/>
          <w:i w:val="0"/>
          <w:sz w:val="22"/>
        </w:rPr>
        <w:t>SettleMint provides the following cost optimisation opportunities:</w:t>
      </w:r>
    </w:p>
    <w:p>
      <w:r>
        <w:rPr>
          <w:rFonts w:ascii="Figtree" w:hAnsi="Figtree"/>
          <w:b/>
          <w:i w:val="0"/>
          <w:sz w:val="22"/>
        </w:rPr>
        <w:t>Environment Rightsizing:</w:t>
      </w:r>
      <w:r>
        <w:rPr>
          <w:rFonts w:ascii="Figtree" w:hAnsi="Figtree"/>
          <w:b w:val="0"/>
          <w:i w:val="0"/>
          <w:sz w:val="22"/>
        </w:rPr>
        <w:t xml:space="preserve"> Quarterly review of resource utilisation with recommendations for cost optimisation. Development environments can be scaled down when not in active use.</w:t>
      </w:r>
    </w:p>
    <w:p>
      <w:r>
        <w:rPr>
          <w:rFonts w:ascii="Figtree" w:hAnsi="Figtree"/>
          <w:b/>
          <w:i w:val="0"/>
          <w:sz w:val="22"/>
        </w:rPr>
        <w:t>Reserved Capacity:</w:t>
      </w:r>
      <w:r>
        <w:rPr>
          <w:rFonts w:ascii="Figtree" w:hAnsi="Figtree"/>
          <w:b w:val="0"/>
          <w:i w:val="0"/>
          <w:sz w:val="22"/>
        </w:rPr>
        <w:t xml:space="preserve"> Annual commitment for production environment can reduce monthly fees by 15-20%.</w:t>
      </w:r>
    </w:p>
    <w:p>
      <w:r>
        <w:rPr>
          <w:rFonts w:ascii="Figtree" w:hAnsi="Figtree"/>
          <w:b/>
          <w:i w:val="0"/>
          <w:sz w:val="22"/>
        </w:rPr>
        <w:t>Growth Model:</w:t>
      </w:r>
      <w:r>
        <w:rPr>
          <w:rFonts w:ascii="Figtree" w:hAnsi="Figtree"/>
          <w:b w:val="0"/>
          <w:i w:val="0"/>
          <w:sz w:val="22"/>
        </w:rPr>
        <w:t xml:space="preserve"> Additional asset classes, jurisdictions, or integrations can be added post-go-live at standard rates, avoiding the incremental cost of including them in initial scope.</w:t>
      </w:r>
    </w:p>
    <w:p>
      <w:r>
        <w:br w:type="page"/>
      </w:r>
    </w:p>
    <w:p>
      <w:pPr>
        <w:pStyle w:val="H1"/>
        <w:numPr>
          <w:ilvl w:val="0"/>
          <w:numId w:val="1"/>
        </w:numPr>
      </w:pPr>
      <w:r>
        <w:t>7. Commercial Terms</w:t>
      </w:r>
    </w:p>
    <w:p>
      <w:pPr>
        <w:pStyle w:val="H2"/>
        <w:numPr>
          <w:ilvl w:val="1"/>
          <w:numId w:val="1"/>
        </w:numPr>
      </w:pPr>
      <w:r>
        <w:t>7.1 Contract Structure</w:t>
      </w:r>
    </w:p>
    <w:p>
      <w:r>
        <w:rPr>
          <w:rFonts w:ascii="Figtree" w:hAnsi="Figtree"/>
          <w:b w:val="0"/>
          <w:i w:val="0"/>
          <w:sz w:val="22"/>
        </w:rPr>
        <w:t>SettleMint proposes a single master agreement covering platform license, implementation services, and support services. The contract structure provides:</w:t>
      </w:r>
    </w:p>
    <w:p>
      <w:r>
        <w:rPr>
          <w:rFonts w:ascii="Figtree" w:hAnsi="Figtree"/>
          <w:b/>
          <w:i w:val="0"/>
          <w:sz w:val="22"/>
        </w:rPr>
        <w:t>Single Accountability:</w:t>
      </w:r>
      <w:r>
        <w:rPr>
          <w:rFonts w:ascii="Figtree" w:hAnsi="Figtree"/>
          <w:b w:val="0"/>
          <w:i w:val="0"/>
          <w:sz w:val="22"/>
        </w:rPr>
        <w:t xml:space="preserve"> One agreement, one point of contact, one governance framework for the entire programme.</w:t>
      </w:r>
    </w:p>
    <w:p>
      <w:r>
        <w:rPr>
          <w:rFonts w:ascii="Figtree" w:hAnsi="Figtree"/>
          <w:b/>
          <w:i w:val="0"/>
          <w:sz w:val="22"/>
        </w:rPr>
        <w:t>Phased Commitment:</w:t>
      </w:r>
      <w:r>
        <w:rPr>
          <w:rFonts w:ascii="Figtree" w:hAnsi="Figtree"/>
          <w:b w:val="0"/>
          <w:i w:val="0"/>
          <w:sz w:val="22"/>
        </w:rPr>
        <w:t xml:space="preserve"> Implementation is committed phase-by-phase. The Central Bank can evaluate progress before committing to subsequent phases.</w:t>
      </w:r>
    </w:p>
    <w:p>
      <w:r>
        <w:rPr>
          <w:rFonts w:ascii="Figtree" w:hAnsi="Figtree"/>
          <w:b/>
          <w:i w:val="0"/>
          <w:sz w:val="22"/>
        </w:rPr>
        <w:t>Flexibility:</w:t>
      </w:r>
      <w:r>
        <w:rPr>
          <w:rFonts w:ascii="Figtree" w:hAnsi="Figtree"/>
          <w:b w:val="0"/>
          <w:i w:val="0"/>
          <w:sz w:val="22"/>
        </w:rPr>
        <w:t xml:space="preserve"> Change control provisions allow scope adjustment with clear impact assessment and approval process.</w:t>
      </w:r>
    </w:p>
    <w:p>
      <w:pPr>
        <w:pStyle w:val="H2"/>
        <w:numPr>
          <w:ilvl w:val="1"/>
          <w:numId w:val="1"/>
        </w:numPr>
      </w:pPr>
      <w:r>
        <w:t>7.2 Contract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0"/>
        <w:gridCol w:w="714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Proposal</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3 years for platform license</w:t>
            </w:r>
          </w:p>
        </w:tc>
      </w:tr>
      <w:tr>
        <w:trPr>
          <w:trHeight w:val="425" w:hRule="atLeast"/>
        </w:trPr>
        <w:tc>
          <w:tcPr>
            <w:tcW w:type="dxa" w:w="4873"/>
            <w:vAlign w:val="center"/>
          </w:tcPr>
          <w:p>
            <w:pPr>
              <w:spacing w:line="276" w:lineRule="auto" w:before="0" w:after="0"/>
            </w:pPr>
            <w:r/>
            <w:r>
              <w:rPr>
                <w:rFonts w:ascii="Figtree" w:hAnsi="Figtree"/>
                <w:b w:val="0"/>
                <w:i w:val="0"/>
                <w:sz w:val="20"/>
              </w:rPr>
              <w:t>Renewal</w:t>
            </w:r>
          </w:p>
        </w:tc>
        <w:tc>
          <w:tcPr>
            <w:tcW w:type="dxa" w:w="4873"/>
            <w:vAlign w:val="center"/>
          </w:tcPr>
          <w:p>
            <w:pPr>
              <w:spacing w:line="276" w:lineRule="auto" w:before="0" w:after="0"/>
            </w:pPr>
            <w:r/>
            <w:r>
              <w:rPr>
                <w:rFonts w:ascii="Figtree" w:hAnsi="Figtree"/>
                <w:b w:val="0"/>
                <w:i w:val="0"/>
                <w:sz w:val="20"/>
              </w:rPr>
              <w:t>Annual renewal thereafter at prevailing rates</w:t>
            </w:r>
          </w:p>
        </w:tc>
      </w:tr>
      <w:tr>
        <w:trPr>
          <w:trHeight w:val="425" w:hRule="atLeast"/>
        </w:trPr>
        <w:tc>
          <w:tcPr>
            <w:tcW w:type="dxa" w:w="4873"/>
            <w:vAlign w:val="center"/>
          </w:tcPr>
          <w:p>
            <w:pPr>
              <w:spacing w:line="276" w:lineRule="auto" w:before="0" w:after="0"/>
            </w:pPr>
            <w:r/>
            <w:r>
              <w:rPr>
                <w:rFonts w:ascii="Figtree" w:hAnsi="Figtree"/>
                <w:b w:val="0"/>
                <w:i w:val="0"/>
                <w:sz w:val="20"/>
              </w:rPr>
              <w:t>Termination</w:t>
            </w:r>
          </w:p>
        </w:tc>
        <w:tc>
          <w:tcPr>
            <w:tcW w:type="dxa" w:w="4873"/>
            <w:vAlign w:val="center"/>
          </w:tcPr>
          <w:p>
            <w:pPr>
              <w:spacing w:line="276" w:lineRule="auto" w:before="0" w:after="0"/>
            </w:pPr>
            <w:r/>
            <w:r>
              <w:rPr>
                <w:rFonts w:ascii="Figtree" w:hAnsi="Figtree"/>
                <w:b w:val="0"/>
                <w:i w:val="0"/>
                <w:sz w:val="20"/>
              </w:rPr>
              <w:t>90 days notice for convenience; cause-based termination rights</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90-day transition assistance included</w:t>
            </w:r>
          </w:p>
        </w:tc>
      </w:tr>
      <w:tr>
        <w:trPr>
          <w:trHeight w:val="425" w:hRule="atLeast"/>
        </w:trPr>
        <w:tc>
          <w:tcPr>
            <w:tcW w:type="dxa" w:w="4873"/>
            <w:vAlign w:val="center"/>
          </w:tcPr>
          <w:p>
            <w:pPr>
              <w:spacing w:line="276" w:lineRule="auto" w:before="0" w:after="0"/>
            </w:pPr>
            <w:r/>
            <w:r>
              <w:rPr>
                <w:rFonts w:ascii="Figtree" w:hAnsi="Figtree"/>
                <w:b w:val="0"/>
                <w:i w:val="0"/>
                <w:sz w:val="20"/>
              </w:rPr>
              <w:t>Data Export</w:t>
            </w:r>
          </w:p>
        </w:tc>
        <w:tc>
          <w:tcPr>
            <w:tcW w:type="dxa" w:w="4873"/>
            <w:vAlign w:val="center"/>
          </w:tcPr>
          <w:p>
            <w:pPr>
              <w:spacing w:line="276" w:lineRule="auto" w:before="0" w:after="0"/>
            </w:pPr>
            <w:r/>
            <w:r>
              <w:rPr>
                <w:rFonts w:ascii="Figtree" w:hAnsi="Figtree"/>
                <w:b w:val="0"/>
                <w:i w:val="0"/>
                <w:sz w:val="20"/>
              </w:rPr>
              <w:t>Full data export in standard formats upon termination</w:t>
            </w:r>
          </w:p>
        </w:tc>
      </w:tr>
    </w:tbl>
    <w:p>
      <w:pPr>
        <w:spacing w:before="0" w:after="0" w:line="120" w:lineRule="exact"/>
      </w:pPr>
    </w:p>
    <w:p>
      <w:pPr>
        <w:pStyle w:val="H2"/>
        <w:numPr>
          <w:ilvl w:val="1"/>
          <w:numId w:val="1"/>
        </w:numPr>
      </w:pPr>
      <w:r>
        <w:t>7.3 Service Level Agreement</w:t>
      </w:r>
    </w:p>
    <w:p>
      <w:r>
        <w:rPr>
          <w:rFonts w:ascii="Figtree" w:hAnsi="Figtree"/>
          <w:b w:val="0"/>
          <w:i w:val="0"/>
          <w:sz w:val="22"/>
        </w:rPr>
        <w:t>The Enterprise support tier includes the following service level commitments:</w:t>
      </w:r>
    </w:p>
    <w:p>
      <w:r>
        <w:rPr>
          <w:rFonts w:ascii="Figtree" w:hAnsi="Figtree"/>
          <w:b/>
          <w:i w:val="0"/>
          <w:sz w:val="22"/>
        </w:rPr>
        <w:t>Uptime:</w:t>
      </w:r>
      <w:r>
        <w:rPr>
          <w:rFonts w:ascii="Figtree" w:hAnsi="Figtree"/>
          <w:b w:val="0"/>
          <w:i w:val="0"/>
          <w:sz w:val="22"/>
        </w:rPr>
        <w:t xml:space="preserve"> 99.99% availability for production environment, excluding planned maintenance with 72-hour notice.</w:t>
      </w:r>
    </w:p>
    <w:p>
      <w:r>
        <w:rPr>
          <w:rFonts w:ascii="Figtree" w:hAnsi="Figtree"/>
          <w:b/>
          <w:i w:val="0"/>
          <w:sz w:val="22"/>
        </w:rPr>
        <w:t>Response Times:</w:t>
      </w:r>
    </w:p>
    <w:p>
      <w:pPr>
        <w:pStyle w:val="ListParagraph"/>
        <w:numPr>
          <w:ilvl w:val="0"/>
          <w:numId w:val="4"/>
        </w:numPr>
      </w:pPr>
      <w:r>
        <w:rPr>
          <w:rFonts w:ascii="Figtree" w:hAnsi="Figtree"/>
          <w:b w:val="0"/>
          <w:i w:val="0"/>
          <w:sz w:val="22"/>
        </w:rPr>
        <w:t>P1 (Critical): 15 minutes response, 2-hour resolution target</w:t>
      </w:r>
    </w:p>
    <w:p>
      <w:pPr>
        <w:pStyle w:val="ListParagraph"/>
        <w:numPr>
          <w:ilvl w:val="0"/>
          <w:numId w:val="4"/>
        </w:numPr>
      </w:pPr>
      <w:r>
        <w:rPr>
          <w:rFonts w:ascii="Figtree" w:hAnsi="Figtree"/>
          <w:b w:val="0"/>
          <w:i w:val="0"/>
          <w:sz w:val="22"/>
        </w:rPr>
        <w:t>P2 (High): 1 hour response, 4-hour resolution target</w:t>
      </w:r>
    </w:p>
    <w:p>
      <w:pPr>
        <w:pStyle w:val="ListParagraph"/>
        <w:numPr>
          <w:ilvl w:val="0"/>
          <w:numId w:val="4"/>
        </w:numPr>
      </w:pPr>
      <w:r>
        <w:rPr>
          <w:rFonts w:ascii="Figtree" w:hAnsi="Figtree"/>
          <w:b w:val="0"/>
          <w:i w:val="0"/>
          <w:sz w:val="22"/>
        </w:rPr>
        <w:t>P3 (Medium): 4 hours response, next business day resolution</w:t>
      </w:r>
    </w:p>
    <w:p>
      <w:pPr>
        <w:pStyle w:val="ListParagraph"/>
        <w:numPr>
          <w:ilvl w:val="0"/>
          <w:numId w:val="4"/>
        </w:numPr>
      </w:pPr>
      <w:r>
        <w:rPr>
          <w:rFonts w:ascii="Figtree" w:hAnsi="Figtree"/>
          <w:b w:val="0"/>
          <w:i w:val="0"/>
          <w:sz w:val="22"/>
        </w:rPr>
        <w:t>P4 (Low): Next business day response, 5-day resolution</w:t>
      </w:r>
    </w:p>
    <w:p>
      <w:r>
        <w:rPr>
          <w:rFonts w:ascii="Figtree" w:hAnsi="Figtree"/>
          <w:b/>
          <w:i w:val="0"/>
          <w:sz w:val="22"/>
        </w:rPr>
        <w:t>Resolution Credits:</w:t>
      </w:r>
      <w:r>
        <w:rPr>
          <w:rFonts w:ascii="Figtree" w:hAnsi="Figtree"/>
          <w:b w:val="0"/>
          <w:i w:val="0"/>
          <w:sz w:val="22"/>
        </w:rPr>
        <w:t xml:space="preserve"> Service credits for SLA failures above threshold, capped at monthly support fees.</w:t>
      </w:r>
    </w:p>
    <w:p>
      <w:pPr>
        <w:pStyle w:val="H2"/>
        <w:numPr>
          <w:ilvl w:val="1"/>
          <w:numId w:val="1"/>
        </w:numPr>
      </w:pPr>
      <w:r>
        <w:t>7.4 Liability and Indemnification</w:t>
      </w:r>
    </w:p>
    <w:p>
      <w:r>
        <w:rPr>
          <w:rFonts w:ascii="Figtree" w:hAnsi="Figtree"/>
          <w:b w:val="0"/>
          <w:i w:val="0"/>
          <w:sz w:val="22"/>
        </w:rPr>
        <w:t>SettleMint maintains appropriate insurance coverage including professional indemnity and cyber insurance. Standard contractual provisions include:</w:t>
      </w:r>
    </w:p>
    <w:p>
      <w:pPr>
        <w:pStyle w:val="ListParagraph"/>
        <w:numPr>
          <w:ilvl w:val="0"/>
          <w:numId w:val="4"/>
        </w:numPr>
      </w:pPr>
      <w:r>
        <w:rPr>
          <w:rFonts w:ascii="Figtree" w:hAnsi="Figtree"/>
          <w:b w:val="0"/>
          <w:i w:val="0"/>
          <w:sz w:val="22"/>
        </w:rPr>
        <w:t>Limitation of liability for direct damages up to contract value</w:t>
      </w:r>
    </w:p>
    <w:p>
      <w:pPr>
        <w:pStyle w:val="ListParagraph"/>
        <w:numPr>
          <w:ilvl w:val="0"/>
          <w:numId w:val="4"/>
        </w:numPr>
      </w:pPr>
      <w:r>
        <w:rPr>
          <w:rFonts w:ascii="Figtree" w:hAnsi="Figtree"/>
          <w:b w:val="0"/>
          <w:i w:val="0"/>
          <w:sz w:val="22"/>
        </w:rPr>
        <w:t>Exclusions for consequential damages</w:t>
      </w:r>
    </w:p>
    <w:p>
      <w:pPr>
        <w:pStyle w:val="ListParagraph"/>
        <w:numPr>
          <w:ilvl w:val="0"/>
          <w:numId w:val="4"/>
        </w:numPr>
      </w:pPr>
      <w:r>
        <w:rPr>
          <w:rFonts w:ascii="Figtree" w:hAnsi="Figtree"/>
          <w:b w:val="0"/>
          <w:i w:val="0"/>
          <w:sz w:val="22"/>
        </w:rPr>
        <w:t>Intellectual property indemnification</w:t>
      </w:r>
    </w:p>
    <w:p>
      <w:pPr>
        <w:pStyle w:val="ListParagraph"/>
        <w:numPr>
          <w:ilvl w:val="0"/>
          <w:numId w:val="4"/>
        </w:numPr>
      </w:pPr>
      <w:r>
        <w:rPr>
          <w:rFonts w:ascii="Figtree" w:hAnsi="Figtree"/>
          <w:b w:val="0"/>
          <w:i w:val="0"/>
          <w:sz w:val="22"/>
        </w:rPr>
        <w:t>Data protection provisions aligned with applicable regulations</w:t>
      </w:r>
    </w:p>
    <w:p>
      <w:r>
        <w:rPr>
          <w:rFonts w:ascii="Figtree" w:hAnsi="Figtree"/>
          <w:b w:val="0"/>
          <w:i w:val="0"/>
          <w:sz w:val="22"/>
        </w:rPr>
        <w:t>Detailed terms will be negotiated during contract finalisation.</w:t>
      </w:r>
    </w:p>
    <w:p>
      <w:r>
        <w:br w:type="page"/>
      </w:r>
    </w:p>
    <w:p>
      <w:pPr>
        <w:pStyle w:val="H1"/>
        <w:numPr>
          <w:ilvl w:val="0"/>
          <w:numId w:val="1"/>
        </w:numPr>
      </w:pPr>
      <w:r>
        <w:t>8. Value Analysis and ROI</w:t>
      </w:r>
    </w:p>
    <w:p>
      <w:pPr>
        <w:pStyle w:val="H2"/>
        <w:numPr>
          <w:ilvl w:val="1"/>
          <w:numId w:val="1"/>
        </w:numPr>
      </w:pPr>
      <w:r>
        <w:t>8.1 Cost-Benefit Framework</w:t>
      </w:r>
    </w:p>
    <w:p>
      <w:r>
        <w:rPr>
          <w:rFonts w:ascii="Figtree" w:hAnsi="Figtree"/>
          <w:b w:val="0"/>
          <w:i w:val="0"/>
          <w:sz w:val="22"/>
        </w:rPr>
        <w:t>The value analysis for the digital asset regulatory platform considers four benefit categories:</w:t>
      </w:r>
    </w:p>
    <w:p>
      <w:pPr>
        <w:pStyle w:val="H3"/>
        <w:numPr>
          <w:ilvl w:val="2"/>
          <w:numId w:val="1"/>
        </w:numPr>
      </w:pPr>
      <w:r>
        <w:t>Cost Avoidance</w:t>
      </w:r>
    </w:p>
    <w:p>
      <w:r>
        <w:rPr>
          <w:rFonts w:ascii="Figtree" w:hAnsi="Figtree"/>
          <w:b w:val="0"/>
          <w:i w:val="0"/>
          <w:sz w:val="22"/>
        </w:rPr>
        <w:t>DALP reduces implementation cost relative to alternative approaches: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5"/>
        <w:gridCol w:w="1476"/>
        <w:gridCol w:w="2426"/>
        <w:gridCol w:w="179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Alternative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Cost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Avoided Cost</w:t>
            </w:r>
          </w:p>
        </w:tc>
      </w:tr>
      <w:tr>
        <w:trPr>
          <w:trHeight w:val="425" w:hRule="atLeast"/>
        </w:trPr>
        <w:tc>
          <w:tcPr>
            <w:tcW w:type="dxa" w:w="2436"/>
            <w:vAlign w:val="center"/>
          </w:tcPr>
          <w:p>
            <w:pPr>
              <w:spacing w:line="276" w:lineRule="auto" w:before="0" w:after="0"/>
            </w:pPr>
            <w:r/>
            <w:r>
              <w:rPr>
                <w:rFonts w:ascii="Figtree" w:hAnsi="Figtree"/>
                <w:b w:val="0"/>
                <w:i w:val="0"/>
                <w:sz w:val="20"/>
              </w:rPr>
              <w:t>Bespoke development</w:t>
            </w:r>
          </w:p>
        </w:tc>
        <w:tc>
          <w:tcPr>
            <w:tcW w:type="dxa" w:w="2436"/>
            <w:vAlign w:val="center"/>
          </w:tcPr>
          <w:p>
            <w:pPr>
              <w:spacing w:line="276" w:lineRule="auto" w:before="0" w:after="0"/>
            </w:pPr>
            <w:r/>
            <w:r>
              <w:rPr>
                <w:rFonts w:ascii="Figtree" w:hAnsi="Figtree"/>
                <w:b w:val="0"/>
                <w:i w:val="0"/>
                <w:sz w:val="20"/>
              </w:rPr>
              <w:t>USD 10-15M</w:t>
            </w:r>
          </w:p>
        </w:tc>
        <w:tc>
          <w:tcPr>
            <w:tcW w:type="dxa" w:w="2436"/>
            <w:vAlign w:val="center"/>
          </w:tcPr>
          <w:p>
            <w:pPr>
              <w:spacing w:line="276" w:lineRule="auto" w:before="0" w:after="0"/>
            </w:pPr>
            <w:r/>
            <w:r>
              <w:rPr>
                <w:rFonts w:ascii="Figtree" w:hAnsi="Figtree"/>
                <w:b w:val="0"/>
                <w:i w:val="0"/>
                <w:sz w:val="20"/>
              </w:rPr>
              <w:t>Implementation services</w:t>
            </w:r>
          </w:p>
        </w:tc>
        <w:tc>
          <w:tcPr>
            <w:tcW w:type="dxa" w:w="2436"/>
            <w:vAlign w:val="center"/>
          </w:tcPr>
          <w:p>
            <w:pPr>
              <w:spacing w:line="276" w:lineRule="auto" w:before="0" w:after="0"/>
            </w:pPr>
            <w:r/>
            <w:r>
              <w:rPr>
                <w:rFonts w:ascii="Figtree" w:hAnsi="Figtree"/>
                <w:b w:val="0"/>
                <w:i w:val="0"/>
                <w:sz w:val="20"/>
              </w:rPr>
              <w:t>USD 8-12M</w:t>
            </w:r>
          </w:p>
        </w:tc>
      </w:tr>
      <w:tr>
        <w:trPr>
          <w:trHeight w:val="425" w:hRule="atLeast"/>
        </w:trPr>
        <w:tc>
          <w:tcPr>
            <w:tcW w:type="dxa" w:w="2436"/>
            <w:vAlign w:val="center"/>
          </w:tcPr>
          <w:p>
            <w:pPr>
              <w:spacing w:line="276" w:lineRule="auto" w:before="0" w:after="0"/>
            </w:pPr>
            <w:r/>
            <w:r>
              <w:rPr>
                <w:rFonts w:ascii="Figtree" w:hAnsi="Figtree"/>
                <w:b w:val="0"/>
                <w:i w:val="0"/>
                <w:sz w:val="20"/>
              </w:rPr>
              <w:t>Multi-vendor assembly</w:t>
            </w:r>
          </w:p>
        </w:tc>
        <w:tc>
          <w:tcPr>
            <w:tcW w:type="dxa" w:w="2436"/>
            <w:vAlign w:val="center"/>
          </w:tcPr>
          <w:p>
            <w:pPr>
              <w:spacing w:line="276" w:lineRule="auto" w:before="0" w:after="0"/>
            </w:pPr>
            <w:r/>
            <w:r>
              <w:rPr>
                <w:rFonts w:ascii="Figtree" w:hAnsi="Figtree"/>
                <w:b w:val="0"/>
                <w:i w:val="0"/>
                <w:sz w:val="20"/>
              </w:rPr>
              <w:t>USD 6-10M</w:t>
            </w:r>
          </w:p>
        </w:tc>
        <w:tc>
          <w:tcPr>
            <w:tcW w:type="dxa" w:w="2436"/>
            <w:vAlign w:val="center"/>
          </w:tcPr>
          <w:p>
            <w:pPr>
              <w:spacing w:line="276" w:lineRule="auto" w:before="0" w:after="0"/>
            </w:pPr>
            <w:r/>
            <w:r>
              <w:rPr>
                <w:rFonts w:ascii="Figtree" w:hAnsi="Figtree"/>
                <w:b w:val="0"/>
                <w:i w:val="0"/>
                <w:sz w:val="20"/>
              </w:rPr>
              <w:t>Single platform</w:t>
            </w:r>
          </w:p>
        </w:tc>
        <w:tc>
          <w:tcPr>
            <w:tcW w:type="dxa" w:w="2436"/>
            <w:vAlign w:val="center"/>
          </w:tcPr>
          <w:p>
            <w:pPr>
              <w:spacing w:line="276" w:lineRule="auto" w:before="0" w:after="0"/>
            </w:pPr>
            <w:r/>
            <w:r>
              <w:rPr>
                <w:rFonts w:ascii="Figtree" w:hAnsi="Figtree"/>
                <w:b w:val="0"/>
                <w:i w:val="0"/>
                <w:sz w:val="20"/>
              </w:rPr>
              <w:t>USD 4-7M</w:t>
            </w:r>
          </w:p>
        </w:tc>
      </w:tr>
      <w:tr>
        <w:trPr>
          <w:trHeight w:val="425" w:hRule="atLeast"/>
        </w:trPr>
        <w:tc>
          <w:tcPr>
            <w:tcW w:type="dxa" w:w="2436"/>
            <w:vAlign w:val="center"/>
          </w:tcPr>
          <w:p>
            <w:pPr>
              <w:spacing w:line="276" w:lineRule="auto" w:before="0" w:after="0"/>
            </w:pPr>
            <w:r/>
            <w:r>
              <w:rPr>
                <w:rFonts w:ascii="Figtree" w:hAnsi="Figtree"/>
                <w:b w:val="0"/>
                <w:i w:val="0"/>
                <w:sz w:val="20"/>
              </w:rPr>
              <w:t>Extended timeline (12-24 months)</w:t>
            </w:r>
          </w:p>
        </w:tc>
        <w:tc>
          <w:tcPr>
            <w:tcW w:type="dxa" w:w="2436"/>
            <w:vAlign w:val="center"/>
          </w:tcPr>
          <w:p>
            <w:pPr>
              <w:spacing w:line="276" w:lineRule="auto" w:before="0" w:after="0"/>
            </w:pPr>
            <w:r/>
            <w:r>
              <w:rPr>
                <w:rFonts w:ascii="Figtree" w:hAnsi="Figtree"/>
                <w:b w:val="0"/>
                <w:i w:val="0"/>
                <w:sz w:val="20"/>
              </w:rPr>
              <w:t>Significant</w:t>
            </w:r>
          </w:p>
        </w:tc>
        <w:tc>
          <w:tcPr>
            <w:tcW w:type="dxa" w:w="2436"/>
            <w:vAlign w:val="center"/>
          </w:tcPr>
          <w:p>
            <w:pPr>
              <w:spacing w:line="276" w:lineRule="auto" w:before="0" w:after="0"/>
            </w:pPr>
            <w:r/>
            <w:r>
              <w:rPr>
                <w:rFonts w:ascii="Figtree" w:hAnsi="Figtree"/>
                <w:b w:val="0"/>
                <w:i w:val="0"/>
                <w:sz w:val="20"/>
              </w:rPr>
              <w:t>19-week delivery</w:t>
            </w:r>
          </w:p>
        </w:tc>
        <w:tc>
          <w:tcPr>
            <w:tcW w:type="dxa" w:w="2436"/>
            <w:vAlign w:val="center"/>
          </w:tcPr>
          <w:p>
            <w:pPr>
              <w:spacing w:line="276" w:lineRule="auto" w:before="0" w:after="0"/>
            </w:pPr>
            <w:r/>
            <w:r>
              <w:rPr>
                <w:rFonts w:ascii="Figtree" w:hAnsi="Figtree"/>
                <w:b w:val="0"/>
                <w:i w:val="0"/>
                <w:sz w:val="20"/>
              </w:rPr>
              <w:t>Reduced by 50-75%</w:t>
            </w:r>
          </w:p>
        </w:tc>
      </w:tr>
    </w:tbl>
    <w:p>
      <w:pPr>
        <w:spacing w:before="0" w:after="0" w:line="120" w:lineRule="exact"/>
      </w:pPr>
    </w:p>
    <w:p>
      <w:r>
        <w:rPr>
          <w:rFonts w:ascii="Figtree" w:hAnsi="Figtree"/>
          <w:b w:val="0"/>
          <w:i w:val="0"/>
          <w:sz w:val="22"/>
        </w:rPr>
        <w:t>The cost avoidance calculation compares DALP implementation to the estimated cost of building equivalent capability from scratch. The figure represents direct cost comparison; it does not include the opportunity cost of delayed capability or the risk cost of execution uncertainty.</w:t>
      </w:r>
    </w:p>
    <w:p>
      <w:pPr>
        <w:pStyle w:val="H3"/>
        <w:numPr>
          <w:ilvl w:val="2"/>
          <w:numId w:val="1"/>
        </w:numPr>
      </w:pPr>
      <w:r>
        <w:t>Operational Efficiency</w:t>
      </w:r>
    </w:p>
    <w:p>
      <w:r>
        <w:rPr>
          <w:rFonts w:ascii="Figtree" w:hAnsi="Figtree"/>
          <w:b w:val="0"/>
          <w:i w:val="0"/>
          <w:sz w:val="22"/>
        </w:rPr>
        <w:t>DALP generates ongoing operational efficiencies: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1"/>
        <w:gridCol w:w="3870"/>
        <w:gridCol w:w="254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Value Estimate</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Automated on-chain enforcement</w:t>
            </w:r>
          </w:p>
        </w:tc>
        <w:tc>
          <w:tcPr>
            <w:tcW w:type="dxa" w:w="3249"/>
            <w:vAlign w:val="center"/>
          </w:tcPr>
          <w:p>
            <w:pPr>
              <w:spacing w:line="276" w:lineRule="auto" w:before="0" w:after="0"/>
            </w:pPr>
            <w:r/>
            <w:r>
              <w:rPr>
                <w:rFonts w:ascii="Figtree" w:hAnsi="Figtree"/>
                <w:b w:val="0"/>
                <w:i w:val="0"/>
                <w:sz w:val="20"/>
              </w:rPr>
              <w:t>USD 200-400K</w:t>
            </w:r>
          </w:p>
        </w:tc>
      </w:tr>
      <w:tr>
        <w:trPr>
          <w:trHeight w:val="425" w:hRule="atLeast"/>
        </w:trPr>
        <w:tc>
          <w:tcPr>
            <w:tcW w:type="dxa" w:w="3249"/>
            <w:vAlign w:val="center"/>
          </w:tcPr>
          <w:p>
            <w:pPr>
              <w:spacing w:line="276" w:lineRule="auto" w:before="0" w:after="0"/>
            </w:pPr>
            <w:r/>
            <w:r>
              <w:rPr>
                <w:rFonts w:ascii="Figtree" w:hAnsi="Figtree"/>
                <w:b w:val="0"/>
                <w:i w:val="0"/>
                <w:sz w:val="20"/>
              </w:rPr>
              <w:t>Audit and reporting</w:t>
            </w:r>
          </w:p>
        </w:tc>
        <w:tc>
          <w:tcPr>
            <w:tcW w:type="dxa" w:w="3249"/>
            <w:vAlign w:val="center"/>
          </w:tcPr>
          <w:p>
            <w:pPr>
              <w:spacing w:line="276" w:lineRule="auto" w:before="0" w:after="0"/>
            </w:pPr>
            <w:r/>
            <w:r>
              <w:rPr>
                <w:rFonts w:ascii="Figtree" w:hAnsi="Figtree"/>
                <w:b w:val="0"/>
                <w:i w:val="0"/>
                <w:sz w:val="20"/>
              </w:rPr>
              <w:t>Native audit trails, dashboards</w:t>
            </w:r>
          </w:p>
        </w:tc>
        <w:tc>
          <w:tcPr>
            <w:tcW w:type="dxa" w:w="3249"/>
            <w:vAlign w:val="center"/>
          </w:tcPr>
          <w:p>
            <w:pPr>
              <w:spacing w:line="276" w:lineRule="auto" w:before="0" w:after="0"/>
            </w:pPr>
            <w:r/>
            <w:r>
              <w:rPr>
                <w:rFonts w:ascii="Figtree" w:hAnsi="Figtree"/>
                <w:b w:val="0"/>
                <w:i w:val="0"/>
                <w:sz w:val="20"/>
              </w:rPr>
              <w:t>USD 100-200K</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Platform-native, not manual</w:t>
            </w:r>
          </w:p>
        </w:tc>
        <w:tc>
          <w:tcPr>
            <w:tcW w:type="dxa" w:w="3249"/>
            <w:vAlign w:val="center"/>
          </w:tcPr>
          <w:p>
            <w:pPr>
              <w:spacing w:line="276" w:lineRule="auto" w:before="0" w:after="0"/>
            </w:pPr>
            <w:r/>
            <w:r>
              <w:rPr>
                <w:rFonts w:ascii="Figtree" w:hAnsi="Figtree"/>
                <w:b w:val="0"/>
                <w:i w:val="0"/>
                <w:sz w:val="20"/>
              </w:rPr>
              <w:t>USD 50-150K</w:t>
            </w:r>
          </w:p>
        </w:tc>
      </w:tr>
      <w:tr>
        <w:trPr>
          <w:trHeight w:val="425" w:hRule="atLeast"/>
        </w:trPr>
        <w:tc>
          <w:tcPr>
            <w:tcW w:type="dxa" w:w="3249"/>
            <w:vAlign w:val="center"/>
          </w:tcPr>
          <w:p>
            <w:pPr>
              <w:spacing w:line="276" w:lineRule="auto" w:before="0" w:after="0"/>
            </w:pPr>
            <w:r/>
            <w:r>
              <w:rPr>
                <w:rFonts w:ascii="Figtree" w:hAnsi="Figtree"/>
                <w:b w:val="0"/>
                <w:i w:val="0"/>
                <w:sz w:val="20"/>
              </w:rPr>
              <w:t>Incident management</w:t>
            </w:r>
          </w:p>
        </w:tc>
        <w:tc>
          <w:tcPr>
            <w:tcW w:type="dxa" w:w="3249"/>
            <w:vAlign w:val="center"/>
          </w:tcPr>
          <w:p>
            <w:pPr>
              <w:spacing w:line="276" w:lineRule="auto" w:before="0" w:after="0"/>
            </w:pPr>
            <w:r/>
            <w:r>
              <w:rPr>
                <w:rFonts w:ascii="Figtree" w:hAnsi="Figtree"/>
                <w:b w:val="0"/>
                <w:i w:val="0"/>
                <w:sz w:val="20"/>
              </w:rPr>
              <w:t>Observability, rapid diagnostics</w:t>
            </w:r>
          </w:p>
        </w:tc>
        <w:tc>
          <w:tcPr>
            <w:tcW w:type="dxa" w:w="3249"/>
            <w:vAlign w:val="center"/>
          </w:tcPr>
          <w:p>
            <w:pPr>
              <w:spacing w:line="276" w:lineRule="auto" w:before="0" w:after="0"/>
            </w:pPr>
            <w:r/>
            <w:r>
              <w:rPr>
                <w:rFonts w:ascii="Figtree" w:hAnsi="Figtree"/>
                <w:b w:val="0"/>
                <w:i w:val="0"/>
                <w:sz w:val="20"/>
              </w:rPr>
              <w:t>USD 50-100K</w:t>
            </w:r>
          </w:p>
        </w:tc>
      </w:tr>
    </w:tbl>
    <w:p>
      <w:pPr>
        <w:spacing w:before="0" w:after="0" w:line="120" w:lineRule="exact"/>
      </w:pPr>
    </w:p>
    <w:p>
      <w:r>
        <w:rPr>
          <w:rFonts w:ascii="Figtree" w:hAnsi="Figtree"/>
          <w:b w:val="0"/>
          <w:i w:val="0"/>
          <w:sz w:val="22"/>
        </w:rPr>
        <w:t>The operational efficiency value varies based on the Central Bank's current operational model and the volume of digital asset activity. These estimates assume moderate activity levels; higher volumes increase efficiency gains.</w:t>
      </w:r>
    </w:p>
    <w:p>
      <w:pPr>
        <w:pStyle w:val="H3"/>
        <w:numPr>
          <w:ilvl w:val="2"/>
          <w:numId w:val="1"/>
        </w:numPr>
      </w:pPr>
      <w:r>
        <w:t>Risk Reduction</w:t>
      </w:r>
    </w:p>
    <w:p>
      <w:r>
        <w:rPr>
          <w:rFonts w:ascii="Figtree" w:hAnsi="Figtree"/>
          <w:b w:val="0"/>
          <w:i w:val="0"/>
          <w:sz w:val="22"/>
        </w:rPr>
        <w:t>The platform reduces operational and regulatory risk: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0"/>
        <w:gridCol w:w="4937"/>
        <w:gridCol w:w="12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3249"/>
            <w:vAlign w:val="center"/>
          </w:tcPr>
          <w:p>
            <w:pPr>
              <w:spacing w:line="276" w:lineRule="auto" w:before="0" w:after="0"/>
            </w:pPr>
            <w:r/>
            <w:r>
              <w:rPr>
                <w:rFonts w:ascii="Figtree" w:hAnsi="Figtree"/>
                <w:b w:val="0"/>
                <w:i w:val="0"/>
                <w:sz w:val="20"/>
              </w:rPr>
              <w:t>Regulatory non-compliance</w:t>
            </w:r>
          </w:p>
        </w:tc>
        <w:tc>
          <w:tcPr>
            <w:tcW w:type="dxa" w:w="3249"/>
            <w:vAlign w:val="center"/>
          </w:tcPr>
          <w:p>
            <w:pPr>
              <w:spacing w:line="276" w:lineRule="auto" w:before="0" w:after="0"/>
            </w:pPr>
            <w:r/>
            <w:r>
              <w:rPr>
                <w:rFonts w:ascii="Figtree" w:hAnsi="Figtree"/>
                <w:b w:val="0"/>
                <w:i w:val="0"/>
                <w:sz w:val="20"/>
              </w:rPr>
              <w:t>Pre-built compliance framework</w:t>
            </w:r>
          </w:p>
        </w:tc>
        <w:tc>
          <w:tcPr>
            <w:tcW w:type="dxa" w:w="3249"/>
            <w:vAlign w:val="center"/>
          </w:tcPr>
          <w:p>
            <w:pPr>
              <w:spacing w:line="276" w:lineRule="auto" w:before="0" w:after="0"/>
            </w:pPr>
            <w:r/>
            <w:r>
              <w:rPr>
                <w:rFonts w:ascii="Figtree" w:hAnsi="Figtree"/>
                <w:b w:val="0"/>
                <w:i w:val="0"/>
                <w:sz w:val="20"/>
              </w:rPr>
              <w:t>Significant</w:t>
            </w:r>
          </w:p>
        </w:tc>
      </w:tr>
      <w:tr>
        <w:trPr>
          <w:trHeight w:val="425" w:hRule="atLeast"/>
        </w:trPr>
        <w:tc>
          <w:tcPr>
            <w:tcW w:type="dxa" w:w="3249"/>
            <w:vAlign w:val="center"/>
          </w:tcPr>
          <w:p>
            <w:pPr>
              <w:spacing w:line="276" w:lineRule="auto" w:before="0" w:after="0"/>
            </w:pPr>
            <w:r/>
            <w:r>
              <w:rPr>
                <w:rFonts w:ascii="Figtree" w:hAnsi="Figtree"/>
                <w:b w:val="0"/>
                <w:i w:val="0"/>
                <w:sz w:val="20"/>
              </w:rPr>
              <w:t>Security breach</w:t>
            </w:r>
          </w:p>
        </w:tc>
        <w:tc>
          <w:tcPr>
            <w:tcW w:type="dxa" w:w="3249"/>
            <w:vAlign w:val="center"/>
          </w:tcPr>
          <w:p>
            <w:pPr>
              <w:spacing w:line="276" w:lineRule="auto" w:before="0" w:after="0"/>
            </w:pPr>
            <w:r/>
            <w:r>
              <w:rPr>
                <w:rFonts w:ascii="Figtree" w:hAnsi="Figtree"/>
                <w:b w:val="0"/>
                <w:i w:val="0"/>
                <w:sz w:val="20"/>
              </w:rPr>
              <w:t>Defense-in-depth, certifications</w:t>
            </w:r>
          </w:p>
        </w:tc>
        <w:tc>
          <w:tcPr>
            <w:tcW w:type="dxa" w:w="3249"/>
            <w:vAlign w:val="center"/>
          </w:tcPr>
          <w:p>
            <w:pPr>
              <w:spacing w:line="276" w:lineRule="auto" w:before="0" w:after="0"/>
            </w:pPr>
            <w:r/>
            <w:r>
              <w:rPr>
                <w:rFonts w:ascii="Figtree" w:hAnsi="Figtree"/>
                <w:b w:val="0"/>
                <w:i w:val="0"/>
                <w:sz w:val="20"/>
              </w:rPr>
              <w:t>Significant</w:t>
            </w:r>
          </w:p>
        </w:tc>
      </w:tr>
      <w:tr>
        <w:trPr>
          <w:trHeight w:val="425" w:hRule="atLeast"/>
        </w:trPr>
        <w:tc>
          <w:tcPr>
            <w:tcW w:type="dxa" w:w="3249"/>
            <w:vAlign w:val="center"/>
          </w:tcPr>
          <w:p>
            <w:pPr>
              <w:spacing w:line="276" w:lineRule="auto" w:before="0" w:after="0"/>
            </w:pPr>
            <w:r/>
            <w:r>
              <w:rPr>
                <w:rFonts w:ascii="Figtree" w:hAnsi="Figtree"/>
                <w:b w:val="0"/>
                <w:i w:val="0"/>
                <w:sz w:val="20"/>
              </w:rPr>
              <w:t>Operational failure</w:t>
            </w:r>
          </w:p>
        </w:tc>
        <w:tc>
          <w:tcPr>
            <w:tcW w:type="dxa" w:w="3249"/>
            <w:vAlign w:val="center"/>
          </w:tcPr>
          <w:p>
            <w:pPr>
              <w:spacing w:line="276" w:lineRule="auto" w:before="0" w:after="0"/>
            </w:pPr>
            <w:r/>
            <w:r>
              <w:rPr>
                <w:rFonts w:ascii="Figtree" w:hAnsi="Figtree"/>
                <w:b w:val="0"/>
                <w:i w:val="0"/>
                <w:sz w:val="20"/>
              </w:rPr>
              <w:t>HA architecture, DR capability</w:t>
            </w:r>
          </w:p>
        </w:tc>
        <w:tc>
          <w:tcPr>
            <w:tcW w:type="dxa" w:w="3249"/>
            <w:vAlign w:val="center"/>
          </w:tcPr>
          <w:p>
            <w:pPr>
              <w:spacing w:line="276" w:lineRule="auto" w:before="0" w:after="0"/>
            </w:pPr>
            <w:r/>
            <w:r>
              <w:rPr>
                <w:rFonts w:ascii="Figtree" w:hAnsi="Figtree"/>
                <w:b w:val="0"/>
                <w:i w:val="0"/>
                <w:sz w:val="20"/>
              </w:rPr>
              <w:t>Significant</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failure</w:t>
            </w:r>
          </w:p>
        </w:tc>
        <w:tc>
          <w:tcPr>
            <w:tcW w:type="dxa" w:w="3249"/>
            <w:vAlign w:val="center"/>
          </w:tcPr>
          <w:p>
            <w:pPr>
              <w:spacing w:line="276" w:lineRule="auto" w:before="0" w:after="0"/>
            </w:pPr>
            <w:r/>
            <w:r>
              <w:rPr>
                <w:rFonts w:ascii="Figtree" w:hAnsi="Figtree"/>
                <w:b w:val="0"/>
                <w:i w:val="0"/>
                <w:sz w:val="20"/>
              </w:rPr>
              <w:t>Proven methodology, production track record</w:t>
            </w:r>
          </w:p>
        </w:tc>
        <w:tc>
          <w:tcPr>
            <w:tcW w:type="dxa" w:w="3249"/>
            <w:vAlign w:val="center"/>
          </w:tcPr>
          <w:p>
            <w:pPr>
              <w:spacing w:line="276" w:lineRule="auto" w:before="0" w:after="0"/>
            </w:pPr>
            <w:r/>
            <w:r>
              <w:rPr>
                <w:rFonts w:ascii="Figtree" w:hAnsi="Figtree"/>
                <w:b w:val="0"/>
                <w:i w:val="0"/>
                <w:sz w:val="20"/>
              </w:rPr>
              <w:t>Significant</w:t>
            </w:r>
          </w:p>
        </w:tc>
      </w:tr>
    </w:tbl>
    <w:p>
      <w:pPr>
        <w:spacing w:before="0" w:after="0" w:line="120" w:lineRule="exact"/>
      </w:pPr>
    </w:p>
    <w:p>
      <w:r>
        <w:rPr>
          <w:rFonts w:ascii="Figtree" w:hAnsi="Figtree"/>
          <w:b w:val="0"/>
          <w:i w:val="0"/>
          <w:sz w:val="22"/>
        </w:rPr>
        <w:t>Risk reduction value is inherently difficult to quantify as it represents avoided cost of adverse outcomes. The Central Bank should assess this value based on its risk tolerance and the consequences of platform failure.</w:t>
      </w:r>
    </w:p>
    <w:p>
      <w:pPr>
        <w:pStyle w:val="H3"/>
        <w:numPr>
          <w:ilvl w:val="2"/>
          <w:numId w:val="1"/>
        </w:numPr>
      </w:pPr>
      <w:r>
        <w:t>Strategic Enablement</w:t>
      </w:r>
    </w:p>
    <w:p>
      <w:r>
        <w:rPr>
          <w:rFonts w:ascii="Figtree" w:hAnsi="Figtree"/>
          <w:b w:val="0"/>
          <w:i w:val="0"/>
          <w:sz w:val="22"/>
        </w:rPr>
        <w:t>The platform enables strategic objectives: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02"/>
        <w:gridCol w:w="3888"/>
        <w:gridCol w:w="17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Objective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Enablement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3249"/>
            <w:vAlign w:val="center"/>
          </w:tcPr>
          <w:p>
            <w:pPr>
              <w:spacing w:line="276" w:lineRule="auto" w:before="0" w:after="0"/>
            </w:pPr>
            <w:r/>
            <w:r>
              <w:rPr>
                <w:rFonts w:ascii="Figtree" w:hAnsi="Figtree"/>
                <w:b w:val="0"/>
                <w:i w:val="0"/>
                <w:sz w:val="20"/>
              </w:rPr>
              <w:t>Regulatory leadership</w:t>
            </w:r>
          </w:p>
        </w:tc>
        <w:tc>
          <w:tcPr>
            <w:tcW w:type="dxa" w:w="3249"/>
            <w:vAlign w:val="center"/>
          </w:tcPr>
          <w:p>
            <w:pPr>
              <w:spacing w:line="276" w:lineRule="auto" w:before="0" w:after="0"/>
            </w:pPr>
            <w:r/>
            <w:r>
              <w:rPr>
                <w:rFonts w:ascii="Figtree" w:hAnsi="Figtree"/>
                <w:b w:val="0"/>
                <w:i w:val="0"/>
                <w:sz w:val="20"/>
              </w:rPr>
              <w:t>Modern infrastructure</w:t>
            </w:r>
          </w:p>
        </w:tc>
        <w:tc>
          <w:tcPr>
            <w:tcW w:type="dxa" w:w="3249"/>
            <w:vAlign w:val="center"/>
          </w:tcPr>
          <w:p>
            <w:pPr>
              <w:spacing w:line="276" w:lineRule="auto" w:before="0" w:after="0"/>
            </w:pPr>
            <w:r/>
            <w:r>
              <w:rPr>
                <w:rFonts w:ascii="Figtree" w:hAnsi="Figtree"/>
                <w:b w:val="0"/>
                <w:i w:val="0"/>
                <w:sz w:val="20"/>
              </w:rPr>
              <w:t>Significant</w:t>
            </w:r>
          </w:p>
        </w:tc>
      </w:tr>
      <w:tr>
        <w:trPr>
          <w:trHeight w:val="425" w:hRule="atLeast"/>
        </w:trPr>
        <w:tc>
          <w:tcPr>
            <w:tcW w:type="dxa" w:w="3249"/>
            <w:vAlign w:val="center"/>
          </w:tcPr>
          <w:p>
            <w:pPr>
              <w:spacing w:line="276" w:lineRule="auto" w:before="0" w:after="0"/>
            </w:pPr>
            <w:r/>
            <w:r>
              <w:rPr>
                <w:rFonts w:ascii="Figtree" w:hAnsi="Figtree"/>
                <w:b w:val="0"/>
                <w:i w:val="0"/>
                <w:sz w:val="20"/>
              </w:rPr>
              <w:t>Market development</w:t>
            </w:r>
          </w:p>
        </w:tc>
        <w:tc>
          <w:tcPr>
            <w:tcW w:type="dxa" w:w="3249"/>
            <w:vAlign w:val="center"/>
          </w:tcPr>
          <w:p>
            <w:pPr>
              <w:spacing w:line="276" w:lineRule="auto" w:before="0" w:after="0"/>
            </w:pPr>
            <w:r/>
            <w:r>
              <w:rPr>
                <w:rFonts w:ascii="Figtree" w:hAnsi="Figtree"/>
                <w:b w:val="0"/>
                <w:i w:val="0"/>
                <w:sz w:val="20"/>
              </w:rPr>
              <w:t>Supervised market access</w:t>
            </w:r>
          </w:p>
        </w:tc>
        <w:tc>
          <w:tcPr>
            <w:tcW w:type="dxa" w:w="3249"/>
            <w:vAlign w:val="center"/>
          </w:tcPr>
          <w:p>
            <w:pPr>
              <w:spacing w:line="276" w:lineRule="auto" w:before="0" w:after="0"/>
            </w:pPr>
            <w:r/>
            <w:r>
              <w:rPr>
                <w:rFonts w:ascii="Figtree" w:hAnsi="Figtree"/>
                <w:b w:val="0"/>
                <w:i w:val="0"/>
                <w:sz w:val="20"/>
              </w:rPr>
              <w:t>Significant</w:t>
            </w:r>
          </w:p>
        </w:tc>
      </w:tr>
      <w:tr>
        <w:trPr>
          <w:trHeight w:val="425" w:hRule="atLeast"/>
        </w:trPr>
        <w:tc>
          <w:tcPr>
            <w:tcW w:type="dxa" w:w="3249"/>
            <w:vAlign w:val="center"/>
          </w:tcPr>
          <w:p>
            <w:pPr>
              <w:spacing w:line="276" w:lineRule="auto" w:before="0" w:after="0"/>
            </w:pPr>
            <w:r/>
            <w:r>
              <w:rPr>
                <w:rFonts w:ascii="Figtree" w:hAnsi="Figtree"/>
                <w:b w:val="0"/>
                <w:i w:val="0"/>
                <w:sz w:val="20"/>
              </w:rPr>
              <w:t>Innovation capacity</w:t>
            </w:r>
          </w:p>
        </w:tc>
        <w:tc>
          <w:tcPr>
            <w:tcW w:type="dxa" w:w="3249"/>
            <w:vAlign w:val="center"/>
          </w:tcPr>
          <w:p>
            <w:pPr>
              <w:spacing w:line="276" w:lineRule="auto" w:before="0" w:after="0"/>
            </w:pPr>
            <w:r/>
            <w:r>
              <w:rPr>
                <w:rFonts w:ascii="Figtree" w:hAnsi="Figtree"/>
                <w:b w:val="0"/>
                <w:i w:val="0"/>
                <w:sz w:val="20"/>
              </w:rPr>
              <w:t>Platform flexibility</w:t>
            </w:r>
          </w:p>
        </w:tc>
        <w:tc>
          <w:tcPr>
            <w:tcW w:type="dxa" w:w="3249"/>
            <w:vAlign w:val="center"/>
          </w:tcPr>
          <w:p>
            <w:pPr>
              <w:spacing w:line="276" w:lineRule="auto" w:before="0" w:after="0"/>
            </w:pPr>
            <w:r/>
            <w:r>
              <w:rPr>
                <w:rFonts w:ascii="Figtree" w:hAnsi="Figtree"/>
                <w:b w:val="0"/>
                <w:i w:val="0"/>
                <w:sz w:val="20"/>
              </w:rPr>
              <w:t>Significant</w:t>
            </w:r>
          </w:p>
        </w:tc>
      </w:tr>
      <w:tr>
        <w:trPr>
          <w:trHeight w:val="425" w:hRule="atLeast"/>
        </w:trPr>
        <w:tc>
          <w:tcPr>
            <w:tcW w:type="dxa" w:w="3249"/>
            <w:vAlign w:val="center"/>
          </w:tcPr>
          <w:p>
            <w:pPr>
              <w:spacing w:line="276" w:lineRule="auto" w:before="0" w:after="0"/>
            </w:pPr>
            <w:r/>
            <w:r>
              <w:rPr>
                <w:rFonts w:ascii="Figtree" w:hAnsi="Figtree"/>
                <w:b w:val="0"/>
                <w:i w:val="0"/>
                <w:sz w:val="20"/>
              </w:rPr>
              <w:t>Regional positioning</w:t>
            </w:r>
          </w:p>
        </w:tc>
        <w:tc>
          <w:tcPr>
            <w:tcW w:type="dxa" w:w="3249"/>
            <w:vAlign w:val="center"/>
          </w:tcPr>
          <w:p>
            <w:pPr>
              <w:spacing w:line="276" w:lineRule="auto" w:before="0" w:after="0"/>
            </w:pPr>
            <w:r/>
            <w:r>
              <w:rPr>
                <w:rFonts w:ascii="Figtree" w:hAnsi="Figtree"/>
                <w:b w:val="0"/>
                <w:i w:val="0"/>
                <w:sz w:val="20"/>
              </w:rPr>
              <w:t>First-mover advantage</w:t>
            </w:r>
          </w:p>
        </w:tc>
        <w:tc>
          <w:tcPr>
            <w:tcW w:type="dxa" w:w="3249"/>
            <w:vAlign w:val="center"/>
          </w:tcPr>
          <w:p>
            <w:pPr>
              <w:spacing w:line="276" w:lineRule="auto" w:before="0" w:after="0"/>
            </w:pPr>
            <w:r/>
            <w:r>
              <w:rPr>
                <w:rFonts w:ascii="Figtree" w:hAnsi="Figtree"/>
                <w:b w:val="0"/>
                <w:i w:val="0"/>
                <w:sz w:val="20"/>
              </w:rPr>
              <w:t>Significant</w:t>
            </w:r>
          </w:p>
        </w:tc>
      </w:tr>
    </w:tbl>
    <w:p>
      <w:pPr>
        <w:spacing w:before="0" w:after="0" w:line="120" w:lineRule="exact"/>
      </w:pPr>
    </w:p>
    <w:p>
      <w:r>
        <w:rPr>
          <w:rFonts w:ascii="Figtree" w:hAnsi="Figtree"/>
          <w:b w:val="0"/>
          <w:i w:val="0"/>
          <w:sz w:val="22"/>
        </w:rPr>
        <w:t>Strategic value depends on the Central Bank's strategic priorities and the competitive context. These benefits are additional to direct cost and operational considerations.</w:t>
      </w:r>
    </w:p>
    <w:p>
      <w:pPr>
        <w:pStyle w:val="H2"/>
        <w:numPr>
          <w:ilvl w:val="1"/>
          <w:numId w:val="1"/>
        </w:numPr>
      </w:pPr>
      <w:r>
        <w:t>8.2 Total Cost of Ownership</w:t>
      </w:r>
    </w:p>
    <w:p>
      <w:r>
        <w:rPr>
          <w:rFonts w:ascii="Figtree" w:hAnsi="Figtree"/>
          <w:b w:val="0"/>
          <w:i w:val="0"/>
          <w:sz w:val="22"/>
        </w:rPr>
        <w:t>The three-year total cost of ownership estimate (provided following commercial validation) includes:</w:t>
      </w:r>
    </w:p>
    <w:p>
      <w:pPr>
        <w:pStyle w:val="ListParagraph"/>
        <w:numPr>
          <w:ilvl w:val="0"/>
          <w:numId w:val="4"/>
        </w:numPr>
      </w:pPr>
      <w:r>
        <w:rPr>
          <w:rFonts w:ascii="Figtree" w:hAnsi="Figtree"/>
          <w:b w:val="0"/>
          <w:i w:val="0"/>
          <w:sz w:val="22"/>
        </w:rPr>
        <w:t>Platform license (3 years)</w:t>
      </w:r>
    </w:p>
    <w:p>
      <w:pPr>
        <w:pStyle w:val="ListParagraph"/>
        <w:numPr>
          <w:ilvl w:val="0"/>
          <w:numId w:val="4"/>
        </w:numPr>
      </w:pPr>
      <w:r>
        <w:rPr>
          <w:rFonts w:ascii="Figtree" w:hAnsi="Figtree"/>
          <w:b w:val="0"/>
          <w:i w:val="0"/>
          <w:sz w:val="22"/>
        </w:rPr>
        <w:t>Implementation services (one-time)</w:t>
      </w:r>
    </w:p>
    <w:p>
      <w:pPr>
        <w:pStyle w:val="ListParagraph"/>
        <w:numPr>
          <w:ilvl w:val="0"/>
          <w:numId w:val="4"/>
        </w:numPr>
      </w:pPr>
      <w:r>
        <w:rPr>
          <w:rFonts w:ascii="Figtree" w:hAnsi="Figtree"/>
          <w:b w:val="0"/>
          <w:i w:val="0"/>
          <w:sz w:val="22"/>
        </w:rPr>
        <w:t>Environment fees (36 months)</w:t>
      </w:r>
    </w:p>
    <w:p>
      <w:pPr>
        <w:pStyle w:val="ListParagraph"/>
        <w:numPr>
          <w:ilvl w:val="0"/>
          <w:numId w:val="4"/>
        </w:numPr>
      </w:pPr>
      <w:r>
        <w:rPr>
          <w:rFonts w:ascii="Figtree" w:hAnsi="Figtree"/>
          <w:b w:val="0"/>
          <w:i w:val="0"/>
          <w:sz w:val="22"/>
        </w:rPr>
        <w:t>Support services (36 months)</w:t>
      </w:r>
    </w:p>
    <w:p>
      <w:pPr>
        <w:pStyle w:val="ListParagraph"/>
        <w:numPr>
          <w:ilvl w:val="0"/>
          <w:numId w:val="4"/>
        </w:numPr>
      </w:pPr>
      <w:r>
        <w:rPr>
          <w:rFonts w:ascii="Figtree" w:hAnsi="Figtree"/>
          <w:b w:val="0"/>
          <w:i w:val="0"/>
          <w:sz w:val="22"/>
        </w:rPr>
        <w:t>Estimated integration costs (client-side)</w:t>
      </w:r>
    </w:p>
    <w:p>
      <w:r>
        <w:rPr>
          <w:rFonts w:ascii="Figtree" w:hAnsi="Figtree"/>
          <w:b w:val="0"/>
          <w:i w:val="0"/>
          <w:sz w:val="22"/>
        </w:rPr>
        <w:t>The TCO analysis will be refined during commercial validation to reflect the Central Bank's specific scope and requirements.</w:t>
      </w:r>
    </w:p>
    <w:p>
      <w:r>
        <w:br w:type="page"/>
      </w:r>
    </w:p>
    <w:p>
      <w:pPr>
        <w:pStyle w:val="H1"/>
        <w:numPr>
          <w:ilvl w:val="0"/>
          <w:numId w:val="1"/>
        </w:numPr>
      </w:pPr>
      <w:r>
        <w:t>9. Risk and Mitigation</w:t>
      </w:r>
    </w:p>
    <w:p>
      <w:pPr>
        <w:pStyle w:val="H2"/>
        <w:numPr>
          <w:ilvl w:val="1"/>
          <w:numId w:val="1"/>
        </w:numPr>
      </w:pPr>
      <w:r>
        <w:t>9.1 Commercial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6"/>
        <w:gridCol w:w="889"/>
        <w:gridCol w:w="1778"/>
        <w:gridCol w:w="444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Scope expansion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Cost increase</w:t>
            </w:r>
          </w:p>
        </w:tc>
        <w:tc>
          <w:tcPr>
            <w:tcW w:type="dxa" w:w="2436"/>
            <w:vAlign w:val="center"/>
          </w:tcPr>
          <w:p>
            <w:pPr>
              <w:spacing w:line="276" w:lineRule="auto" w:before="0" w:after="0"/>
            </w:pPr>
            <w:r/>
            <w:r>
              <w:rPr>
                <w:rFonts w:ascii="Figtree" w:hAnsi="Figtree"/>
                <w:b w:val="0"/>
                <w:i w:val="0"/>
                <w:sz w:val="20"/>
              </w:rPr>
              <w:t>Change control with impact assessment</w:t>
            </w:r>
          </w:p>
        </w:tc>
      </w:tr>
      <w:tr>
        <w:trPr>
          <w:trHeight w:val="425" w:hRule="atLeast"/>
        </w:trPr>
        <w:tc>
          <w:tcPr>
            <w:tcW w:type="dxa" w:w="2436"/>
            <w:vAlign w:val="center"/>
          </w:tcPr>
          <w:p>
            <w:pPr>
              <w:spacing w:line="276" w:lineRule="auto" w:before="0" w:after="0"/>
            </w:pPr>
            <w:r/>
            <w:r>
              <w:rPr>
                <w:rFonts w:ascii="Figtree" w:hAnsi="Figtree"/>
                <w:b w:val="0"/>
                <w:i w:val="0"/>
                <w:sz w:val="20"/>
              </w:rPr>
              <w:t>Timeline extension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Cost increase</w:t>
            </w:r>
          </w:p>
        </w:tc>
        <w:tc>
          <w:tcPr>
            <w:tcW w:type="dxa" w:w="2436"/>
            <w:vAlign w:val="center"/>
          </w:tcPr>
          <w:p>
            <w:pPr>
              <w:spacing w:line="276" w:lineRule="auto" w:before="0" w:after="0"/>
            </w:pPr>
            <w:r/>
            <w:r>
              <w:rPr>
                <w:rFonts w:ascii="Figtree" w:hAnsi="Figtree"/>
                <w:b w:val="0"/>
                <w:i w:val="0"/>
                <w:sz w:val="20"/>
              </w:rPr>
              <w:t>Clear phase gates, client responsibilities defined</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Timeline impact</w:t>
            </w:r>
          </w:p>
        </w:tc>
        <w:tc>
          <w:tcPr>
            <w:tcW w:type="dxa" w:w="2436"/>
            <w:vAlign w:val="center"/>
          </w:tcPr>
          <w:p>
            <w:pPr>
              <w:spacing w:line="276" w:lineRule="auto" w:before="0" w:after="0"/>
            </w:pPr>
            <w:r/>
            <w:r>
              <w:rPr>
                <w:rFonts w:ascii="Figtree" w:hAnsi="Figtree"/>
                <w:b w:val="0"/>
                <w:i w:val="0"/>
                <w:sz w:val="20"/>
              </w:rPr>
              <w:t>Phase 3 integration design, mock interfaces</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Configuration rework</w:t>
            </w:r>
          </w:p>
        </w:tc>
        <w:tc>
          <w:tcPr>
            <w:tcW w:type="dxa" w:w="2436"/>
            <w:vAlign w:val="center"/>
          </w:tcPr>
          <w:p>
            <w:pPr>
              <w:spacing w:line="276" w:lineRule="auto" w:before="0" w:after="0"/>
            </w:pPr>
            <w:r/>
            <w:r>
              <w:rPr>
                <w:rFonts w:ascii="Figtree" w:hAnsi="Figtree"/>
                <w:b w:val="0"/>
                <w:i w:val="0"/>
                <w:sz w:val="20"/>
              </w:rPr>
              <w:t>Modular compliance architecture</w:t>
            </w:r>
          </w:p>
        </w:tc>
      </w:tr>
    </w:tbl>
    <w:p>
      <w:pPr>
        <w:spacing w:before="0" w:after="0" w:line="120" w:lineRule="exact"/>
      </w:pPr>
    </w:p>
    <w:p>
      <w:pPr>
        <w:pStyle w:val="H2"/>
        <w:numPr>
          <w:ilvl w:val="1"/>
          <w:numId w:val="1"/>
        </w:numPr>
      </w:pPr>
      <w:r>
        <w:t>9.2 SettleMint Commitments</w:t>
      </w:r>
    </w:p>
    <w:p>
      <w:r>
        <w:rPr>
          <w:rFonts w:ascii="Figtree" w:hAnsi="Figtree"/>
          <w:b w:val="0"/>
          <w:i w:val="0"/>
          <w:sz w:val="22"/>
        </w:rPr>
        <w:t>SettleMint commits to the following to mitigate commercial risk:</w:t>
      </w:r>
    </w:p>
    <w:p>
      <w:r>
        <w:rPr>
          <w:rFonts w:ascii="Figtree" w:hAnsi="Figtree"/>
          <w:b/>
          <w:i w:val="0"/>
          <w:sz w:val="22"/>
        </w:rPr>
        <w:t>Fixed Implementation Price:</w:t>
      </w:r>
      <w:r>
        <w:rPr>
          <w:rFonts w:ascii="Figtree" w:hAnsi="Figtree"/>
          <w:b w:val="0"/>
          <w:i w:val="0"/>
          <w:sz w:val="22"/>
        </w:rPr>
        <w:t xml:space="preserve"> Implementation services are fixed-fee with defined scope. Additional work is subject to change control.</w:t>
      </w:r>
    </w:p>
    <w:p>
      <w:r>
        <w:rPr>
          <w:rFonts w:ascii="Figtree" w:hAnsi="Figtree"/>
          <w:b/>
          <w:i w:val="0"/>
          <w:sz w:val="22"/>
        </w:rPr>
        <w:t>Transparent Pricing:</w:t>
      </w:r>
      <w:r>
        <w:rPr>
          <w:rFonts w:ascii="Figtree" w:hAnsi="Figtree"/>
          <w:b w:val="0"/>
          <w:i w:val="0"/>
          <w:sz w:val="22"/>
        </w:rPr>
        <w:t xml:space="preserve"> All pricing elements are disclosed. No hidden costs or pass-through charges.</w:t>
      </w:r>
    </w:p>
    <w:p>
      <w:r>
        <w:rPr>
          <w:rFonts w:ascii="Figtree" w:hAnsi="Figtree"/>
          <w:b/>
          <w:i w:val="0"/>
          <w:sz w:val="22"/>
        </w:rPr>
        <w:t>Delivery Commitment:</w:t>
      </w:r>
      <w:r>
        <w:rPr>
          <w:rFonts w:ascii="Figtree" w:hAnsi="Figtree"/>
          <w:b w:val="0"/>
          <w:i w:val="0"/>
          <w:sz w:val="22"/>
        </w:rPr>
        <w:t xml:space="preserve"> The 19-week methodology is proven across 14 deployments. SettleMint commits to the timeline assuming client-side responsibilities are met.</w:t>
      </w:r>
    </w:p>
    <w:p>
      <w:r>
        <w:rPr>
          <w:rFonts w:ascii="Figtree" w:hAnsi="Figtree"/>
          <w:b/>
          <w:i w:val="0"/>
          <w:sz w:val="22"/>
        </w:rPr>
        <w:t>Knowledge Transfer:</w:t>
      </w:r>
      <w:r>
        <w:rPr>
          <w:rFonts w:ascii="Figtree" w:hAnsi="Figtree"/>
          <w:b w:val="0"/>
          <w:i w:val="0"/>
          <w:sz w:val="22"/>
        </w:rPr>
        <w:t xml:space="preserve"> The implementation includes explicit knowledge transfer. The Central Bank will have operational independence at programme conclusion.</w:t>
      </w:r>
    </w:p>
    <w:p>
      <w:r>
        <w:br w:type="page"/>
      </w:r>
    </w:p>
    <w:p>
      <w:pPr>
        <w:pStyle w:val="H1"/>
        <w:numPr>
          <w:ilvl w:val="0"/>
          <w:numId w:val="1"/>
        </w:numPr>
      </w:pPr>
      <w:r>
        <w:t>10. Appendix: Commercial Schedule</w:t>
      </w:r>
    </w:p>
    <w:p>
      <w:pPr>
        <w:pStyle w:val="H2"/>
        <w:numPr>
          <w:ilvl w:val="1"/>
          <w:numId w:val="1"/>
        </w:numPr>
      </w:pPr>
      <w:r>
        <w:t>10.1 Pricing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2352"/>
        <w:gridCol w:w="712"/>
        <w:gridCol w:w="1344"/>
        <w:gridCol w:w="712"/>
        <w:gridCol w:w="1680"/>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Unit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Unit Price (USD)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Quantity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 (USD)</w:t>
            </w:r>
          </w:p>
        </w:tc>
      </w:tr>
      <w:tr>
        <w:trPr>
          <w:trHeight w:val="425" w:hRule="atLeast"/>
        </w:trPr>
        <w:tc>
          <w:tcPr>
            <w:tcW w:type="dxa" w:w="1624"/>
            <w:vAlign w:val="center"/>
          </w:tcPr>
          <w:p>
            <w:pPr>
              <w:spacing w:line="276" w:lineRule="auto" w:before="0" w:after="0"/>
            </w:pPr>
            <w:r/>
            <w:r>
              <w:rPr>
                <w:rFonts w:ascii="Figtree" w:hAnsi="Figtree"/>
                <w:b/>
                <w:i w:val="0"/>
                <w:sz w:val="20"/>
              </w:rPr>
              <w:t>Platform License</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DALP License (Year 1)</w:t>
            </w:r>
          </w:p>
        </w:tc>
        <w:tc>
          <w:tcPr>
            <w:tcW w:type="dxa" w:w="1624"/>
            <w:vAlign w:val="center"/>
          </w:tcPr>
          <w:p>
            <w:pPr>
              <w:spacing w:line="276" w:lineRule="auto" w:before="0" w:after="0"/>
            </w:pPr>
            <w:r/>
            <w:r>
              <w:rPr>
                <w:rFonts w:ascii="Figtree" w:hAnsi="Figtree"/>
                <w:b w:val="0"/>
                <w:i w:val="0"/>
                <w:sz w:val="20"/>
              </w:rPr>
              <w:t>Platform access, annual term</w:t>
            </w:r>
          </w:p>
        </w:tc>
        <w:tc>
          <w:tcPr>
            <w:tcW w:type="dxa" w:w="1624"/>
            <w:vAlign w:val="center"/>
          </w:tcPr>
          <w:p>
            <w:pPr>
              <w:spacing w:line="276" w:lineRule="auto" w:before="0" w:after="0"/>
            </w:pPr>
            <w:r/>
            <w:r>
              <w:rPr>
                <w:rFonts w:ascii="Figtree" w:hAnsi="Figtree"/>
                <w:b w:val="0"/>
                <w:i w:val="0"/>
                <w:sz w:val="20"/>
              </w:rPr>
              <w:t>Annual</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DALP License (Year 2)</w:t>
            </w:r>
          </w:p>
        </w:tc>
        <w:tc>
          <w:tcPr>
            <w:tcW w:type="dxa" w:w="1624"/>
            <w:vAlign w:val="center"/>
          </w:tcPr>
          <w:p>
            <w:pPr>
              <w:spacing w:line="276" w:lineRule="auto" w:before="0" w:after="0"/>
            </w:pPr>
            <w:r/>
            <w:r>
              <w:rPr>
                <w:rFonts w:ascii="Figtree" w:hAnsi="Figtree"/>
                <w:b w:val="0"/>
                <w:i w:val="0"/>
                <w:sz w:val="20"/>
              </w:rPr>
              <w:t>Platform access, annual term</w:t>
            </w:r>
          </w:p>
        </w:tc>
        <w:tc>
          <w:tcPr>
            <w:tcW w:type="dxa" w:w="1624"/>
            <w:vAlign w:val="center"/>
          </w:tcPr>
          <w:p>
            <w:pPr>
              <w:spacing w:line="276" w:lineRule="auto" w:before="0" w:after="0"/>
            </w:pPr>
            <w:r/>
            <w:r>
              <w:rPr>
                <w:rFonts w:ascii="Figtree" w:hAnsi="Figtree"/>
                <w:b w:val="0"/>
                <w:i w:val="0"/>
                <w:sz w:val="20"/>
              </w:rPr>
              <w:t>Annual</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DALP License (Year 3)</w:t>
            </w:r>
          </w:p>
        </w:tc>
        <w:tc>
          <w:tcPr>
            <w:tcW w:type="dxa" w:w="1624"/>
            <w:vAlign w:val="center"/>
          </w:tcPr>
          <w:p>
            <w:pPr>
              <w:spacing w:line="276" w:lineRule="auto" w:before="0" w:after="0"/>
            </w:pPr>
            <w:r/>
            <w:r>
              <w:rPr>
                <w:rFonts w:ascii="Figtree" w:hAnsi="Figtree"/>
                <w:b w:val="0"/>
                <w:i w:val="0"/>
                <w:sz w:val="20"/>
              </w:rPr>
              <w:t>Platform access, annual term</w:t>
            </w:r>
          </w:p>
        </w:tc>
        <w:tc>
          <w:tcPr>
            <w:tcW w:type="dxa" w:w="1624"/>
            <w:vAlign w:val="center"/>
          </w:tcPr>
          <w:p>
            <w:pPr>
              <w:spacing w:line="276" w:lineRule="auto" w:before="0" w:after="0"/>
            </w:pPr>
            <w:r/>
            <w:r>
              <w:rPr>
                <w:rFonts w:ascii="Figtree" w:hAnsi="Figtree"/>
                <w:b w:val="0"/>
                <w:i w:val="0"/>
                <w:sz w:val="20"/>
              </w:rPr>
              <w:t>Annual</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i w:val="0"/>
                <w:sz w:val="20"/>
              </w:rPr>
              <w:t>Implementation Services</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Phase 1 Services</w:t>
            </w:r>
          </w:p>
        </w:tc>
        <w:tc>
          <w:tcPr>
            <w:tcW w:type="dxa" w:w="1624"/>
            <w:vAlign w:val="center"/>
          </w:tcPr>
          <w:p>
            <w:pPr>
              <w:spacing w:line="276" w:lineRule="auto" w:before="0" w:after="0"/>
            </w:pPr>
            <w:r/>
            <w:r>
              <w:rPr>
                <w:rFonts w:ascii="Figtree" w:hAnsi="Figtree"/>
                <w:b w:val="0"/>
                <w:i w:val="0"/>
                <w:sz w:val="20"/>
              </w:rPr>
              <w:t>Discovery and Requirements</w:t>
            </w:r>
          </w:p>
        </w:tc>
        <w:tc>
          <w:tcPr>
            <w:tcW w:type="dxa" w:w="1624"/>
            <w:vAlign w:val="center"/>
          </w:tcPr>
          <w:p>
            <w:pPr>
              <w:spacing w:line="276" w:lineRule="auto" w:before="0" w:after="0"/>
            </w:pPr>
            <w:r/>
            <w:r>
              <w:rPr>
                <w:rFonts w:ascii="Figtree" w:hAnsi="Figtree"/>
                <w:b w:val="0"/>
                <w:i w:val="0"/>
                <w:sz w:val="20"/>
              </w:rPr>
              <w:t>Fixed</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Phase 2 Services</w:t>
            </w:r>
          </w:p>
        </w:tc>
        <w:tc>
          <w:tcPr>
            <w:tcW w:type="dxa" w:w="1624"/>
            <w:vAlign w:val="center"/>
          </w:tcPr>
          <w:p>
            <w:pPr>
              <w:spacing w:line="276" w:lineRule="auto" w:before="0" w:after="0"/>
            </w:pPr>
            <w:r/>
            <w:r>
              <w:rPr>
                <w:rFonts w:ascii="Figtree" w:hAnsi="Figtree"/>
                <w:b w:val="0"/>
                <w:i w:val="0"/>
                <w:sz w:val="20"/>
              </w:rPr>
              <w:t>Foundation and Setup</w:t>
            </w:r>
          </w:p>
        </w:tc>
        <w:tc>
          <w:tcPr>
            <w:tcW w:type="dxa" w:w="1624"/>
            <w:vAlign w:val="center"/>
          </w:tcPr>
          <w:p>
            <w:pPr>
              <w:spacing w:line="276" w:lineRule="auto" w:before="0" w:after="0"/>
            </w:pPr>
            <w:r/>
            <w:r>
              <w:rPr>
                <w:rFonts w:ascii="Figtree" w:hAnsi="Figtree"/>
                <w:b w:val="0"/>
                <w:i w:val="0"/>
                <w:sz w:val="20"/>
              </w:rPr>
              <w:t>Fixed</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Phase 3 Services</w:t>
            </w:r>
          </w:p>
        </w:tc>
        <w:tc>
          <w:tcPr>
            <w:tcW w:type="dxa" w:w="1624"/>
            <w:vAlign w:val="center"/>
          </w:tcPr>
          <w:p>
            <w:pPr>
              <w:spacing w:line="276" w:lineRule="auto" w:before="0" w:after="0"/>
            </w:pPr>
            <w:r/>
            <w:r>
              <w:rPr>
                <w:rFonts w:ascii="Figtree" w:hAnsi="Figtree"/>
                <w:b w:val="0"/>
                <w:i w:val="0"/>
                <w:sz w:val="20"/>
              </w:rPr>
              <w:t>Configuration and Compliance</w:t>
            </w:r>
          </w:p>
        </w:tc>
        <w:tc>
          <w:tcPr>
            <w:tcW w:type="dxa" w:w="1624"/>
            <w:vAlign w:val="center"/>
          </w:tcPr>
          <w:p>
            <w:pPr>
              <w:spacing w:line="276" w:lineRule="auto" w:before="0" w:after="0"/>
            </w:pPr>
            <w:r/>
            <w:r>
              <w:rPr>
                <w:rFonts w:ascii="Figtree" w:hAnsi="Figtree"/>
                <w:b w:val="0"/>
                <w:i w:val="0"/>
                <w:sz w:val="20"/>
              </w:rPr>
              <w:t>Fixed</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Phase 4 Services</w:t>
            </w:r>
          </w:p>
        </w:tc>
        <w:tc>
          <w:tcPr>
            <w:tcW w:type="dxa" w:w="1624"/>
            <w:vAlign w:val="center"/>
          </w:tcPr>
          <w:p>
            <w:pPr>
              <w:spacing w:line="276" w:lineRule="auto" w:before="0" w:after="0"/>
            </w:pPr>
            <w:r/>
            <w:r>
              <w:rPr>
                <w:rFonts w:ascii="Figtree" w:hAnsi="Figtree"/>
                <w:b w:val="0"/>
                <w:i w:val="0"/>
                <w:sz w:val="20"/>
              </w:rPr>
              <w:t>Integration and Testing</w:t>
            </w:r>
          </w:p>
        </w:tc>
        <w:tc>
          <w:tcPr>
            <w:tcW w:type="dxa" w:w="1624"/>
            <w:vAlign w:val="center"/>
          </w:tcPr>
          <w:p>
            <w:pPr>
              <w:spacing w:line="276" w:lineRule="auto" w:before="0" w:after="0"/>
            </w:pPr>
            <w:r/>
            <w:r>
              <w:rPr>
                <w:rFonts w:ascii="Figtree" w:hAnsi="Figtree"/>
                <w:b w:val="0"/>
                <w:i w:val="0"/>
                <w:sz w:val="20"/>
              </w:rPr>
              <w:t>Fixed</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Phase 5 Services</w:t>
            </w:r>
          </w:p>
        </w:tc>
        <w:tc>
          <w:tcPr>
            <w:tcW w:type="dxa" w:w="1624"/>
            <w:vAlign w:val="center"/>
          </w:tcPr>
          <w:p>
            <w:pPr>
              <w:spacing w:line="276" w:lineRule="auto" w:before="0" w:after="0"/>
            </w:pPr>
            <w:r/>
            <w:r>
              <w:rPr>
                <w:rFonts w:ascii="Figtree" w:hAnsi="Figtree"/>
                <w:b w:val="0"/>
                <w:i w:val="0"/>
                <w:sz w:val="20"/>
              </w:rPr>
              <w:t>Go-Live and Hypercare</w:t>
            </w:r>
          </w:p>
        </w:tc>
        <w:tc>
          <w:tcPr>
            <w:tcW w:type="dxa" w:w="1624"/>
            <w:vAlign w:val="center"/>
          </w:tcPr>
          <w:p>
            <w:pPr>
              <w:spacing w:line="276" w:lineRule="auto" w:before="0" w:after="0"/>
            </w:pPr>
            <w:r/>
            <w:r>
              <w:rPr>
                <w:rFonts w:ascii="Figtree" w:hAnsi="Figtree"/>
                <w:b w:val="0"/>
                <w:i w:val="0"/>
                <w:sz w:val="20"/>
              </w:rPr>
              <w:t>Fixed</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i w:val="0"/>
                <w:sz w:val="20"/>
              </w:rPr>
              <w:t>Environment Fees</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Development Environment</w:t>
            </w:r>
          </w:p>
        </w:tc>
        <w:tc>
          <w:tcPr>
            <w:tcW w:type="dxa" w:w="1624"/>
            <w:vAlign w:val="center"/>
          </w:tcPr>
          <w:p>
            <w:pPr>
              <w:spacing w:line="276" w:lineRule="auto" w:before="0" w:after="0"/>
            </w:pPr>
            <w:r/>
            <w:r>
              <w:rPr>
                <w:rFonts w:ascii="Figtree" w:hAnsi="Figtree"/>
                <w:b w:val="0"/>
                <w:i w:val="0"/>
                <w:sz w:val="20"/>
              </w:rPr>
              <w:t>Monthly fee</w:t>
            </w:r>
          </w:p>
        </w:tc>
        <w:tc>
          <w:tcPr>
            <w:tcW w:type="dxa" w:w="1624"/>
            <w:vAlign w:val="center"/>
          </w:tcPr>
          <w:p>
            <w:pPr>
              <w:spacing w:line="276" w:lineRule="auto" w:before="0" w:after="0"/>
            </w:pPr>
            <w:r/>
            <w:r>
              <w:rPr>
                <w:rFonts w:ascii="Figtree" w:hAnsi="Figtree"/>
                <w:b w:val="0"/>
                <w:i w:val="0"/>
                <w:sz w:val="20"/>
              </w:rPr>
              <w:t>Monthly</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36</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Staging Environment</w:t>
            </w:r>
          </w:p>
        </w:tc>
        <w:tc>
          <w:tcPr>
            <w:tcW w:type="dxa" w:w="1624"/>
            <w:vAlign w:val="center"/>
          </w:tcPr>
          <w:p>
            <w:pPr>
              <w:spacing w:line="276" w:lineRule="auto" w:before="0" w:after="0"/>
            </w:pPr>
            <w:r/>
            <w:r>
              <w:rPr>
                <w:rFonts w:ascii="Figtree" w:hAnsi="Figtree"/>
                <w:b w:val="0"/>
                <w:i w:val="0"/>
                <w:sz w:val="20"/>
              </w:rPr>
              <w:t>Monthly fee</w:t>
            </w:r>
          </w:p>
        </w:tc>
        <w:tc>
          <w:tcPr>
            <w:tcW w:type="dxa" w:w="1624"/>
            <w:vAlign w:val="center"/>
          </w:tcPr>
          <w:p>
            <w:pPr>
              <w:spacing w:line="276" w:lineRule="auto" w:before="0" w:after="0"/>
            </w:pPr>
            <w:r/>
            <w:r>
              <w:rPr>
                <w:rFonts w:ascii="Figtree" w:hAnsi="Figtree"/>
                <w:b w:val="0"/>
                <w:i w:val="0"/>
                <w:sz w:val="20"/>
              </w:rPr>
              <w:t>Monthly</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36</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Production Environment</w:t>
            </w:r>
          </w:p>
        </w:tc>
        <w:tc>
          <w:tcPr>
            <w:tcW w:type="dxa" w:w="1624"/>
            <w:vAlign w:val="center"/>
          </w:tcPr>
          <w:p>
            <w:pPr>
              <w:spacing w:line="276" w:lineRule="auto" w:before="0" w:after="0"/>
            </w:pPr>
            <w:r/>
            <w:r>
              <w:rPr>
                <w:rFonts w:ascii="Figtree" w:hAnsi="Figtree"/>
                <w:b w:val="0"/>
                <w:i w:val="0"/>
                <w:sz w:val="20"/>
              </w:rPr>
              <w:t>Monthly fee</w:t>
            </w:r>
          </w:p>
        </w:tc>
        <w:tc>
          <w:tcPr>
            <w:tcW w:type="dxa" w:w="1624"/>
            <w:vAlign w:val="center"/>
          </w:tcPr>
          <w:p>
            <w:pPr>
              <w:spacing w:line="276" w:lineRule="auto" w:before="0" w:after="0"/>
            </w:pPr>
            <w:r/>
            <w:r>
              <w:rPr>
                <w:rFonts w:ascii="Figtree" w:hAnsi="Figtree"/>
                <w:b w:val="0"/>
                <w:i w:val="0"/>
                <w:sz w:val="20"/>
              </w:rPr>
              <w:t>Monthly</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36</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Blockchain Network</w:t>
            </w:r>
          </w:p>
        </w:tc>
        <w:tc>
          <w:tcPr>
            <w:tcW w:type="dxa" w:w="1624"/>
            <w:vAlign w:val="center"/>
          </w:tcPr>
          <w:p>
            <w:pPr>
              <w:spacing w:line="276" w:lineRule="auto" w:before="0" w:after="0"/>
            </w:pPr>
            <w:r/>
            <w:r>
              <w:rPr>
                <w:rFonts w:ascii="Figtree" w:hAnsi="Figtree"/>
                <w:b w:val="0"/>
                <w:i w:val="0"/>
                <w:sz w:val="20"/>
              </w:rPr>
              <w:t>Monthly fee</w:t>
            </w:r>
          </w:p>
        </w:tc>
        <w:tc>
          <w:tcPr>
            <w:tcW w:type="dxa" w:w="1624"/>
            <w:vAlign w:val="center"/>
          </w:tcPr>
          <w:p>
            <w:pPr>
              <w:spacing w:line="276" w:lineRule="auto" w:before="0" w:after="0"/>
            </w:pPr>
            <w:r/>
            <w:r>
              <w:rPr>
                <w:rFonts w:ascii="Figtree" w:hAnsi="Figtree"/>
                <w:b w:val="0"/>
                <w:i w:val="0"/>
                <w:sz w:val="20"/>
              </w:rPr>
              <w:t>Monthly</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36</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i w:val="0"/>
                <w:sz w:val="20"/>
              </w:rPr>
              <w:t>Support Services</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Enterprise Support (24/7)</w:t>
            </w:r>
          </w:p>
        </w:tc>
        <w:tc>
          <w:tcPr>
            <w:tcW w:type="dxa" w:w="1624"/>
            <w:vAlign w:val="center"/>
          </w:tcPr>
          <w:p>
            <w:pPr>
              <w:spacing w:line="276" w:lineRule="auto" w:before="0" w:after="0"/>
            </w:pPr>
            <w:r/>
            <w:r>
              <w:rPr>
                <w:rFonts w:ascii="Figtree" w:hAnsi="Figtree"/>
                <w:b w:val="0"/>
                <w:i w:val="0"/>
                <w:sz w:val="20"/>
              </w:rPr>
              <w:t>Monthly fee</w:t>
            </w:r>
          </w:p>
        </w:tc>
        <w:tc>
          <w:tcPr>
            <w:tcW w:type="dxa" w:w="1624"/>
            <w:vAlign w:val="center"/>
          </w:tcPr>
          <w:p>
            <w:pPr>
              <w:spacing w:line="276" w:lineRule="auto" w:before="0" w:after="0"/>
            </w:pPr>
            <w:r/>
            <w:r>
              <w:rPr>
                <w:rFonts w:ascii="Figtree" w:hAnsi="Figtree"/>
                <w:b w:val="0"/>
                <w:i w:val="0"/>
                <w:sz w:val="20"/>
              </w:rPr>
              <w:t>Monthly</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36</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i w:val="0"/>
                <w:sz w:val="20"/>
              </w:rPr>
              <w:t>Total</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[To be provided]</w:t>
            </w:r>
          </w:p>
        </w:tc>
      </w:tr>
    </w:tbl>
    <w:p>
      <w:pPr>
        <w:spacing w:before="0" w:after="0" w:line="120" w:lineRule="exact"/>
      </w:pPr>
    </w:p>
    <w:p>
      <w:pPr>
        <w:pStyle w:val="H2"/>
        <w:numPr>
          <w:ilvl w:val="1"/>
          <w:numId w:val="1"/>
        </w:numPr>
      </w:pPr>
      <w:r>
        <w:t>10.2 Assumptions and Exclusions</w:t>
      </w:r>
    </w:p>
    <w:p>
      <w:r>
        <w:rPr>
          <w:rFonts w:ascii="Figtree" w:hAnsi="Figtree"/>
          <w:b/>
          <w:i w:val="0"/>
          <w:sz w:val="22"/>
        </w:rPr>
        <w:t>Included:</w:t>
      </w:r>
    </w:p>
    <w:p>
      <w:pPr>
        <w:pStyle w:val="ListParagraph"/>
        <w:numPr>
          <w:ilvl w:val="0"/>
          <w:numId w:val="4"/>
        </w:numPr>
      </w:pPr>
      <w:r>
        <w:rPr>
          <w:rFonts w:ascii="Figtree" w:hAnsi="Figtree"/>
          <w:b w:val="0"/>
          <w:i w:val="0"/>
          <w:sz w:val="22"/>
        </w:rPr>
        <w:t>DALP platform software (all layers)</w:t>
      </w:r>
    </w:p>
    <w:p>
      <w:pPr>
        <w:pStyle w:val="ListParagraph"/>
        <w:numPr>
          <w:ilvl w:val="0"/>
          <w:numId w:val="4"/>
        </w:numPr>
      </w:pPr>
      <w:r>
        <w:rPr>
          <w:rFonts w:ascii="Figtree" w:hAnsi="Figtree"/>
          <w:b w:val="0"/>
          <w:i w:val="0"/>
          <w:sz w:val="22"/>
        </w:rPr>
        <w:t>19-week implementation methodology</w:t>
      </w:r>
    </w:p>
    <w:p>
      <w:pPr>
        <w:pStyle w:val="ListParagraph"/>
        <w:numPr>
          <w:ilvl w:val="0"/>
          <w:numId w:val="4"/>
        </w:numPr>
      </w:pPr>
      <w:r>
        <w:rPr>
          <w:rFonts w:ascii="Figtree" w:hAnsi="Figtree"/>
          <w:b w:val="0"/>
          <w:i w:val="0"/>
          <w:sz w:val="22"/>
        </w:rPr>
        <w:t>Configuration for up to 3 asset classes</w:t>
      </w:r>
    </w:p>
    <w:p>
      <w:pPr>
        <w:pStyle w:val="ListParagraph"/>
        <w:numPr>
          <w:ilvl w:val="0"/>
          <w:numId w:val="4"/>
        </w:numPr>
      </w:pPr>
      <w:r>
        <w:rPr>
          <w:rFonts w:ascii="Figtree" w:hAnsi="Figtree"/>
          <w:b w:val="0"/>
          <w:i w:val="0"/>
          <w:sz w:val="22"/>
        </w:rPr>
        <w:t>Standard compliance templates (pre-built)</w:t>
      </w:r>
    </w:p>
    <w:p>
      <w:pPr>
        <w:pStyle w:val="ListParagraph"/>
        <w:numPr>
          <w:ilvl w:val="0"/>
          <w:numId w:val="4"/>
        </w:numPr>
      </w:pPr>
      <w:r>
        <w:rPr>
          <w:rFonts w:ascii="Figtree" w:hAnsi="Figtree"/>
          <w:b w:val="0"/>
          <w:i w:val="0"/>
          <w:sz w:val="22"/>
        </w:rPr>
        <w:t>Integration design for up to 5 endpoints</w:t>
      </w:r>
    </w:p>
    <w:p>
      <w:pPr>
        <w:pStyle w:val="ListParagraph"/>
        <w:numPr>
          <w:ilvl w:val="0"/>
          <w:numId w:val="4"/>
        </w:numPr>
      </w:pPr>
      <w:r>
        <w:rPr>
          <w:rFonts w:ascii="Figtree" w:hAnsi="Figtree"/>
          <w:b w:val="0"/>
          <w:i w:val="0"/>
          <w:sz w:val="22"/>
        </w:rPr>
        <w:t>Production deployment</w:t>
      </w:r>
    </w:p>
    <w:p>
      <w:pPr>
        <w:pStyle w:val="ListParagraph"/>
        <w:numPr>
          <w:ilvl w:val="0"/>
          <w:numId w:val="4"/>
        </w:numPr>
      </w:pPr>
      <w:r>
        <w:rPr>
          <w:rFonts w:ascii="Figtree" w:hAnsi="Figtree"/>
          <w:b w:val="0"/>
          <w:i w:val="0"/>
          <w:sz w:val="22"/>
        </w:rPr>
        <w:t>Knowledge transfer programme</w:t>
      </w:r>
    </w:p>
    <w:p>
      <w:pPr>
        <w:pStyle w:val="ListParagraph"/>
        <w:numPr>
          <w:ilvl w:val="0"/>
          <w:numId w:val="4"/>
        </w:numPr>
      </w:pPr>
      <w:r>
        <w:rPr>
          <w:rFonts w:ascii="Figtree" w:hAnsi="Figtree"/>
          <w:b w:val="0"/>
          <w:i w:val="0"/>
          <w:sz w:val="22"/>
        </w:rPr>
        <w:t>4-week hypercare support</w:t>
      </w:r>
    </w:p>
    <w:p>
      <w:pPr>
        <w:pStyle w:val="ListParagraph"/>
        <w:numPr>
          <w:ilvl w:val="0"/>
          <w:numId w:val="4"/>
        </w:numPr>
      </w:pPr>
      <w:r>
        <w:rPr>
          <w:rFonts w:ascii="Figtree" w:hAnsi="Figtree"/>
          <w:b w:val="0"/>
          <w:i w:val="0"/>
          <w:sz w:val="22"/>
        </w:rPr>
        <w:t>Enterprise support for 36 months</w:t>
      </w:r>
    </w:p>
    <w:p>
      <w:pPr>
        <w:pStyle w:val="ListParagraph"/>
        <w:numPr>
          <w:ilvl w:val="0"/>
          <w:numId w:val="4"/>
        </w:numPr>
      </w:pPr>
      <w:r>
        <w:rPr>
          <w:rFonts w:ascii="Figtree" w:hAnsi="Figtree"/>
          <w:b w:val="0"/>
          <w:i w:val="0"/>
          <w:sz w:val="22"/>
        </w:rPr>
        <w:t>All documentation and training materials</w:t>
      </w:r>
    </w:p>
    <w:p>
      <w:r>
        <w:rPr>
          <w:rFonts w:ascii="Figtree" w:hAnsi="Figtree"/>
          <w:b/>
          <w:i w:val="0"/>
          <w:sz w:val="22"/>
        </w:rPr>
        <w:t>Not Included (Available Separately):</w:t>
      </w:r>
    </w:p>
    <w:p>
      <w:pPr>
        <w:pStyle w:val="ListParagraph"/>
        <w:numPr>
          <w:ilvl w:val="0"/>
          <w:numId w:val="4"/>
        </w:numPr>
      </w:pPr>
      <w:r>
        <w:rPr>
          <w:rFonts w:ascii="Figtree" w:hAnsi="Figtree"/>
          <w:b w:val="0"/>
          <w:i w:val="0"/>
          <w:sz w:val="22"/>
        </w:rPr>
        <w:t>Additional asset classes beyond initial scope</w:t>
      </w:r>
    </w:p>
    <w:p>
      <w:pPr>
        <w:pStyle w:val="ListParagraph"/>
        <w:numPr>
          <w:ilvl w:val="0"/>
          <w:numId w:val="4"/>
        </w:numPr>
      </w:pPr>
      <w:r>
        <w:rPr>
          <w:rFonts w:ascii="Figtree" w:hAnsi="Figtree"/>
          <w:b w:val="0"/>
          <w:i w:val="0"/>
          <w:sz w:val="22"/>
        </w:rPr>
        <w:t>Additional integrations beyond 5</w:t>
      </w:r>
    </w:p>
    <w:p>
      <w:pPr>
        <w:pStyle w:val="ListParagraph"/>
        <w:numPr>
          <w:ilvl w:val="0"/>
          <w:numId w:val="4"/>
        </w:numPr>
      </w:pPr>
      <w:r>
        <w:rPr>
          <w:rFonts w:ascii="Figtree" w:hAnsi="Figtree"/>
          <w:b w:val="0"/>
          <w:i w:val="0"/>
          <w:sz w:val="22"/>
        </w:rPr>
        <w:t>Custom compliance module development</w:t>
      </w:r>
    </w:p>
    <w:p>
      <w:pPr>
        <w:pStyle w:val="ListParagraph"/>
        <w:numPr>
          <w:ilvl w:val="0"/>
          <w:numId w:val="4"/>
        </w:numPr>
      </w:pPr>
      <w:r>
        <w:rPr>
          <w:rFonts w:ascii="Figtree" w:hAnsi="Figtree"/>
          <w:b w:val="0"/>
          <w:i w:val="0"/>
          <w:sz w:val="22"/>
        </w:rPr>
        <w:t>Additional jurisdictions</w:t>
      </w:r>
    </w:p>
    <w:p>
      <w:pPr>
        <w:pStyle w:val="ListParagraph"/>
        <w:numPr>
          <w:ilvl w:val="0"/>
          <w:numId w:val="4"/>
        </w:numPr>
      </w:pPr>
      <w:r>
        <w:rPr>
          <w:rFonts w:ascii="Figtree" w:hAnsi="Figtree"/>
          <w:b w:val="0"/>
          <w:i w:val="0"/>
          <w:sz w:val="22"/>
        </w:rPr>
        <w:t>On-site support (travel expenses)</w:t>
      </w:r>
    </w:p>
    <w:p>
      <w:pPr>
        <w:pStyle w:val="ListParagraph"/>
        <w:numPr>
          <w:ilvl w:val="0"/>
          <w:numId w:val="4"/>
        </w:numPr>
      </w:pPr>
      <w:r>
        <w:rPr>
          <w:rFonts w:ascii="Figtree" w:hAnsi="Figtree"/>
          <w:b w:val="0"/>
          <w:i w:val="0"/>
          <w:sz w:val="22"/>
        </w:rPr>
        <w:t>Training for additional users beyond programme</w:t>
      </w:r>
    </w:p>
    <w:p>
      <w:pPr>
        <w:pStyle w:val="ListParagraph"/>
        <w:numPr>
          <w:ilvl w:val="0"/>
          <w:numId w:val="4"/>
        </w:numPr>
      </w:pPr>
      <w:r>
        <w:rPr>
          <w:rFonts w:ascii="Figtree" w:hAnsi="Figtree"/>
          <w:b w:val="0"/>
          <w:i w:val="0"/>
          <w:sz w:val="22"/>
        </w:rPr>
        <w:t>Post-hypercare system optimisation</w:t>
      </w:r>
    </w:p>
    <w:p>
      <w:pPr>
        <w:pStyle w:val="ListParagraph"/>
        <w:numPr>
          <w:ilvl w:val="0"/>
          <w:numId w:val="4"/>
        </w:numPr>
      </w:pPr>
      <w:r>
        <w:rPr>
          <w:rFonts w:ascii="Figtree" w:hAnsi="Figtree"/>
          <w:b w:val="0"/>
          <w:i w:val="0"/>
          <w:sz w:val="22"/>
        </w:rPr>
        <w:t>Custom integration development</w:t>
      </w:r>
    </w:p>
    <w:p>
      <w:r>
        <w:rPr>
          <w:rFonts w:ascii="Figtree" w:hAnsi="Figtree"/>
          <w:b/>
          <w:i w:val="0"/>
          <w:sz w:val="22"/>
        </w:rPr>
        <w:t>Pricing Dependencies:</w:t>
      </w:r>
    </w:p>
    <w:p>
      <w:pPr>
        <w:pStyle w:val="ListParagraph"/>
        <w:numPr>
          <w:ilvl w:val="0"/>
          <w:numId w:val="4"/>
        </w:numPr>
      </w:pPr>
      <w:r>
        <w:rPr>
          <w:rFonts w:ascii="Figtree" w:hAnsi="Figtree"/>
          <w:b w:val="0"/>
          <w:i w:val="0"/>
          <w:sz w:val="22"/>
        </w:rPr>
        <w:t>Final pricing subject to confirmation of scope details during commercial validation</w:t>
      </w:r>
    </w:p>
    <w:p>
      <w:pPr>
        <w:pStyle w:val="ListParagraph"/>
        <w:numPr>
          <w:ilvl w:val="0"/>
          <w:numId w:val="4"/>
        </w:numPr>
      </w:pPr>
      <w:r>
        <w:rPr>
          <w:rFonts w:ascii="Figtree" w:hAnsi="Figtree"/>
          <w:b w:val="0"/>
          <w:i w:val="0"/>
          <w:sz w:val="22"/>
        </w:rPr>
        <w:t>Environment fees may vary based on cloud provider selection and instance sizing</w:t>
      </w:r>
    </w:p>
    <w:p>
      <w:pPr>
        <w:pStyle w:val="ListParagraph"/>
        <w:numPr>
          <w:ilvl w:val="0"/>
          <w:numId w:val="4"/>
        </w:numPr>
      </w:pPr>
      <w:r>
        <w:rPr>
          <w:rFonts w:ascii="Figtree" w:hAnsi="Figtree"/>
          <w:b w:val="0"/>
          <w:i w:val="0"/>
          <w:sz w:val="22"/>
        </w:rPr>
        <w:t>Support fees may vary based on selected tier and user count</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Commercial Proposal</w:t>
      </w:r>
    </w:p>
    <w:p>
      <w:r>
        <w:rPr>
          <w:rFonts w:ascii="Figtree" w:hAnsi="Figtree"/>
          <w:b w:val="0"/>
          <w:i/>
          <w:sz w:val="22"/>
        </w:rPr>
        <w:t>This document is confidential and intended solely for the use of Central Bank of Bahrain.</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Digital Asset Regulatory Platform</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