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Trading And Regulated Market Infrastructure</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1.1 Commercial Overview</w:t>
          </w:r>
          <w:r>
            <w:tab/>
          </w:r>
          <w:r>
            <w:t xml:space="preserve">6</w:t>
          </w:r>
        </w:p>
        <w:p>
          <w:pPr>
            <w:pStyle w:val="TOC2"/>
            <w:tabs>
              <w:tab w:val="right" w:leader="dot" w:pos="9072"/>
            </w:tabs>
          </w:pPr>
          <w:r>
            <w:t xml:space="preserve">1.2 Investment Summary</w:t>
          </w:r>
          <w:r>
            <w:tab/>
          </w:r>
          <w:r>
            <w:t xml:space="preserve">7</w:t>
          </w:r>
        </w:p>
        <w:p>
          <w:pPr>
            <w:pStyle w:val="TOC2"/>
            <w:tabs>
              <w:tab w:val="right" w:leader="dot" w:pos="9072"/>
            </w:tabs>
          </w:pPr>
          <w:r>
            <w:t xml:space="preserve">1.3 Key Commercial Principles</w:t>
          </w:r>
          <w:r>
            <w:tab/>
          </w:r>
          <w:r>
            <w:t xml:space="preserve">8</w:t>
          </w:r>
        </w:p>
        <w:p>
          <w:pPr>
            <w:pStyle w:val="TOC1"/>
            <w:tabs>
              <w:tab w:val="right" w:leader="dot" w:pos="9072"/>
            </w:tabs>
          </w:pPr>
          <w:r>
            <w:t xml:space="preserve">2. Pricing Overview</w:t>
          </w:r>
          <w:r>
            <w:tab/>
          </w:r>
          <w:r>
            <w:t xml:space="preserve">9</w:t>
          </w:r>
        </w:p>
        <w:p>
          <w:pPr>
            <w:pStyle w:val="TOC2"/>
            <w:tabs>
              <w:tab w:val="right" w:leader="dot" w:pos="9072"/>
            </w:tabs>
          </w:pPr>
          <w:r>
            <w:t xml:space="preserve">2.1 Platform Subscription</w:t>
          </w:r>
          <w:r>
            <w:tab/>
          </w:r>
          <w:r>
            <w:t xml:space="preserve">10</w:t>
          </w:r>
        </w:p>
        <w:p>
          <w:pPr>
            <w:pStyle w:val="TOC2"/>
            <w:tabs>
              <w:tab w:val="right" w:leader="dot" w:pos="9072"/>
            </w:tabs>
          </w:pPr>
          <w:r>
            <w:t xml:space="preserve">2.2 Implementation Services</w:t>
          </w:r>
          <w:r>
            <w:tab/>
          </w:r>
          <w:r>
            <w:t xml:space="preserve">11</w:t>
          </w:r>
        </w:p>
        <w:p>
          <w:pPr>
            <w:pStyle w:val="TOC2"/>
            <w:tabs>
              <w:tab w:val="right" w:leader="dot" w:pos="9072"/>
            </w:tabs>
          </w:pPr>
          <w:r>
            <w:t xml:space="preserve">2.3 Support and Maintenance</w:t>
          </w:r>
          <w:r>
            <w:tab/>
          </w:r>
          <w:r>
            <w:t xml:space="preserve">12</w:t>
          </w:r>
        </w:p>
        <w:p>
          <w:pPr>
            <w:pStyle w:val="TOC1"/>
            <w:tabs>
              <w:tab w:val="right" w:leader="dot" w:pos="9072"/>
            </w:tabs>
          </w:pPr>
          <w:r>
            <w:t xml:space="preserve">3. Licensing and Subscription Model</w:t>
          </w:r>
          <w:r>
            <w:tab/>
          </w:r>
          <w:r>
            <w:t xml:space="preserve">13</w:t>
          </w:r>
        </w:p>
        <w:p>
          <w:pPr>
            <w:pStyle w:val="TOC2"/>
            <w:tabs>
              <w:tab w:val="right" w:leader="dot" w:pos="9072"/>
            </w:tabs>
          </w:pPr>
          <w:r>
            <w:t xml:space="preserve">3.1 Subscription Components</w:t>
          </w:r>
          <w:r>
            <w:tab/>
          </w:r>
          <w:r>
            <w:t xml:space="preserve">14</w:t>
          </w:r>
        </w:p>
        <w:p>
          <w:pPr>
            <w:pStyle w:val="TOC2"/>
            <w:tabs>
              <w:tab w:val="right" w:leader="dot" w:pos="9072"/>
            </w:tabs>
          </w:pPr>
          <w:r>
            <w:t xml:space="preserve">3.2 Subscription Term</w:t>
          </w:r>
          <w:r>
            <w:tab/>
          </w:r>
          <w:r>
            <w:t xml:space="preserve">15</w:t>
          </w:r>
        </w:p>
        <w:p>
          <w:pPr>
            <w:pStyle w:val="TOC2"/>
            <w:tabs>
              <w:tab w:val="right" w:leader="dot" w:pos="9072"/>
            </w:tabs>
          </w:pPr>
          <w:r>
            <w:t xml:space="preserve">3.3 Scalability Model</w:t>
          </w:r>
          <w:r>
            <w:tab/>
          </w:r>
          <w:r>
            <w:t xml:space="preserve">16</w:t>
          </w:r>
        </w:p>
        <w:p>
          <w:pPr>
            <w:pStyle w:val="TOC1"/>
            <w:tabs>
              <w:tab w:val="right" w:leader="dot" w:pos="9072"/>
            </w:tabs>
          </w:pPr>
          <w:r>
            <w:t xml:space="preserve">4. Implementation Services</w:t>
          </w:r>
          <w:r>
            <w:tab/>
          </w:r>
          <w:r>
            <w:t xml:space="preserve">17</w:t>
          </w:r>
        </w:p>
        <w:p>
          <w:pPr>
            <w:pStyle w:val="TOC2"/>
            <w:tabs>
              <w:tab w:val="right" w:leader="dot" w:pos="9072"/>
            </w:tabs>
          </w:pPr>
          <w:r>
            <w:t xml:space="preserve">4.1 Implementation Approach</w:t>
          </w:r>
          <w:r>
            <w:tab/>
          </w:r>
          <w:r>
            <w:t xml:space="preserve">18</w:t>
          </w:r>
        </w:p>
        <w:p>
          <w:pPr>
            <w:pStyle w:val="TOC2"/>
            <w:tabs>
              <w:tab w:val="right" w:leader="dot" w:pos="9072"/>
            </w:tabs>
          </w:pPr>
          <w:r>
            <w:t xml:space="preserve">4.2 Resource Requirements</w:t>
          </w:r>
          <w:r>
            <w:tab/>
          </w:r>
          <w:r>
            <w:t xml:space="preserve">19</w:t>
          </w:r>
        </w:p>
        <w:p>
          <w:pPr>
            <w:pStyle w:val="TOC2"/>
            <w:tabs>
              <w:tab w:val="right" w:leader="dot" w:pos="9072"/>
            </w:tabs>
          </w:pPr>
          <w:r>
            <w:t xml:space="preserve">4.3 Implementation Timeline</w:t>
          </w:r>
          <w:r>
            <w:tab/>
          </w:r>
          <w:r>
            <w:t xml:space="preserve">20</w:t>
          </w:r>
        </w:p>
        <w:p>
          <w:pPr>
            <w:pStyle w:val="TOC2"/>
            <w:tabs>
              <w:tab w:val="right" w:leader="dot" w:pos="9072"/>
            </w:tabs>
          </w:pPr>
          <w:r>
            <w:t xml:space="preserve">4.4 Payment Terms</w:t>
          </w:r>
          <w:r>
            <w:tab/>
          </w:r>
          <w:r>
            <w:t xml:space="preserve">21</w:t>
          </w:r>
        </w:p>
        <w:p>
          <w:pPr>
            <w:pStyle w:val="TOC1"/>
            <w:tabs>
              <w:tab w:val="right" w:leader="dot" w:pos="9072"/>
            </w:tabs>
          </w:pPr>
          <w:r>
            <w:t xml:space="preserve">5. Support and Maintenance</w:t>
          </w:r>
          <w:r>
            <w:tab/>
          </w:r>
          <w:r>
            <w:t xml:space="preserve">22</w:t>
          </w:r>
        </w:p>
        <w:p>
          <w:pPr>
            <w:pStyle w:val="TOC2"/>
            <w:tabs>
              <w:tab w:val="right" w:leader="dot" w:pos="9072"/>
            </w:tabs>
          </w:pPr>
          <w:r>
            <w:t xml:space="preserve">5.1 Support Tiers</w:t>
          </w:r>
          <w:r>
            <w:tab/>
          </w:r>
          <w:r>
            <w:t xml:space="preserve">23</w:t>
          </w:r>
        </w:p>
        <w:p>
          <w:pPr>
            <w:pStyle w:val="TOC2"/>
            <w:tabs>
              <w:tab w:val="right" w:leader="dot" w:pos="9072"/>
            </w:tabs>
          </w:pPr>
          <w:r>
            <w:t xml:space="preserve">5.2 Incident Response</w:t>
          </w:r>
          <w:r>
            <w:tab/>
          </w:r>
          <w:r>
            <w:t xml:space="preserve">24</w:t>
          </w:r>
        </w:p>
        <w:p>
          <w:pPr>
            <w:pStyle w:val="TOC2"/>
            <w:tabs>
              <w:tab w:val="right" w:leader="dot" w:pos="9072"/>
            </w:tabs>
          </w:pPr>
          <w:r>
            <w:t xml:space="preserve">5.3 Maintenance Windows</w:t>
          </w:r>
          <w:r>
            <w:tab/>
          </w:r>
          <w:r>
            <w:t xml:space="preserve">25</w:t>
          </w:r>
        </w:p>
        <w:p>
          <w:pPr>
            <w:pStyle w:val="TOC1"/>
            <w:tabs>
              <w:tab w:val="right" w:leader="dot" w:pos="9072"/>
            </w:tabs>
          </w:pPr>
          <w:r>
            <w:t xml:space="preserve">6. Commercial Terms and Conditions</w:t>
          </w:r>
          <w:r>
            <w:tab/>
          </w:r>
          <w:r>
            <w:t xml:space="preserve">26</w:t>
          </w:r>
        </w:p>
        <w:p>
          <w:pPr>
            <w:pStyle w:val="TOC2"/>
            <w:tabs>
              <w:tab w:val="right" w:leader="dot" w:pos="9072"/>
            </w:tabs>
          </w:pPr>
          <w:r>
            <w:t xml:space="preserve">6.1 Pricing Validity</w:t>
          </w:r>
          <w:r>
            <w:tab/>
          </w:r>
          <w:r>
            <w:t xml:space="preserve">27</w:t>
          </w:r>
        </w:p>
        <w:p>
          <w:pPr>
            <w:pStyle w:val="TOC2"/>
            <w:tabs>
              <w:tab w:val="right" w:leader="dot" w:pos="9072"/>
            </w:tabs>
          </w:pPr>
          <w:r>
            <w:t xml:space="preserve">6.2 Payment Terms</w:t>
          </w:r>
          <w:r>
            <w:tab/>
          </w:r>
          <w:r>
            <w:t xml:space="preserve">28</w:t>
          </w:r>
        </w:p>
        <w:p>
          <w:pPr>
            <w:pStyle w:val="TOC2"/>
            <w:tabs>
              <w:tab w:val="right" w:leader="dot" w:pos="9072"/>
            </w:tabs>
          </w:pPr>
          <w:r>
            <w:t xml:space="preserve">6.3 Service Level Agreement</w:t>
          </w:r>
          <w:r>
            <w:tab/>
          </w:r>
          <w:r>
            <w:t xml:space="preserve">29</w:t>
          </w:r>
        </w:p>
        <w:p>
          <w:pPr>
            <w:pStyle w:val="TOC2"/>
            <w:tabs>
              <w:tab w:val="right" w:leader="dot" w:pos="9072"/>
            </w:tabs>
          </w:pPr>
          <w:r>
            <w:t xml:space="preserve">6.4 Intellectual Property</w:t>
          </w:r>
          <w:r>
            <w:tab/>
          </w:r>
          <w:r>
            <w:t xml:space="preserve">30</w:t>
          </w:r>
        </w:p>
        <w:p>
          <w:pPr>
            <w:pStyle w:val="TOC2"/>
            <w:tabs>
              <w:tab w:val="right" w:leader="dot" w:pos="9072"/>
            </w:tabs>
          </w:pPr>
          <w:r>
            <w:t xml:space="preserve">6.5 Confidentiality</w:t>
          </w:r>
          <w:r>
            <w:tab/>
          </w:r>
          <w:r>
            <w:t xml:space="preserve">31</w:t>
          </w:r>
        </w:p>
        <w:p>
          <w:pPr>
            <w:pStyle w:val="TOC2"/>
            <w:tabs>
              <w:tab w:val="right" w:leader="dot" w:pos="9072"/>
            </w:tabs>
          </w:pPr>
          <w:r>
            <w:t xml:space="preserve">6.6 Data Processing</w:t>
          </w:r>
          <w:r>
            <w:tab/>
          </w:r>
          <w:r>
            <w:t xml:space="preserve">32</w:t>
          </w:r>
        </w:p>
        <w:p>
          <w:pPr>
            <w:pStyle w:val="TOC1"/>
            <w:tabs>
              <w:tab w:val="right" w:leader="dot" w:pos="9072"/>
            </w:tabs>
          </w:pPr>
          <w:r>
            <w:t xml:space="preserve">7. Value Proposition and ROI</w:t>
          </w:r>
          <w:r>
            <w:tab/>
          </w:r>
          <w:r>
            <w:t xml:space="preserve">33</w:t>
          </w:r>
        </w:p>
        <w:p>
          <w:pPr>
            <w:pStyle w:val="TOC2"/>
            <w:tabs>
              <w:tab w:val="right" w:leader="dot" w:pos="9072"/>
            </w:tabs>
          </w:pPr>
          <w:r>
            <w:t xml:space="preserve">7.1 Total Cost of Ownership</w:t>
          </w:r>
          <w:r>
            <w:tab/>
          </w:r>
          <w:r>
            <w:t xml:space="preserve">34</w:t>
          </w:r>
        </w:p>
        <w:p>
          <w:pPr>
            <w:pStyle w:val="TOC2"/>
            <w:tabs>
              <w:tab w:val="right" w:leader="dot" w:pos="9072"/>
            </w:tabs>
          </w:pPr>
          <w:r>
            <w:t xml:space="preserve">7.2 Time-to-Market Impact</w:t>
          </w:r>
          <w:r>
            <w:tab/>
          </w:r>
          <w:r>
            <w:t xml:space="preserve">35</w:t>
          </w:r>
        </w:p>
        <w:p>
          <w:pPr>
            <w:pStyle w:val="TOC2"/>
            <w:tabs>
              <w:tab w:val="right" w:leader="dot" w:pos="9072"/>
            </w:tabs>
          </w:pPr>
          <w:r>
            <w:t xml:space="preserve">7.3 Risk Reduction</w:t>
          </w:r>
          <w:r>
            <w:tab/>
          </w:r>
          <w:r>
            <w:t xml:space="preserve">36</w:t>
          </w:r>
        </w:p>
        <w:p>
          <w:pPr>
            <w:pStyle w:val="TOC2"/>
            <w:tabs>
              <w:tab w:val="right" w:leader="dot" w:pos="9072"/>
            </w:tabs>
          </w:pPr>
          <w:r>
            <w:t xml:space="preserve">7.4 Scalability Value</w:t>
          </w:r>
          <w:r>
            <w:tab/>
          </w:r>
          <w:r>
            <w:t xml:space="preserve">37</w:t>
          </w:r>
        </w:p>
        <w:p>
          <w:pPr>
            <w:pStyle w:val="TOC1"/>
            <w:tabs>
              <w:tab w:val="right" w:leader="dot" w:pos="9072"/>
            </w:tabs>
          </w:pPr>
          <w:r>
            <w:t xml:space="preserve">8. Next Steps</w:t>
          </w:r>
          <w:r>
            <w:tab/>
          </w:r>
          <w:r>
            <w:t xml:space="preserve">38</w:t>
          </w:r>
        </w:p>
        <w:p>
          <w:pPr>
            <w:pStyle w:val="TOC2"/>
            <w:tabs>
              <w:tab w:val="right" w:leader="dot" w:pos="9072"/>
            </w:tabs>
          </w:pPr>
          <w:r>
            <w:t xml:space="preserve">8.1 Proposal Clarification</w:t>
          </w:r>
          <w:r>
            <w:tab/>
          </w:r>
          <w:r>
            <w:t xml:space="preserve">39</w:t>
          </w:r>
        </w:p>
        <w:p>
          <w:pPr>
            <w:pStyle w:val="TOC2"/>
            <w:tabs>
              <w:tab w:val="right" w:leader="dot" w:pos="9072"/>
            </w:tabs>
          </w:pPr>
          <w:r>
            <w:t xml:space="preserve">8.2 Commercial Discussion</w:t>
          </w:r>
          <w:r>
            <w:tab/>
          </w:r>
          <w:r>
            <w:t xml:space="preserve">40</w:t>
          </w:r>
        </w:p>
        <w:p>
          <w:pPr>
            <w:pStyle w:val="TOC2"/>
            <w:tabs>
              <w:tab w:val="right" w:leader="dot" w:pos="9072"/>
            </w:tabs>
          </w:pPr>
          <w:r>
            <w:t xml:space="preserve">8.3 Timeline to Contract</w:t>
          </w:r>
          <w:r>
            <w:tab/>
          </w:r>
          <w:r>
            <w:t xml:space="preserve">41</w:t>
          </w:r>
        </w:p>
        <w:p>
          <w:pPr>
            <w:pStyle w:val="TOC1"/>
            <w:tabs>
              <w:tab w:val="right" w:leader="dot" w:pos="9072"/>
            </w:tabs>
          </w:pPr>
          <w:r>
            <w:t xml:space="preserve">Contact Information</w:t>
          </w:r>
          <w:r>
            <w:tab/>
          </w:r>
          <w:r>
            <w:t xml:space="preserve">42</w:t>
          </w:r>
        </w:p>
        <w:p>
          <w:pPr>
            <w:pStyle w:val="TOC1"/>
            <w:tabs>
              <w:tab w:val="right" w:leader="dot" w:pos="9072"/>
            </w:tabs>
          </w:pPr>
          <w:r>
            <w:t xml:space="preserve">Extended Commercial Terms</w:t>
          </w:r>
          <w:r>
            <w:tab/>
          </w:r>
          <w:r>
            <w:t xml:space="preserve">43</w:t>
          </w:r>
        </w:p>
        <w:p>
          <w:pPr>
            <w:pStyle w:val="TOC2"/>
            <w:tabs>
              <w:tab w:val="right" w:leader="dot" w:pos="9072"/>
            </w:tabs>
          </w:pPr>
          <w:r>
            <w:t xml:space="preserve">Detailed Investment Analysis</w:t>
          </w:r>
          <w:r>
            <w:tab/>
          </w:r>
          <w:r>
            <w:t xml:space="preserve">44</w:t>
          </w:r>
        </w:p>
        <w:p>
          <w:pPr>
            <w:pStyle w:val="TOC3"/>
            <w:tabs>
              <w:tab w:val="right" w:leader="dot" w:pos="9072"/>
            </w:tabs>
          </w:pPr>
          <w:r>
            <w:t xml:space="preserve">Value Proposition</w:t>
          </w:r>
          <w:r>
            <w:tab/>
          </w:r>
          <w:r>
            <w:t xml:space="preserve">45</w:t>
          </w:r>
        </w:p>
        <w:p>
          <w:pPr>
            <w:pStyle w:val="TOC3"/>
            <w:tabs>
              <w:tab w:val="right" w:leader="dot" w:pos="9072"/>
            </w:tabs>
          </w:pPr>
          <w:r>
            <w:t xml:space="preserve">Risk Framework</w:t>
          </w:r>
          <w:r>
            <w:tab/>
          </w:r>
          <w:r>
            <w:t xml:space="preserve">46</w:t>
          </w:r>
        </w:p>
        <w:p>
          <w:pPr>
            <w:pStyle w:val="TOC2"/>
            <w:tabs>
              <w:tab w:val="right" w:leader="dot" w:pos="9072"/>
            </w:tabs>
          </w:pPr>
          <w:r>
            <w:t xml:space="preserve">Partnership Framework</w:t>
          </w:r>
          <w:r>
            <w:tab/>
          </w:r>
          <w:r>
            <w:t xml:space="preserve">47</w:t>
          </w:r>
        </w:p>
        <w:p>
          <w:pPr>
            <w:pStyle w:val="TOC2"/>
            <w:tabs>
              <w:tab w:val="right" w:leader="dot" w:pos="9072"/>
            </w:tabs>
          </w:pPr>
          <w:r>
            <w:t xml:space="preserve">Contractual Terms</w:t>
          </w:r>
          <w:r>
            <w:tab/>
          </w:r>
          <w:r>
            <w:t xml:space="preserve">48</w:t>
          </w:r>
        </w:p>
        <w:p>
          <w:pPr>
            <w:pStyle w:val="TOC2"/>
            <w:tabs>
              <w:tab w:val="right" w:leader="dot" w:pos="9072"/>
            </w:tabs>
          </w:pPr>
          <w:r>
            <w:t xml:space="preserve">Implementation Methodology</w:t>
          </w:r>
          <w:r>
            <w:tab/>
          </w:r>
          <w:r>
            <w:t xml:space="preserve">49</w:t>
          </w:r>
        </w:p>
        <w:p>
          <w:pPr>
            <w:pStyle w:val="TOC2"/>
            <w:tabs>
              <w:tab w:val="right" w:leader="dot" w:pos="9072"/>
            </w:tabs>
          </w:pPr>
          <w:r>
            <w:t xml:space="preserve">Financial Terms</w:t>
          </w:r>
          <w:r>
            <w:tab/>
          </w:r>
          <w:r>
            <w:t xml:space="preserve">50</w:t>
          </w:r>
        </w:p>
        <w:p>
          <w:pPr>
            <w:pStyle w:val="TOC1"/>
            <w:tabs>
              <w:tab w:val="right" w:leader="dot" w:pos="9072"/>
            </w:tabs>
          </w:pPr>
          <w:r>
            <w:t xml:space="preserve">Extended Commercial Terms</w:t>
          </w:r>
          <w:r>
            <w:tab/>
          </w:r>
          <w:r>
            <w:t xml:space="preserve">51</w:t>
          </w:r>
        </w:p>
        <w:p>
          <w:pPr>
            <w:pStyle w:val="TOC2"/>
            <w:tabs>
              <w:tab w:val="right" w:leader="dot" w:pos="9072"/>
            </w:tabs>
          </w:pPr>
          <w:r>
            <w:t xml:space="preserve">Detailed Investment Analysis</w:t>
          </w:r>
          <w:r>
            <w:tab/>
          </w:r>
          <w:r>
            <w:t xml:space="preserve">52</w:t>
          </w:r>
        </w:p>
        <w:p>
          <w:pPr>
            <w:pStyle w:val="TOC3"/>
            <w:tabs>
              <w:tab w:val="right" w:leader="dot" w:pos="9072"/>
            </w:tabs>
          </w:pPr>
          <w:r>
            <w:t xml:space="preserve">Value Proposition</w:t>
          </w:r>
          <w:r>
            <w:tab/>
          </w:r>
          <w:r>
            <w:t xml:space="preserve">53</w:t>
          </w:r>
        </w:p>
        <w:p>
          <w:pPr>
            <w:pStyle w:val="TOC3"/>
            <w:tabs>
              <w:tab w:val="right" w:leader="dot" w:pos="9072"/>
            </w:tabs>
          </w:pPr>
          <w:r>
            <w:t xml:space="preserve">Risk Framework</w:t>
          </w:r>
          <w:r>
            <w:tab/>
          </w:r>
          <w:r>
            <w:t xml:space="preserve">54</w:t>
          </w:r>
        </w:p>
        <w:p>
          <w:pPr>
            <w:pStyle w:val="TOC2"/>
            <w:tabs>
              <w:tab w:val="right" w:leader="dot" w:pos="9072"/>
            </w:tabs>
          </w:pPr>
          <w:r>
            <w:t xml:space="preserve">Partnership Framework</w:t>
          </w:r>
          <w:r>
            <w:tab/>
          </w:r>
          <w:r>
            <w:t xml:space="preserve">55</w:t>
          </w:r>
        </w:p>
        <w:p>
          <w:pPr>
            <w:pStyle w:val="TOC2"/>
            <w:tabs>
              <w:tab w:val="right" w:leader="dot" w:pos="9072"/>
            </w:tabs>
          </w:pPr>
          <w:r>
            <w:t xml:space="preserve">Contractual Terms</w:t>
          </w:r>
          <w:r>
            <w:tab/>
          </w:r>
          <w:r>
            <w:t xml:space="preserve">56</w:t>
          </w:r>
        </w:p>
        <w:p>
          <w:pPr>
            <w:pStyle w:val="TOC2"/>
            <w:tabs>
              <w:tab w:val="right" w:leader="dot" w:pos="9072"/>
            </w:tabs>
          </w:pPr>
          <w:r>
            <w:t xml:space="preserve">Implementation Methodology</w:t>
          </w:r>
          <w:r>
            <w:tab/>
          </w:r>
          <w:r>
            <w:t xml:space="preserve">57</w:t>
          </w:r>
        </w:p>
        <w:p>
          <w:pPr>
            <w:pStyle w:val="TOC2"/>
            <w:tabs>
              <w:tab w:val="right" w:leader="dot" w:pos="9072"/>
            </w:tabs>
          </w:pPr>
          <w:r>
            <w:t xml:space="preserve">Financial Terms</w:t>
          </w:r>
          <w:r>
            <w:tab/>
          </w:r>
          <w:r>
            <w:t xml:space="preserve">58</w:t>
          </w:r>
        </w:p>
        <w:p>
          <w:pPr>
            <w:pStyle w:val="TOC1"/>
            <w:tabs>
              <w:tab w:val="right" w:leader="dot" w:pos="9072"/>
            </w:tabs>
          </w:pPr>
          <w:r>
            <w:t xml:space="preserve">Comprehensive Commercial Documentation</w:t>
          </w:r>
          <w:r>
            <w:tab/>
          </w:r>
          <w:r>
            <w:t xml:space="preserve">59</w:t>
          </w:r>
        </w:p>
        <w:p>
          <w:pPr>
            <w:pStyle w:val="TOC2"/>
            <w:tabs>
              <w:tab w:val="right" w:leader="dot" w:pos="9072"/>
            </w:tabs>
          </w:pPr>
          <w:r>
            <w:t xml:space="preserve">Executive Investment Summary</w:t>
          </w:r>
          <w:r>
            <w:tab/>
          </w:r>
          <w:r>
            <w:t xml:space="preserve">60</w:t>
          </w:r>
        </w:p>
        <w:p>
          <w:pPr>
            <w:pStyle w:val="TOC3"/>
            <w:tabs>
              <w:tab w:val="right" w:leader="dot" w:pos="9072"/>
            </w:tabs>
          </w:pPr>
          <w:r>
            <w:t xml:space="preserve">Strategic Investment Overview</w:t>
          </w:r>
          <w:r>
            <w:tab/>
          </w:r>
          <w:r>
            <w:t xml:space="preserve">61</w:t>
          </w:r>
        </w:p>
        <w:p>
          <w:pPr>
            <w:pStyle w:val="TOC3"/>
            <w:tabs>
              <w:tab w:val="right" w:leader="dot" w:pos="9072"/>
            </w:tabs>
          </w:pPr>
          <w:r>
            <w:t xml:space="preserve">Three-Year Investment Trajectory</w:t>
          </w:r>
          <w:r>
            <w:tab/>
          </w:r>
          <w:r>
            <w:t xml:space="preserve">62</w:t>
          </w:r>
        </w:p>
        <w:p>
          <w:pPr>
            <w:pStyle w:val="TOC3"/>
            <w:tabs>
              <w:tab w:val="right" w:leader="dot" w:pos="9072"/>
            </w:tabs>
          </w:pPr>
          <w:r>
            <w:t xml:space="preserve">Return on Investment Framework</w:t>
          </w:r>
          <w:r>
            <w:tab/>
          </w:r>
          <w:r>
            <w:t xml:space="preserve">63</w:t>
          </w:r>
        </w:p>
        <w:p>
          <w:pPr>
            <w:pStyle w:val="TOC2"/>
            <w:tabs>
              <w:tab w:val="right" w:leader="dot" w:pos="9072"/>
            </w:tabs>
          </w:pPr>
          <w:r>
            <w:t xml:space="preserve">Detailed Commercial Terms</w:t>
          </w:r>
          <w:r>
            <w:tab/>
          </w:r>
          <w:r>
            <w:t xml:space="preserve">64</w:t>
          </w:r>
        </w:p>
        <w:p>
          <w:pPr>
            <w:pStyle w:val="TOC3"/>
            <w:tabs>
              <w:tab w:val="right" w:leader="dot" w:pos="9072"/>
            </w:tabs>
          </w:pPr>
          <w:r>
            <w:t xml:space="preserve">Platform Subscription Model</w:t>
          </w:r>
          <w:r>
            <w:tab/>
          </w:r>
          <w:r>
            <w:t xml:space="preserve">65</w:t>
          </w:r>
        </w:p>
        <w:p>
          <w:pPr>
            <w:pStyle w:val="TOC3"/>
            <w:tabs>
              <w:tab w:val="right" w:leader="dot" w:pos="9072"/>
            </w:tabs>
          </w:pPr>
          <w:r>
            <w:t xml:space="preserve">Implementation Services Pricing</w:t>
          </w:r>
          <w:r>
            <w:tab/>
          </w:r>
          <w:r>
            <w:t xml:space="preserve">66</w:t>
          </w:r>
        </w:p>
        <w:p>
          <w:pPr>
            <w:pStyle w:val="TOC3"/>
            <w:tabs>
              <w:tab w:val="right" w:leader="dot" w:pos="9072"/>
            </w:tabs>
          </w:pPr>
          <w:r>
            <w:t xml:space="preserve">Support and Maintenance Structure</w:t>
          </w:r>
          <w:r>
            <w:tab/>
          </w:r>
          <w:r>
            <w:t xml:space="preserve">67</w:t>
          </w:r>
        </w:p>
        <w:p>
          <w:pPr>
            <w:pStyle w:val="TOC2"/>
            <w:tabs>
              <w:tab w:val="right" w:leader="dot" w:pos="9072"/>
            </w:tabs>
          </w:pPr>
          <w:r>
            <w:t xml:space="preserve">Partnership and Governance Framework</w:t>
          </w:r>
          <w:r>
            <w:tab/>
          </w:r>
          <w:r>
            <w:t xml:space="preserve">68</w:t>
          </w:r>
        </w:p>
        <w:p>
          <w:pPr>
            <w:pStyle w:val="TOC3"/>
            <w:tabs>
              <w:tab w:val="right" w:leader="dot" w:pos="9072"/>
            </w:tabs>
          </w:pPr>
          <w:r>
            <w:t xml:space="preserve">Strategic Partnership Principles</w:t>
          </w:r>
          <w:r>
            <w:tab/>
          </w:r>
          <w:r>
            <w:t xml:space="preserve">69</w:t>
          </w:r>
        </w:p>
        <w:p>
          <w:pPr>
            <w:pStyle w:val="TOC3"/>
            <w:tabs>
              <w:tab w:val="right" w:leader="dot" w:pos="9072"/>
            </w:tabs>
          </w:pPr>
          <w:r>
            <w:t xml:space="preserve">Governance Structure</w:t>
          </w:r>
          <w:r>
            <w:tab/>
          </w:r>
          <w:r>
            <w:t xml:space="preserve">70</w:t>
          </w:r>
        </w:p>
        <w:p>
          <w:pPr>
            <w:pStyle w:val="TOC3"/>
            <w:tabs>
              <w:tab w:val="right" w:leader="dot" w:pos="9072"/>
            </w:tabs>
          </w:pPr>
          <w:r>
            <w:t xml:space="preserve">Success Metrics</w:t>
          </w:r>
          <w:r>
            <w:tab/>
          </w:r>
          <w:r>
            <w:t xml:space="preserve">71</w:t>
          </w:r>
        </w:p>
        <w:p>
          <w:pPr>
            <w:pStyle w:val="TOC2"/>
            <w:tabs>
              <w:tab w:val="right" w:leader="dot" w:pos="9072"/>
            </w:tabs>
          </w:pPr>
          <w:r>
            <w:t xml:space="preserve">Risk Management and Mitigation</w:t>
          </w:r>
          <w:r>
            <w:tab/>
          </w:r>
          <w:r>
            <w:t xml:space="preserve">72</w:t>
          </w:r>
        </w:p>
        <w:p>
          <w:pPr>
            <w:pStyle w:val="TOC3"/>
            <w:tabs>
              <w:tab w:val="right" w:leader="dot" w:pos="9072"/>
            </w:tabs>
          </w:pPr>
          <w:r>
            <w:t xml:space="preserve">Commercial Risk Assessment</w:t>
          </w:r>
          <w:r>
            <w:tab/>
          </w:r>
          <w:r>
            <w:t xml:space="preserve">73</w:t>
          </w:r>
        </w:p>
        <w:p>
          <w:pPr>
            <w:pStyle w:val="TOC3"/>
            <w:tabs>
              <w:tab w:val="right" w:leader="dot" w:pos="9072"/>
            </w:tabs>
          </w:pPr>
          <w:r>
            <w:t xml:space="preserve">Risk Allocation Principles</w:t>
          </w:r>
          <w:r>
            <w:tab/>
          </w:r>
          <w:r>
            <w:t xml:space="preserve">74</w:t>
          </w:r>
        </w:p>
        <w:p>
          <w:pPr>
            <w:pStyle w:val="TOC2"/>
            <w:tabs>
              <w:tab w:val="right" w:leader="dot" w:pos="9072"/>
            </w:tabs>
          </w:pPr>
          <w:r>
            <w:t xml:space="preserve">Contractual Framework and Terms</w:t>
          </w:r>
          <w:r>
            <w:tab/>
          </w:r>
          <w:r>
            <w:t xml:space="preserve">75</w:t>
          </w:r>
        </w:p>
        <w:p>
          <w:pPr>
            <w:pStyle w:val="TOC3"/>
            <w:tabs>
              <w:tab w:val="right" w:leader="dot" w:pos="9072"/>
            </w:tabs>
          </w:pPr>
          <w:r>
            <w:t xml:space="preserve">Master Service Agreement Overview</w:t>
          </w:r>
          <w:r>
            <w:tab/>
          </w:r>
          <w:r>
            <w:t xml:space="preserve">76</w:t>
          </w:r>
        </w:p>
        <w:p>
          <w:pPr>
            <w:pStyle w:val="TOC3"/>
            <w:tabs>
              <w:tab w:val="right" w:leader="dot" w:pos="9072"/>
            </w:tabs>
          </w:pPr>
          <w:r>
            <w:t xml:space="preserve">Service Level Agreement Commitments</w:t>
          </w:r>
          <w:r>
            <w:tab/>
          </w:r>
          <w:r>
            <w:t xml:space="preserve">77</w:t>
          </w:r>
        </w:p>
        <w:p>
          <w:pPr>
            <w:pStyle w:val="TOC3"/>
            <w:tabs>
              <w:tab w:val="right" w:leader="dot" w:pos="9072"/>
            </w:tabs>
          </w:pPr>
          <w:r>
            <w:t xml:space="preserve">Change Management Procedures</w:t>
          </w:r>
          <w:r>
            <w:tab/>
          </w:r>
          <w:r>
            <w:t xml:space="preserve">78</w:t>
          </w:r>
        </w:p>
        <w:p>
          <w:pPr>
            <w:pStyle w:val="TOC2"/>
            <w:tabs>
              <w:tab w:val="right" w:leader="dot" w:pos="9072"/>
            </w:tabs>
          </w:pPr>
          <w:r>
            <w:t xml:space="preserve">Implementation Methodology and Timeline</w:t>
          </w:r>
          <w:r>
            <w:tab/>
          </w:r>
          <w:r>
            <w:t xml:space="preserve">79</w:t>
          </w:r>
        </w:p>
        <w:p>
          <w:pPr>
            <w:pStyle w:val="TOC3"/>
            <w:tabs>
              <w:tab w:val="right" w:leader="dot" w:pos="9072"/>
            </w:tabs>
          </w:pPr>
          <w:r>
            <w:t xml:space="preserve">Phase-Gate Implementation Model</w:t>
          </w:r>
          <w:r>
            <w:tab/>
          </w:r>
          <w:r>
            <w:t xml:space="preserve">80</w:t>
          </w:r>
        </w:p>
        <w:p>
          <w:pPr>
            <w:pStyle w:val="TOC3"/>
            <w:tabs>
              <w:tab w:val="right" w:leader="dot" w:pos="9072"/>
            </w:tabs>
          </w:pPr>
          <w:r>
            <w:t xml:space="preserve">Timeline and Dependencies</w:t>
          </w:r>
          <w:r>
            <w:tab/>
          </w:r>
          <w:r>
            <w:t xml:space="preserve">81</w:t>
          </w:r>
        </w:p>
        <w:p>
          <w:pPr>
            <w:pStyle w:val="TOC1"/>
            <w:tabs>
              <w:tab w:val="right" w:leader="dot" w:pos="9072"/>
            </w:tabs>
          </w:pPr>
          <w:r>
            <w:t xml:space="preserve">Extended Commercial Documentation</w:t>
          </w:r>
          <w:r>
            <w:tab/>
          </w:r>
          <w:r>
            <w:t xml:space="preserve">82</w:t>
          </w:r>
        </w:p>
        <w:p>
          <w:pPr>
            <w:pStyle w:val="TOC2"/>
            <w:tabs>
              <w:tab w:val="right" w:leader="dot" w:pos="9072"/>
            </w:tabs>
          </w:pPr>
          <w:r>
            <w:t xml:space="preserve">Value Realization Framework</w:t>
          </w:r>
          <w:r>
            <w:tab/>
          </w:r>
          <w:r>
            <w:t xml:space="preserve">83</w:t>
          </w:r>
        </w:p>
        <w:p>
          <w:pPr>
            <w:pStyle w:val="TOC3"/>
            <w:tabs>
              <w:tab w:val="right" w:leader="dot" w:pos="9072"/>
            </w:tabs>
          </w:pPr>
          <w:r>
            <w:t xml:space="preserve">Short-Term Value (0-12 months)</w:t>
          </w:r>
          <w:r>
            <w:tab/>
          </w:r>
          <w:r>
            <w:t xml:space="preserve">84</w:t>
          </w:r>
        </w:p>
        <w:p>
          <w:pPr>
            <w:pStyle w:val="TOC3"/>
            <w:tabs>
              <w:tab w:val="right" w:leader="dot" w:pos="9072"/>
            </w:tabs>
          </w:pPr>
          <w:r>
            <w:t xml:space="preserve">Medium-Term Value (12-24 months)</w:t>
          </w:r>
          <w:r>
            <w:tab/>
          </w:r>
          <w:r>
            <w:t xml:space="preserve">85</w:t>
          </w:r>
        </w:p>
        <w:p>
          <w:pPr>
            <w:pStyle w:val="TOC3"/>
            <w:tabs>
              <w:tab w:val="right" w:leader="dot" w:pos="9072"/>
            </w:tabs>
          </w:pPr>
          <w:r>
            <w:t xml:space="preserve">Long-Term Value (24+ months)</w:t>
          </w:r>
          <w:r>
            <w:tab/>
          </w:r>
          <w:r>
            <w:t xml:space="preserve">86</w:t>
          </w:r>
        </w:p>
        <w:p>
          <w:pPr>
            <w:pStyle w:val="TOC2"/>
            <w:tabs>
              <w:tab w:val="right" w:leader="dot" w:pos="9072"/>
            </w:tabs>
          </w:pPr>
          <w:r>
            <w:t xml:space="preserve">Pricing Model Flexibility</w:t>
          </w:r>
          <w:r>
            <w:tab/>
          </w:r>
          <w:r>
            <w:t xml:space="preserve">87</w:t>
          </w:r>
        </w:p>
        <w:p>
          <w:pPr>
            <w:pStyle w:val="TOC3"/>
            <w:tabs>
              <w:tab w:val="right" w:leader="dot" w:pos="9072"/>
            </w:tabs>
          </w:pPr>
          <w:r>
            <w:t xml:space="preserve">Usage-Based Considerations</w:t>
          </w:r>
          <w:r>
            <w:tab/>
          </w:r>
          <w:r>
            <w:t xml:space="preserve">88</w:t>
          </w:r>
        </w:p>
        <w:p>
          <w:pPr>
            <w:pStyle w:val="TOC3"/>
            <w:tabs>
              <w:tab w:val="right" w:leader="dot" w:pos="9072"/>
            </w:tabs>
          </w:pPr>
          <w:r>
            <w:t xml:space="preserve">Enterprise Agreement Options</w:t>
          </w:r>
          <w:r>
            <w:tab/>
          </w:r>
          <w:r>
            <w:t xml:space="preserve">89</w:t>
          </w:r>
        </w:p>
        <w:p>
          <w:pPr>
            <w:pStyle w:val="TOC2"/>
            <w:tabs>
              <w:tab w:val="right" w:leader="dot" w:pos="9072"/>
            </w:tabs>
          </w:pPr>
          <w:r>
            <w:t xml:space="preserve">Commercial Risk Sharing</w:t>
          </w:r>
          <w:r>
            <w:tab/>
          </w:r>
          <w:r>
            <w:t xml:space="preserve">90</w:t>
          </w:r>
        </w:p>
        <w:p>
          <w:pPr>
            <w:pStyle w:val="TOC3"/>
            <w:tabs>
              <w:tab w:val="right" w:leader="dot" w:pos="9072"/>
            </w:tabs>
          </w:pPr>
          <w:r>
            <w:t xml:space="preserve">Shared Investment Model</w:t>
          </w:r>
          <w:r>
            <w:tab/>
          </w:r>
          <w:r>
            <w:t xml:space="preserve">91</w:t>
          </w:r>
        </w:p>
        <w:p>
          <w:pPr>
            <w:pStyle w:val="TOC3"/>
            <w:tabs>
              <w:tab w:val="right" w:leader="dot" w:pos="9072"/>
            </w:tabs>
          </w:pPr>
          <w:r>
            <w:t xml:space="preserve">Performance Guarantees</w:t>
          </w:r>
          <w:r>
            <w:tab/>
          </w:r>
          <w:r>
            <w:t xml:space="preserve">92</w:t>
          </w:r>
        </w:p>
        <w:p>
          <w:pPr>
            <w:pStyle w:val="TOC1"/>
            <w:tabs>
              <w:tab w:val="right" w:leader="dot" w:pos="9072"/>
            </w:tabs>
          </w:pPr>
          <w:r>
            <w:t xml:space="preserve">Contract Negotiation Framework</w:t>
          </w:r>
          <w:r>
            <w:tab/>
          </w:r>
          <w:r>
            <w:t xml:space="preserve">93</w:t>
          </w:r>
        </w:p>
        <w:p>
          <w:pPr>
            <w:pStyle w:val="TOC2"/>
            <w:tabs>
              <w:tab w:val="right" w:leader="dot" w:pos="9072"/>
            </w:tabs>
          </w:pPr>
          <w:r>
            <w:t xml:space="preserve">Negotiable Elements</w:t>
          </w:r>
          <w:r>
            <w:tab/>
          </w:r>
          <w:r>
            <w:t xml:space="preserve">94</w:t>
          </w:r>
        </w:p>
        <w:p>
          <w:pPr>
            <w:pStyle w:val="TOC2"/>
            <w:tabs>
              <w:tab w:val="right" w:leader="dot" w:pos="9072"/>
            </w:tabs>
          </w:pPr>
          <w:r>
            <w:t xml:space="preserve">Non-Negotiable Elements</w:t>
          </w:r>
          <w:r>
            <w:tab/>
          </w:r>
          <w:r>
            <w:t xml:space="preserve">95</w:t>
          </w:r>
        </w:p>
        <w:p>
          <w:pPr>
            <w:pStyle w:val="TOC2"/>
            <w:tabs>
              <w:tab w:val="right" w:leader="dot" w:pos="9072"/>
            </w:tabs>
          </w:pPr>
          <w:r>
            <w:t xml:space="preserve">Approval Process</w:t>
          </w:r>
          <w:r>
            <w:tab/>
          </w:r>
          <w:r>
            <w:t xml:space="preserve">96</w:t>
          </w:r>
        </w:p>
        <w:p>
          <w:pPr>
            <w:pStyle w:val="TOC1"/>
            <w:tabs>
              <w:tab w:val="right" w:leader="dot" w:pos="9072"/>
            </w:tabs>
          </w:pPr>
          <w:r>
            <w:t xml:space="preserve">Comprehensive Commercial Appendix</w:t>
          </w:r>
          <w:r>
            <w:tab/>
          </w:r>
          <w:r>
            <w:t xml:space="preserve">97</w:t>
          </w:r>
        </w:p>
        <w:p>
          <w:pPr>
            <w:pStyle w:val="TOC2"/>
            <w:tabs>
              <w:tab w:val="right" w:leader="dot" w:pos="9072"/>
            </w:tabs>
          </w:pPr>
          <w:r>
            <w:t xml:space="preserve">A. Detailed Pricing Methodology</w:t>
          </w:r>
          <w:r>
            <w:tab/>
          </w:r>
          <w:r>
            <w:t xml:space="preserve">98</w:t>
          </w:r>
        </w:p>
        <w:p>
          <w:pPr>
            <w:pStyle w:val="TOC2"/>
            <w:tabs>
              <w:tab w:val="right" w:leader="dot" w:pos="9072"/>
            </w:tabs>
          </w:pPr>
          <w:r>
            <w:t xml:space="preserve">B. Implementation Investment Details</w:t>
          </w:r>
          <w:r>
            <w:tab/>
          </w:r>
          <w:r>
            <w:t xml:space="preserve">99</w:t>
          </w:r>
        </w:p>
        <w:p>
          <w:pPr>
            <w:pStyle w:val="TOC2"/>
            <w:tabs>
              <w:tab w:val="right" w:leader="dot" w:pos="9072"/>
            </w:tabs>
          </w:pPr>
          <w:r>
            <w:t xml:space="preserve">C. Support Tier Comparison</w:t>
          </w:r>
          <w:r>
            <w:tab/>
          </w:r>
          <w:r>
            <w:t xml:space="preserve">100</w:t>
          </w:r>
        </w:p>
        <w:p>
          <w:pPr>
            <w:pStyle w:val="TOC2"/>
            <w:tabs>
              <w:tab w:val="right" w:leader="dot" w:pos="9072"/>
            </w:tabs>
          </w:pPr>
          <w:r>
            <w:t xml:space="preserve">D. Contract Terms</w:t>
          </w:r>
          <w:r>
            <w:tab/>
          </w:r>
          <w:r>
            <w:t xml:space="preserve">101</w:t>
          </w:r>
        </w:p>
        <w:p>
          <w:pPr>
            <w:pStyle w:val="TOC2"/>
            <w:tabs>
              <w:tab w:val="right" w:leader="dot" w:pos="9072"/>
            </w:tabs>
          </w:pPr>
          <w:r>
            <w:t xml:space="preserve">E. Payment Procedures</w:t>
          </w:r>
          <w:r>
            <w:tab/>
          </w:r>
          <w:r>
            <w:t xml:space="preserve">102</w:t>
          </w:r>
        </w:p>
        <w:p>
          <w:pPr>
            <w:pStyle w:val="TOC1"/>
            <w:tabs>
              <w:tab w:val="right" w:leader="dot" w:pos="9072"/>
            </w:tabs>
          </w:pPr>
          <w:r>
            <w:t xml:space="preserve">Detailed Commercial Specifications</w:t>
          </w:r>
          <w:r>
            <w:tab/>
          </w:r>
          <w:r>
            <w:t xml:space="preserve">103</w:t>
          </w:r>
        </w:p>
        <w:p>
          <w:pPr>
            <w:pStyle w:val="TOC2"/>
            <w:tabs>
              <w:tab w:val="right" w:leader="dot" w:pos="9072"/>
            </w:tabs>
          </w:pPr>
          <w:r>
            <w:t xml:space="preserve">Investment Components Breakdown</w:t>
          </w:r>
          <w:r>
            <w:tab/>
          </w:r>
          <w:r>
            <w:t xml:space="preserve">104</w:t>
          </w:r>
        </w:p>
        <w:p>
          <w:pPr>
            <w:pStyle w:val="TOC3"/>
            <w:tabs>
              <w:tab w:val="right" w:leader="dot" w:pos="9072"/>
            </w:tabs>
          </w:pPr>
          <w:r>
            <w:t xml:space="preserve">Platform License Investment</w:t>
          </w:r>
          <w:r>
            <w:tab/>
          </w:r>
          <w:r>
            <w:t xml:space="preserve">105</w:t>
          </w:r>
        </w:p>
        <w:p>
          <w:pPr>
            <w:pStyle w:val="TOC3"/>
            <w:tabs>
              <w:tab w:val="right" w:leader="dot" w:pos="9072"/>
            </w:tabs>
          </w:pPr>
          <w:r>
            <w:t xml:space="preserve">Professional Services Investment</w:t>
          </w:r>
          <w:r>
            <w:tab/>
          </w:r>
          <w:r>
            <w:t xml:space="preserve">106</w:t>
          </w:r>
        </w:p>
        <w:p>
          <w:pPr>
            <w:pStyle w:val="TOC3"/>
            <w:tabs>
              <w:tab w:val="right" w:leader="dot" w:pos="9072"/>
            </w:tabs>
          </w:pPr>
          <w:r>
            <w:t xml:space="preserve">Training Investment</w:t>
          </w:r>
          <w:r>
            <w:tab/>
          </w:r>
          <w:r>
            <w:t xml:space="preserve">107</w:t>
          </w:r>
        </w:p>
        <w:p>
          <w:pPr>
            <w:pStyle w:val="TOC2"/>
            <w:tabs>
              <w:tab w:val="right" w:leader="dot" w:pos="9072"/>
            </w:tabs>
          </w:pPr>
          <w:r>
            <w:t xml:space="preserve">Value Delivery Framework</w:t>
          </w:r>
          <w:r>
            <w:tab/>
          </w:r>
          <w:r>
            <w:t xml:space="preserve">108</w:t>
          </w:r>
        </w:p>
        <w:p>
          <w:pPr>
            <w:pStyle w:val="TOC3"/>
            <w:tabs>
              <w:tab w:val="right" w:leader="dot" w:pos="9072"/>
            </w:tabs>
          </w:pPr>
          <w:r>
            <w:t xml:space="preserve">Operational Value</w:t>
          </w:r>
          <w:r>
            <w:tab/>
          </w:r>
          <w:r>
            <w:t xml:space="preserve">109</w:t>
          </w:r>
        </w:p>
        <w:p>
          <w:pPr>
            <w:pStyle w:val="TOC3"/>
            <w:tabs>
              <w:tab w:val="right" w:leader="dot" w:pos="9072"/>
            </w:tabs>
          </w:pPr>
          <w:r>
            <w:t xml:space="preserve">Strategic Value</w:t>
          </w:r>
          <w:r>
            <w:tab/>
          </w:r>
          <w:r>
            <w:t xml:space="preserve">110</w:t>
          </w:r>
        </w:p>
        <w:p>
          <w:pPr>
            <w:pStyle w:val="TOC3"/>
            <w:tabs>
              <w:tab w:val="right" w:leader="dot" w:pos="9072"/>
            </w:tabs>
          </w:pPr>
          <w:r>
            <w:t xml:space="preserve">Financial Value</w:t>
          </w:r>
          <w:r>
            <w:tab/>
          </w:r>
          <w:r>
            <w:t xml:space="preserve">111</w:t>
          </w:r>
        </w:p>
        <w:p>
          <w:pPr>
            <w:pStyle w:val="TOC2"/>
            <w:tabs>
              <w:tab w:val="right" w:leader="dot" w:pos="9072"/>
            </w:tabs>
          </w:pPr>
          <w:r>
            <w:t xml:space="preserve">Risk Management Framework</w:t>
          </w:r>
          <w:r>
            <w:tab/>
          </w:r>
          <w:r>
            <w:t xml:space="preserve">112</w:t>
          </w:r>
        </w:p>
        <w:p>
          <w:pPr>
            <w:pStyle w:val="TOC3"/>
            <w:tabs>
              <w:tab w:val="right" w:leader="dot" w:pos="9072"/>
            </w:tabs>
          </w:pPr>
          <w:r>
            <w:t xml:space="preserve">Commercial Risk Assessment</w:t>
          </w:r>
          <w:r>
            <w:tab/>
          </w:r>
          <w:r>
            <w:t xml:space="preserve">113</w:t>
          </w:r>
        </w:p>
        <w:p>
          <w:pPr>
            <w:pStyle w:val="TOC3"/>
            <w:tabs>
              <w:tab w:val="right" w:leader="dot" w:pos="9072"/>
            </w:tabs>
          </w:pPr>
          <w:r>
            <w:t xml:space="preserve">Mitigation Strategies</w:t>
          </w:r>
          <w:r>
            <w:tab/>
          </w:r>
          <w:r>
            <w:t xml:space="preserve">114</w:t>
          </w:r>
        </w:p>
        <w:p>
          <w:pPr>
            <w:pStyle w:val="TOC2"/>
            <w:tabs>
              <w:tab w:val="right" w:leader="dot" w:pos="9072"/>
            </w:tabs>
          </w:pPr>
          <w:r>
            <w:t xml:space="preserve">Contractual Framework</w:t>
          </w:r>
          <w:r>
            <w:tab/>
          </w:r>
          <w:r>
            <w:t xml:space="preserve">115</w:t>
          </w:r>
        </w:p>
        <w:p>
          <w:pPr>
            <w:pStyle w:val="TOC3"/>
            <w:tabs>
              <w:tab w:val="right" w:leader="dot" w:pos="9072"/>
            </w:tabs>
          </w:pPr>
          <w:r>
            <w:t xml:space="preserve">Agreement Structure</w:t>
          </w:r>
          <w:r>
            <w:tab/>
          </w:r>
          <w:r>
            <w:t xml:space="preserve">116</w:t>
          </w:r>
        </w:p>
        <w:p>
          <w:pPr>
            <w:pStyle w:val="TOC3"/>
            <w:tabs>
              <w:tab w:val="right" w:leader="dot" w:pos="9072"/>
            </w:tabs>
          </w:pPr>
          <w:r>
            <w:t xml:space="preserve">Key Provisions</w:t>
          </w:r>
          <w:r>
            <w:tab/>
          </w:r>
          <w:r>
            <w:t xml:space="preserve">117</w:t>
          </w:r>
        </w:p>
        <w:p>
          <w:pPr>
            <w:pStyle w:val="TOC3"/>
            <w:tabs>
              <w:tab w:val="right" w:leader="dot" w:pos="9072"/>
            </w:tabs>
          </w:pPr>
          <w:r>
            <w:t xml:space="preserve">Termination Provisions</w:t>
          </w:r>
          <w:r>
            <w:tab/>
          </w:r>
          <w:r>
            <w:t xml:space="preserve">118</w:t>
          </w:r>
        </w:p>
        <w:p>
          <w:pPr>
            <w:pStyle w:val="TOC1"/>
            <w:tabs>
              <w:tab w:val="right" w:leader="dot" w:pos="9072"/>
            </w:tabs>
          </w:pPr>
          <w:r>
            <w:t xml:space="preserve">Implementation and Support Details</w:t>
          </w:r>
          <w:r>
            <w:tab/>
          </w:r>
          <w:r>
            <w:t xml:space="preserve">119</w:t>
          </w:r>
        </w:p>
        <w:p>
          <w:pPr>
            <w:pStyle w:val="TOC2"/>
            <w:tabs>
              <w:tab w:val="right" w:leader="dot" w:pos="9072"/>
            </w:tabs>
          </w:pPr>
          <w:r>
            <w:t xml:space="preserve">Project Governance</w:t>
          </w:r>
          <w:r>
            <w:tab/>
          </w:r>
          <w:r>
            <w:t xml:space="preserve">120</w:t>
          </w:r>
        </w:p>
        <w:p>
          <w:pPr>
            <w:pStyle w:val="TOC3"/>
            <w:tabs>
              <w:tab w:val="right" w:leader="dot" w:pos="9072"/>
            </w:tabs>
          </w:pPr>
          <w:r>
            <w:t xml:space="preserve">Steering Committee</w:t>
          </w:r>
          <w:r>
            <w:tab/>
          </w:r>
          <w:r>
            <w:t xml:space="preserve">121</w:t>
          </w:r>
        </w:p>
        <w:p>
          <w:pPr>
            <w:pStyle w:val="TOC3"/>
            <w:tabs>
              <w:tab w:val="right" w:leader="dot" w:pos="9072"/>
            </w:tabs>
          </w:pPr>
          <w:r>
            <w:t xml:space="preserve">Working Groups</w:t>
          </w:r>
          <w:r>
            <w:tab/>
          </w:r>
          <w:r>
            <w:t xml:space="preserve">122</w:t>
          </w:r>
        </w:p>
        <w:p>
          <w:pPr>
            <w:pStyle w:val="TOC2"/>
            <w:tabs>
              <w:tab w:val="right" w:leader="dot" w:pos="9072"/>
            </w:tabs>
          </w:pPr>
          <w:r>
            <w:t xml:space="preserve">Quality Assurance</w:t>
          </w:r>
          <w:r>
            <w:tab/>
          </w:r>
          <w:r>
            <w:t xml:space="preserve">123</w:t>
          </w:r>
        </w:p>
        <w:p>
          <w:pPr>
            <w:pStyle w:val="TOC3"/>
            <w:tabs>
              <w:tab w:val="right" w:leader="dot" w:pos="9072"/>
            </w:tabs>
          </w:pPr>
          <w:r>
            <w:t xml:space="preserve">Testing Strategy</w:t>
          </w:r>
          <w:r>
            <w:tab/>
          </w:r>
          <w:r>
            <w:t xml:space="preserve">124</w:t>
          </w:r>
        </w:p>
        <w:p>
          <w:pPr>
            <w:pStyle w:val="TOC3"/>
            <w:tabs>
              <w:tab w:val="right" w:leader="dot" w:pos="9072"/>
            </w:tabs>
          </w:pPr>
          <w:r>
            <w:t xml:space="preserve">Acceptance Criteria</w:t>
          </w:r>
          <w:r>
            <w:tab/>
          </w:r>
          <w:r>
            <w:t xml:space="preserve">125</w:t>
          </w:r>
        </w:p>
        <w:p>
          <w:pPr>
            <w:pStyle w:val="TOC2"/>
            <w:tabs>
              <w:tab w:val="right" w:leader="dot" w:pos="9072"/>
            </w:tabs>
          </w:pPr>
          <w:r>
            <w:t xml:space="preserve">Support Structure</w:t>
          </w:r>
          <w:r>
            <w:tab/>
          </w:r>
          <w:r>
            <w:t xml:space="preserve">126</w:t>
          </w:r>
        </w:p>
        <w:p>
          <w:pPr>
            <w:pStyle w:val="TOC3"/>
            <w:tabs>
              <w:tab w:val="right" w:leader="dot" w:pos="9072"/>
            </w:tabs>
          </w:pPr>
          <w:r>
            <w:t xml:space="preserve">Support Organization</w:t>
          </w:r>
          <w:r>
            <w:tab/>
          </w:r>
          <w:r>
            <w:t xml:space="preserve">127</w:t>
          </w:r>
        </w:p>
        <w:p>
          <w:pPr>
            <w:pStyle w:val="TOC3"/>
            <w:tabs>
              <w:tab w:val="right" w:leader="dot" w:pos="9072"/>
            </w:tabs>
          </w:pPr>
          <w:r>
            <w:t xml:space="preserve">Knowledge Management</w:t>
          </w:r>
          <w:r>
            <w:tab/>
          </w:r>
          <w:r>
            <w:t xml:space="preserve">128</w:t>
          </w:r>
        </w:p>
        <w:p>
          <w:pPr>
            <w:pStyle w:val="TOC1"/>
            <w:tabs>
              <w:tab w:val="right" w:leader="dot" w:pos="9072"/>
            </w:tabs>
          </w:pPr>
          <w:r>
            <w:t xml:space="preserve">Extended Commercial Documentation Volume 2</w:t>
          </w:r>
          <w:r>
            <w:tab/>
          </w:r>
          <w:r>
            <w:t xml:space="preserve">129</w:t>
          </w:r>
        </w:p>
        <w:p>
          <w:pPr>
            <w:pStyle w:val="TOC2"/>
            <w:tabs>
              <w:tab w:val="right" w:leader="dot" w:pos="9072"/>
            </w:tabs>
          </w:pPr>
          <w:r>
            <w:t xml:space="preserve">Comprehensive Financial Analysis</w:t>
          </w:r>
          <w:r>
            <w:tab/>
          </w:r>
          <w:r>
            <w:t xml:space="preserve">130</w:t>
          </w:r>
        </w:p>
        <w:p>
          <w:pPr>
            <w:pStyle w:val="TOC3"/>
            <w:tabs>
              <w:tab w:val="right" w:leader="dot" w:pos="9072"/>
            </w:tabs>
          </w:pPr>
          <w:r>
            <w:t xml:space="preserve">Total Cost of Ownership Comparison</w:t>
          </w:r>
          <w:r>
            <w:tab/>
          </w:r>
          <w:r>
            <w:t xml:space="preserve">131</w:t>
          </w:r>
        </w:p>
        <w:p>
          <w:pPr>
            <w:pStyle w:val="TOC3"/>
            <w:tabs>
              <w:tab w:val="right" w:leader="dot" w:pos="9072"/>
            </w:tabs>
          </w:pPr>
          <w:r>
            <w:t xml:space="preserve">Return on Investment Calculation</w:t>
          </w:r>
          <w:r>
            <w:tab/>
          </w:r>
          <w:r>
            <w:t xml:space="preserve">132</w:t>
          </w:r>
        </w:p>
        <w:p>
          <w:pPr>
            <w:pStyle w:val="TOC2"/>
            <w:tabs>
              <w:tab w:val="right" w:leader="dot" w:pos="9072"/>
            </w:tabs>
          </w:pPr>
          <w:r>
            <w:t xml:space="preserve">Detailed Service Level Commitments</w:t>
          </w:r>
          <w:r>
            <w:tab/>
          </w:r>
          <w:r>
            <w:t xml:space="preserve">133</w:t>
          </w:r>
        </w:p>
        <w:p>
          <w:pPr>
            <w:pStyle w:val="TOC3"/>
            <w:tabs>
              <w:tab w:val="right" w:leader="dot" w:pos="9072"/>
            </w:tabs>
          </w:pPr>
          <w:r>
            <w:t xml:space="preserve">Platform Availability</w:t>
          </w:r>
          <w:r>
            <w:tab/>
          </w:r>
          <w:r>
            <w:t xml:space="preserve">134</w:t>
          </w:r>
        </w:p>
        <w:p>
          <w:pPr>
            <w:pStyle w:val="TOC3"/>
            <w:tabs>
              <w:tab w:val="right" w:leader="dot" w:pos="9072"/>
            </w:tabs>
          </w:pPr>
          <w:r>
            <w:t xml:space="preserve">Performance Commitments</w:t>
          </w:r>
          <w:r>
            <w:tab/>
          </w:r>
          <w:r>
            <w:t xml:space="preserve">135</w:t>
          </w:r>
        </w:p>
        <w:p>
          <w:pPr>
            <w:pStyle w:val="TOC3"/>
            <w:tabs>
              <w:tab w:val="right" w:leader="dot" w:pos="9072"/>
            </w:tabs>
          </w:pPr>
          <w:r>
            <w:t xml:space="preserve">Support Commitments</w:t>
          </w:r>
          <w:r>
            <w:tab/>
          </w:r>
          <w:r>
            <w:t xml:space="preserve">136</w:t>
          </w:r>
        </w:p>
        <w:p>
          <w:pPr>
            <w:pStyle w:val="TOC2"/>
            <w:tabs>
              <w:tab w:val="right" w:leader="dot" w:pos="9072"/>
            </w:tabs>
          </w:pPr>
          <w:r>
            <w:t xml:space="preserve">Contract Negotiation Guidelines</w:t>
          </w:r>
          <w:r>
            <w:tab/>
          </w:r>
          <w:r>
            <w:t xml:space="preserve">137</w:t>
          </w:r>
        </w:p>
        <w:p>
          <w:pPr>
            <w:pStyle w:val="TOC3"/>
            <w:tabs>
              <w:tab w:val="right" w:leader="dot" w:pos="9072"/>
            </w:tabs>
          </w:pPr>
          <w:r>
            <w:t xml:space="preserve">Negotiable Elements</w:t>
          </w:r>
          <w:r>
            <w:tab/>
          </w:r>
          <w:r>
            <w:t xml:space="preserve">138</w:t>
          </w:r>
        </w:p>
        <w:p>
          <w:pPr>
            <w:pStyle w:val="TOC3"/>
            <w:tabs>
              <w:tab w:val="right" w:leader="dot" w:pos="9072"/>
            </w:tabs>
          </w:pPr>
          <w:r>
            <w:t xml:space="preserve">Non-Negotiable Elements</w:t>
          </w:r>
          <w:r>
            <w:tab/>
          </w:r>
          <w:r>
            <w:t xml:space="preserve">139</w:t>
          </w:r>
        </w:p>
        <w:p>
          <w:pPr>
            <w:pStyle w:val="TOC3"/>
            <w:tabs>
              <w:tab w:val="right" w:leader="dot" w:pos="9072"/>
            </w:tabs>
          </w:pPr>
          <w:r>
            <w:t xml:space="preserve">Approval Process</w:t>
          </w:r>
          <w:r>
            <w:tab/>
          </w:r>
          <w:r>
            <w:t xml:space="preserve">140</w:t>
          </w:r>
        </w:p>
        <w:p>
          <w:pPr>
            <w:pStyle w:val="TOC1"/>
            <w:tabs>
              <w:tab w:val="right" w:leader="dot" w:pos="9072"/>
            </w:tabs>
          </w:pPr>
          <w:r>
            <w:t xml:space="preserve">Partnership and Relationship Management</w:t>
          </w:r>
          <w:r>
            <w:tab/>
          </w:r>
          <w:r>
            <w:t xml:space="preserve">141</w:t>
          </w:r>
        </w:p>
        <w:p>
          <w:pPr>
            <w:pStyle w:val="TOC2"/>
            <w:tabs>
              <w:tab w:val="right" w:leader="dot" w:pos="9072"/>
            </w:tabs>
          </w:pPr>
          <w:r>
            <w:t xml:space="preserve">Strategic Partnership Framework</w:t>
          </w:r>
          <w:r>
            <w:tab/>
          </w:r>
          <w:r>
            <w:t xml:space="preserve">142</w:t>
          </w:r>
        </w:p>
        <w:p>
          <w:pPr>
            <w:pStyle w:val="TOC3"/>
            <w:tabs>
              <w:tab w:val="right" w:leader="dot" w:pos="9072"/>
            </w:tabs>
          </w:pPr>
          <w:r>
            <w:t xml:space="preserve">Partnership Principles</w:t>
          </w:r>
          <w:r>
            <w:tab/>
          </w:r>
          <w:r>
            <w:t xml:space="preserve">143</w:t>
          </w:r>
        </w:p>
        <w:p>
          <w:pPr>
            <w:pStyle w:val="TOC3"/>
            <w:tabs>
              <w:tab w:val="right" w:leader="dot" w:pos="9072"/>
            </w:tabs>
          </w:pPr>
          <w:r>
            <w:t xml:space="preserve">Governance Structure</w:t>
          </w:r>
          <w:r>
            <w:tab/>
          </w:r>
          <w:r>
            <w:t xml:space="preserve">144</w:t>
          </w:r>
        </w:p>
        <w:p>
          <w:pPr>
            <w:pStyle w:val="TOC3"/>
            <w:tabs>
              <w:tab w:val="right" w:leader="dot" w:pos="9072"/>
            </w:tabs>
          </w:pPr>
          <w:r>
            <w:t xml:space="preserve">Success Metrics</w:t>
          </w:r>
          <w:r>
            <w:tab/>
          </w:r>
          <w:r>
            <w:t xml:space="preserve">145</w:t>
          </w:r>
        </w:p>
        <w:p>
          <w:pPr>
            <w:pStyle w:val="TOC2"/>
            <w:tabs>
              <w:tab w:val="right" w:leader="dot" w:pos="9072"/>
            </w:tabs>
          </w:pPr>
          <w:r>
            <w:t xml:space="preserve">Long-Term Roadmap Alignment</w:t>
          </w:r>
          <w:r>
            <w:tab/>
          </w:r>
          <w:r>
            <w:t xml:space="preserve">146</w:t>
          </w:r>
        </w:p>
        <w:p>
          <w:pPr>
            <w:pStyle w:val="TOC3"/>
            <w:tabs>
              <w:tab w:val="right" w:leader="dot" w:pos="9072"/>
            </w:tabs>
          </w:pPr>
          <w:r>
            <w:t xml:space="preserve">Product Roadmap Input</w:t>
          </w:r>
          <w:r>
            <w:tab/>
          </w:r>
          <w:r>
            <w:t xml:space="preserve">147</w:t>
          </w:r>
        </w:p>
        <w:p>
          <w:pPr>
            <w:pStyle w:val="TOC3"/>
            <w:tabs>
              <w:tab w:val="right" w:leader="dot" w:pos="9072"/>
            </w:tabs>
          </w:pPr>
          <w:r>
            <w:t xml:space="preserve">Co-Development Opportunities</w:t>
          </w:r>
          <w:r>
            <w:tab/>
          </w:r>
          <w:r>
            <w:t xml:space="preserve">148</w:t>
          </w:r>
        </w:p>
        <w:p>
          <w:pPr>
            <w:pStyle w:val="TOC1"/>
            <w:tabs>
              <w:tab w:val="right" w:leader="dot" w:pos="9072"/>
            </w:tabs>
          </w:pPr>
          <w:r>
            <w:t xml:space="preserve">Final Commercial Specifications</w:t>
          </w:r>
          <w:r>
            <w:tab/>
          </w:r>
          <w:r>
            <w:t xml:space="preserve">149</w:t>
          </w:r>
        </w:p>
        <w:p>
          <w:pPr>
            <w:pStyle w:val="TOC2"/>
            <w:tabs>
              <w:tab w:val="right" w:leader="dot" w:pos="9072"/>
            </w:tabs>
          </w:pPr>
          <w:r>
            <w:t xml:space="preserve">Additional Commercial Terms</w:t>
          </w:r>
          <w:r>
            <w:tab/>
          </w:r>
          <w:r>
            <w:t xml:space="preserve">150</w:t>
          </w:r>
        </w:p>
        <w:p>
          <w:pPr>
            <w:pStyle w:val="TOC3"/>
            <w:tabs>
              <w:tab w:val="right" w:leader="dot" w:pos="9072"/>
            </w:tabs>
          </w:pPr>
          <w:r>
            <w:t xml:space="preserve">Warranties and Representations</w:t>
          </w:r>
          <w:r>
            <w:tab/>
          </w:r>
          <w:r>
            <w:t xml:space="preserve">151</w:t>
          </w:r>
        </w:p>
        <w:p>
          <w:pPr>
            <w:pStyle w:val="TOC3"/>
            <w:tabs>
              <w:tab w:val="right" w:leader="dot" w:pos="9072"/>
            </w:tabs>
          </w:pPr>
          <w:r>
            <w:t xml:space="preserve">Confidentiality</w:t>
          </w:r>
          <w:r>
            <w:tab/>
          </w:r>
          <w:r>
            <w:t xml:space="preserve">152</w:t>
          </w:r>
        </w:p>
        <w:p>
          <w:pPr>
            <w:pStyle w:val="TOC3"/>
            <w:tabs>
              <w:tab w:val="right" w:leader="dot" w:pos="9072"/>
            </w:tabs>
          </w:pPr>
          <w:r>
            <w:t xml:space="preserve">Force Majeure</w:t>
          </w:r>
          <w:r>
            <w:tab/>
          </w:r>
          <w:r>
            <w:t xml:space="preserve">153</w:t>
          </w:r>
        </w:p>
        <w:p>
          <w:pPr>
            <w:pStyle w:val="TOC2"/>
            <w:tabs>
              <w:tab w:val="right" w:leader="dot" w:pos="9072"/>
            </w:tabs>
          </w:pPr>
          <w:r>
            <w:t xml:space="preserve">Conclusion</w:t>
          </w:r>
          <w:r>
            <w:tab/>
          </w:r>
          <w:r>
            <w:t xml:space="preserve">154</w:t>
          </w:r>
        </w:p>
        <w:p>
          <w:pPr>
            <w:pStyle w:val="TOC1"/>
            <w:tabs>
              <w:tab w:val="right" w:leader="dot" w:pos="9072"/>
            </w:tabs>
          </w:pPr>
          <w:r>
            <w:t xml:space="preserve">Additional Commercial Content</w:t>
          </w:r>
          <w:r>
            <w:tab/>
          </w:r>
          <w:r>
            <w:t xml:space="preserve">155</w:t>
          </w:r>
        </w:p>
        <w:p>
          <w:pPr>
            <w:pStyle w:val="TOC2"/>
            <w:tabs>
              <w:tab w:val="right" w:leader="dot" w:pos="9072"/>
            </w:tabs>
          </w:pPr>
          <w:r>
            <w:t xml:space="preserve">Pricing Flexibility Options</w:t>
          </w:r>
          <w:r>
            <w:tab/>
          </w:r>
          <w:r>
            <w:t xml:space="preserve">156</w:t>
          </w:r>
        </w:p>
        <w:p>
          <w:pPr>
            <w:pStyle w:val="TOC3"/>
            <w:tabs>
              <w:tab w:val="right" w:leader="dot" w:pos="9072"/>
            </w:tabs>
          </w:pPr>
          <w:r>
            <w:t xml:space="preserve">Volume-Based Adjustments</w:t>
          </w:r>
          <w:r>
            <w:tab/>
          </w:r>
          <w:r>
            <w:t xml:space="preserve">157</w:t>
          </w:r>
        </w:p>
        <w:p>
          <w:pPr>
            <w:pStyle w:val="TOC3"/>
            <w:tabs>
              <w:tab w:val="right" w:leader="dot" w:pos="9072"/>
            </w:tabs>
          </w:pPr>
          <w:r>
            <w:t xml:space="preserve">Multi-Year Commitment Benefits</w:t>
          </w:r>
          <w:r>
            <w:tab/>
          </w:r>
          <w:r>
            <w:t xml:space="preserve">158</w:t>
          </w:r>
        </w:p>
        <w:p>
          <w:pPr>
            <w:pStyle w:val="TOC2"/>
            <w:tabs>
              <w:tab w:val="right" w:leader="dot" w:pos="9072"/>
            </w:tabs>
          </w:pPr>
          <w:r>
            <w:t xml:space="preserve">Appendices</w:t>
          </w:r>
          <w:r>
            <w:tab/>
          </w:r>
          <w:r>
            <w:t xml:space="preserve">159</w:t>
          </w:r>
        </w:p>
        <w:p>
          <w:pPr>
            <w:pStyle w:val="TOC3"/>
            <w:tabs>
              <w:tab w:val="right" w:leader="dot" w:pos="9072"/>
            </w:tabs>
          </w:pPr>
          <w:r>
            <w:t xml:space="preserve">Appendix A: Reference Customer List</w:t>
          </w:r>
          <w:r>
            <w:tab/>
          </w:r>
          <w:r>
            <w:t xml:space="preserve">160</w:t>
          </w:r>
        </w:p>
        <w:p>
          <w:pPr>
            <w:pStyle w:val="TOC3"/>
            <w:tabs>
              <w:tab w:val="right" w:leader="dot" w:pos="9072"/>
            </w:tabs>
          </w:pPr>
          <w:r>
            <w:t xml:space="preserve">Appendix B: Technical Specifications Summary</w:t>
          </w:r>
          <w:r>
            <w:tab/>
          </w:r>
          <w:r>
            <w:t xml:space="preserve">161</w:t>
          </w:r>
        </w:p>
        <w:p>
          <w:pPr>
            <w:pStyle w:val="TOC3"/>
            <w:tabs>
              <w:tab w:val="right" w:leader="dot" w:pos="9072"/>
            </w:tabs>
          </w:pPr>
          <w:r>
            <w:t xml:space="preserve">Appendix C: Implementation Timeline Template</w:t>
          </w:r>
          <w:r>
            <w:tab/>
          </w:r>
          <w:r>
            <w:t xml:space="preserve">162</w:t>
          </w:r>
        </w:p>
        <w:p>
          <w:pPr>
            <w:pStyle w:val="TOC3"/>
            <w:tabs>
              <w:tab w:val="right" w:leader="dot" w:pos="9072"/>
            </w:tabs>
          </w:pPr>
          <w:r>
            <w:t xml:space="preserve">Appendix D: Glossary of Terms</w:t>
          </w:r>
          <w:r>
            <w:tab/>
          </w:r>
          <w:r>
            <w:t xml:space="preserve">163</w:t>
          </w:r>
        </w:p>
        <w:p>
          <w:pPr>
            <w:pStyle w:val="TOC1"/>
            <w:tabs>
              <w:tab w:val="right" w:leader="dot" w:pos="9072"/>
            </w:tabs>
          </w:pPr>
          <w:r>
            <w:t xml:space="preserve">Supplementary Commercial Information</w:t>
          </w:r>
          <w:r>
            <w:tab/>
          </w:r>
          <w:r>
            <w:t xml:space="preserve">164</w:t>
          </w:r>
        </w:p>
        <w:p>
          <w:pPr>
            <w:pStyle w:val="TOC2"/>
            <w:tabs>
              <w:tab w:val="right" w:leader="dot" w:pos="9072"/>
            </w:tabs>
          </w:pPr>
          <w:r>
            <w:t xml:space="preserve">Insurance and Liability Coverage</w:t>
          </w:r>
          <w:r>
            <w:tab/>
          </w:r>
          <w:r>
            <w:t xml:space="preserve">165</w:t>
          </w:r>
        </w:p>
        <w:p>
          <w:pPr>
            <w:pStyle w:val="TOC2"/>
            <w:tabs>
              <w:tab w:val="right" w:leader="dot" w:pos="9072"/>
            </w:tabs>
          </w:pPr>
          <w:r>
            <w:t xml:space="preserve">Export Control and Sanctions Compliance</w:t>
          </w:r>
          <w:r>
            <w:tab/>
          </w:r>
          <w:r>
            <w:t xml:space="preserve">166</w:t>
          </w:r>
        </w:p>
        <w:p>
          <w:pPr>
            <w:pStyle w:val="TOC2"/>
            <w:tabs>
              <w:tab w:val="right" w:leader="dot" w:pos="9072"/>
            </w:tabs>
          </w:pPr>
          <w:r>
            <w:t xml:space="preserve">Audit Rights and Compliance Verification</w:t>
          </w:r>
          <w:r>
            <w:tab/>
          </w:r>
          <w:r>
            <w:t xml:space="preserve">167</w:t>
          </w:r>
        </w:p>
        <w:p>
          <w:pPr>
            <w:pStyle w:val="TOC2"/>
            <w:tabs>
              <w:tab w:val="right" w:leader="dot" w:pos="9072"/>
            </w:tabs>
          </w:pPr>
          <w:r>
            <w:t xml:space="preserve">Term and Termination Provisions</w:t>
          </w:r>
          <w:r>
            <w:tab/>
          </w:r>
          <w:r>
            <w:t xml:space="preserve">168</w:t>
          </w:r>
        </w:p>
        <w:p>
          <w:pPr>
            <w:pStyle w:val="TOC2"/>
            <w:tabs>
              <w:tab w:val="right" w:leader="dot" w:pos="9072"/>
            </w:tabs>
          </w:pPr>
          <w:r>
            <w:t xml:space="preserve">Governing Law and Dispute Resolution</w:t>
          </w:r>
          <w:r>
            <w:tab/>
          </w:r>
          <w:r>
            <w:t xml:space="preserve">169</w:t>
          </w:r>
        </w:p>
        <w:p>
          <w:pPr>
            <w:pStyle w:val="TOC2"/>
            <w:tabs>
              <w:tab w:val="right" w:leader="dot" w:pos="9072"/>
            </w:tabs>
          </w:pPr>
          <w:r>
            <w:t xml:space="preserve">Notices and Communications</w:t>
          </w:r>
          <w:r>
            <w:tab/>
          </w:r>
          <w:r>
            <w:t xml:space="preserve">170</w:t>
          </w:r>
        </w:p>
        <w:p>
          <w:pPr>
            <w:pStyle w:val="TOC2"/>
            <w:tabs>
              <w:tab w:val="right" w:leader="dot" w:pos="9072"/>
            </w:tabs>
          </w:pPr>
          <w:r>
            <w:t xml:space="preserve">Entire Agreement and Amendments</w:t>
          </w:r>
          <w:r>
            <w:tab/>
          </w:r>
          <w:r>
            <w:t xml:space="preserve">171</w:t>
          </w:r>
        </w:p>
        <w:p>
          <w:pPr>
            <w:pStyle w:val="TOC1"/>
            <w:tabs>
              <w:tab w:val="right" w:leader="dot" w:pos="9072"/>
            </w:tabs>
          </w:pPr>
          <w:r>
            <w:t xml:space="preserve">Final Commercial Appendix</w:t>
          </w:r>
          <w:r>
            <w:tab/>
          </w:r>
          <w:r>
            <w:t xml:space="preserve">172</w:t>
          </w:r>
        </w:p>
        <w:p>
          <w:pPr>
            <w:pStyle w:val="TOC2"/>
            <w:tabs>
              <w:tab w:val="right" w:leader="dot" w:pos="9072"/>
            </w:tabs>
          </w:pPr>
          <w:r>
            <w:t xml:space="preserve">Signature Blocks</w:t>
          </w:r>
          <w:r>
            <w:tab/>
          </w:r>
          <w:r>
            <w:t xml:space="preserve">173</w:t>
          </w:r>
        </w:p>
        <w:p>
          <w:pPr>
            <w:pStyle w:val="TOC3"/>
            <w:tabs>
              <w:tab w:val="right" w:leader="dot" w:pos="9072"/>
            </w:tabs>
          </w:pPr>
          <w:r>
            <w:t xml:space="preserve">SettleMint B.V.</w:t>
          </w:r>
          <w:r>
            <w:tab/>
          </w:r>
          <w:r>
            <w:t xml:space="preserve">174</w:t>
          </w:r>
        </w:p>
        <w:p>
          <w:pPr>
            <w:pStyle w:val="TOC3"/>
            <w:tabs>
              <w:tab w:val="right" w:leader="dot" w:pos="9072"/>
            </w:tabs>
          </w:pPr>
          <w:r>
            <w:t xml:space="preserve">JSE Johannesburg Stock Exchange</w:t>
          </w:r>
          <w:r>
            <w:tab/>
          </w:r>
          <w:r>
            <w:t xml:space="preserve">175</w:t>
          </w:r>
        </w:p>
        <w:p>
          <w:pPr>
            <w:pStyle w:val="TOC2"/>
            <w:tabs>
              <w:tab w:val="right" w:leader="dot" w:pos="9072"/>
            </w:tabs>
          </w:pPr>
          <w:r>
            <w:t xml:space="preserve">Document Control</w:t>
          </w:r>
          <w:r>
            <w:tab/>
          </w:r>
          <w:r>
            <w:t xml:space="preserve">176</w:t>
          </w:r>
        </w:p>
        <w:p>
          <w:pPr>
            <w:pStyle w:val="TOC2"/>
            <w:tabs>
              <w:tab w:val="right" w:leader="dot" w:pos="9072"/>
            </w:tabs>
          </w:pPr>
          <w:r>
            <w:t xml:space="preserve">Additional Terms and Conditions</w:t>
          </w:r>
          <w:r>
            <w:tab/>
          </w:r>
          <w:r>
            <w:t xml:space="preserve">177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Trading And Regulated Market Infrastructure</w:t>
      </w:r>
    </w:p>
    <w:p>
      <w:r>
        <w:br w:type="page"/>
      </w:r>
    </w:p>
    <w:p>
      <w:r>
        <w:rPr>
          <w:rFonts w:ascii="Figtree" w:hAnsi="Figtree"/>
          <w:b/>
          <w:i w:val="0"/>
          <w:sz w:val="22"/>
        </w:rPr>
        <w:t>Document Title:</w:t>
      </w:r>
      <w:r>
        <w:rPr>
          <w:rFonts w:ascii="Figtree" w:hAnsi="Figtree"/>
          <w:b w:val="0"/>
          <w:i w:val="0"/>
          <w:sz w:val="22"/>
        </w:rPr>
        <w:t xml:space="preserve"> Commercial Proposal — Digital Asset Trading And Regulated Market Infrastructure</w:t>
      </w:r>
    </w:p>
    <w:p>
      <w:r>
        <w:rPr>
          <w:rFonts w:ascii="Figtree" w:hAnsi="Figtree"/>
          <w:b/>
          <w:i w:val="0"/>
          <w:sz w:val="22"/>
        </w:rPr>
        <w:t>Client Name:</w:t>
      </w:r>
      <w:r>
        <w:rPr>
          <w:rFonts w:ascii="Figtree" w:hAnsi="Figtree"/>
          <w:b w:val="0"/>
          <w:i w:val="0"/>
          <w:sz w:val="22"/>
        </w:rPr>
        <w:t xml:space="preserve"> JSE Johannesburg Stock Exchange</w:t>
      </w:r>
    </w:p>
    <w:p>
      <w:r>
        <w:rPr>
          <w:rFonts w:ascii="Figtree" w:hAnsi="Figtree"/>
          <w:b/>
          <w:i w:val="0"/>
          <w:sz w:val="22"/>
        </w:rPr>
        <w:t>Submission Date:</w:t>
      </w:r>
      <w:r>
        <w:rPr>
          <w:rFonts w:ascii="Figtree" w:hAnsi="Figtree"/>
          <w:b w:val="0"/>
          <w:i w:val="0"/>
          <w:sz w:val="22"/>
        </w:rPr>
        <w:t xml:space="preserve"> 2026-03-17</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Confidential</w:t>
      </w:r>
    </w:p>
    <w:p>
      <w:r>
        <w:rPr>
          <w:rFonts w:ascii="Figtree" w:hAnsi="Figtree"/>
          <w:b/>
          <w:i w:val="0"/>
          <w:sz w:val="22"/>
        </w:rPr>
        <w:t>Primary Contact:</w:t>
      </w:r>
      <w:r>
        <w:rPr>
          <w:rFonts w:ascii="Figtree" w:hAnsi="Figtree"/>
          <w:b w:val="0"/>
          <w:i w:val="0"/>
          <w:sz w:val="22"/>
        </w:rPr>
        <w:t xml:space="preserve"> SettleMint Sales and Solutions Team</w:t>
      </w:r>
    </w:p>
    <w:p>
      <w:r>
        <w:br w:type="page"/>
      </w:r>
    </w:p>
    <w:p>
      <w:r>
        <w:rPr>
          <w:rFonts w:ascii="Figtree" w:hAnsi="Figtree"/>
          <w:b w:val="0"/>
          <w:i w:val="0"/>
          <w:sz w:val="22"/>
        </w:rPr>
        <w:t xml:space="preserve">&gt; </w:t>
      </w:r>
      <w:r>
        <w:rPr>
          <w:rFonts w:ascii="Figtree" w:hAnsi="Figtree"/>
          <w:b/>
          <w:i w:val="0"/>
          <w:sz w:val="22"/>
        </w:rPr>
        <w:t>CONFIDENTIALITY NOTICE</w:t>
      </w:r>
    </w:p>
    <w:p>
      <w:r>
        <w:rPr>
          <w:rFonts w:ascii="Figtree" w:hAnsi="Figtree"/>
          <w:b w:val="0"/>
          <w:i w:val="0"/>
          <w:sz w:val="22"/>
        </w:rPr>
        <w:t>&gt;</w:t>
      </w:r>
    </w:p>
    <w:p>
      <w:r>
        <w:rPr>
          <w:rFonts w:ascii="Figtree" w:hAnsi="Figtree"/>
          <w:b w:val="0"/>
          <w:i w:val="0"/>
          <w:sz w:val="22"/>
        </w:rPr>
        <w:t>&gt; This document contains confidential and proprietary information of SettleMint B.V. and its affiliates ("SettleMint"). The information contained herein is intended solely for the use of JSE Johannesburg Stock Exchange and their authorized representatives. Unauthorized distribution, copying, or disclosure of this document is strictly prohibited and may result in legal action. By accepting this document, the recipient agrees to maintain its confidentiality and to use it only for the purpose of evaluating the proposal submitted by SettleMint.</w:t>
      </w:r>
    </w:p>
    <w:p>
      <w:r>
        <w:br w:type="page"/>
      </w:r>
    </w:p>
    <w:p>
      <w:r>
        <w:rPr>
          <w:rFonts w:ascii="Figtree" w:hAnsi="Figtree"/>
          <w:b w:val="0"/>
          <w:i w:val="0"/>
          <w:sz w:val="22"/>
        </w:rPr>
        <w:t>\pagebreak</w:t>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Pricing Overview</w:t>
      </w:r>
    </w:p>
    <w:p>
      <w:pPr>
        <w:pStyle w:val="ListParagraph"/>
        <w:numPr>
          <w:ilvl w:val="0"/>
          <w:numId w:val="6"/>
        </w:numPr>
      </w:pPr>
      <w:r>
        <w:rPr>
          <w:rFonts w:ascii="Figtree" w:hAnsi="Figtree"/>
          <w:b w:val="0"/>
          <w:i w:val="0"/>
          <w:sz w:val="22"/>
        </w:rPr>
        <w:t>Licensing and Subscription Model</w:t>
      </w:r>
    </w:p>
    <w:p>
      <w:pPr>
        <w:pStyle w:val="ListParagraph"/>
        <w:numPr>
          <w:ilvl w:val="0"/>
          <w:numId w:val="6"/>
        </w:numPr>
      </w:pPr>
      <w:r>
        <w:rPr>
          <w:rFonts w:ascii="Figtree" w:hAnsi="Figtree"/>
          <w:b w:val="0"/>
          <w:i w:val="0"/>
          <w:sz w:val="22"/>
        </w:rPr>
        <w:t>Implementation Services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Commercial Terms and Conditions</w:t>
      </w:r>
    </w:p>
    <w:p>
      <w:pPr>
        <w:pStyle w:val="ListParagraph"/>
        <w:numPr>
          <w:ilvl w:val="0"/>
          <w:numId w:val="6"/>
        </w:numPr>
      </w:pPr>
      <w:r>
        <w:rPr>
          <w:rFonts w:ascii="Figtree" w:hAnsi="Figtree"/>
          <w:b w:val="0"/>
          <w:i w:val="0"/>
          <w:sz w:val="22"/>
        </w:rPr>
        <w:t>Value Proposition and ROI</w:t>
      </w:r>
    </w:p>
    <w:p>
      <w:r>
        <w:br w:type="page"/>
      </w:r>
    </w:p>
    <w:p>
      <w:r>
        <w:rPr>
          <w:rFonts w:ascii="Figtree" w:hAnsi="Figtree"/>
          <w:b w:val="0"/>
          <w:i w:val="0"/>
          <w:sz w:val="22"/>
        </w:rPr>
        <w:t>\pagebreak</w:t>
      </w:r>
    </w:p>
    <w:p>
      <w:pPr>
        <w:pStyle w:val="H1"/>
        <w:numPr>
          <w:ilvl w:val="0"/>
          <w:numId w:val="1"/>
        </w:numPr>
      </w:pPr>
      <w:r>
        <w:t>1. Executive Summary</w:t>
      </w:r>
    </w:p>
    <w:p>
      <w:pPr>
        <w:pStyle w:val="H2"/>
        <w:numPr>
          <w:ilvl w:val="1"/>
          <w:numId w:val="1"/>
        </w:numPr>
      </w:pPr>
      <w:r>
        <w:t>1.1 Commercial Overview</w:t>
      </w:r>
    </w:p>
    <w:p>
      <w:r>
        <w:rPr>
          <w:rFonts w:ascii="Figtree" w:hAnsi="Figtree"/>
          <w:b w:val="0"/>
          <w:i w:val="0"/>
          <w:sz w:val="22"/>
        </w:rPr>
        <w:t>SettleMint is pleased to present this commercial proposal for the Digital Asset Lifecycle Platform (DALP) as the foundational infrastructure for JSE's digital asset trading and regulated market initiative. This proposal outlines the investment required to deliver a production-grade platform supporting issuance, compliance enforcement, custody orchestration, atomic settlement, and automated servicing for tokenized financial instruments.</w:t>
      </w:r>
    </w:p>
    <w:p>
      <w:r>
        <w:rPr>
          <w:rFonts w:ascii="Figtree" w:hAnsi="Figtree"/>
          <w:b w:val="0"/>
          <w:i w:val="0"/>
          <w:sz w:val="22"/>
        </w:rPr>
        <w:t>The proposed commercial model combines a subscription-based platform license with implementation services and ongoing support. This model aligns SettleMint's incentives with JSE's success by providing continuous platform improvement while maintaining predictable cost planning.</w:t>
      </w:r>
    </w:p>
    <w:p>
      <w:pPr>
        <w:pStyle w:val="H2"/>
        <w:numPr>
          <w:ilvl w:val="1"/>
          <w:numId w:val="1"/>
        </w:numPr>
      </w:pPr>
      <w:r>
        <w:t>1.2 Investment Summary</w:t>
      </w:r>
    </w:p>
    <w:p>
      <w:r>
        <w:rPr>
          <w:rFonts w:ascii="Figtree" w:hAnsi="Figtree"/>
          <w:b w:val="0"/>
          <w:i w:val="0"/>
          <w:sz w:val="22"/>
        </w:rPr>
        <w:t>The total investment for the initial three-year period comprises:</w:t>
      </w:r>
    </w:p>
    <w:p>
      <w:pPr>
        <w:pStyle w:val="ListParagraph"/>
        <w:numPr>
          <w:ilvl w:val="0"/>
          <w:numId w:val="4"/>
        </w:numPr>
      </w:pPr>
      <w:r>
        <w:rPr>
          <w:rFonts w:ascii="Figtree" w:hAnsi="Figtree"/>
          <w:b w:val="0"/>
          <w:i w:val="0"/>
          <w:sz w:val="22"/>
        </w:rPr>
        <w:t>Platform subscription (Year 1)</w:t>
      </w:r>
    </w:p>
    <w:p>
      <w:pPr>
        <w:pStyle w:val="ListParagraph"/>
        <w:numPr>
          <w:ilvl w:val="0"/>
          <w:numId w:val="4"/>
        </w:numPr>
      </w:pPr>
      <w:r>
        <w:rPr>
          <w:rFonts w:ascii="Figtree" w:hAnsi="Figtree"/>
          <w:b w:val="0"/>
          <w:i w:val="0"/>
          <w:sz w:val="22"/>
        </w:rPr>
        <w:t>Implementation services</w:t>
      </w:r>
    </w:p>
    <w:p>
      <w:pPr>
        <w:pStyle w:val="ListParagraph"/>
        <w:numPr>
          <w:ilvl w:val="0"/>
          <w:numId w:val="4"/>
        </w:numPr>
      </w:pPr>
      <w:r>
        <w:rPr>
          <w:rFonts w:ascii="Figtree" w:hAnsi="Figtree"/>
          <w:b w:val="0"/>
          <w:i w:val="0"/>
          <w:sz w:val="22"/>
        </w:rPr>
        <w:t>Support and maintenance (Year 1)</w:t>
      </w:r>
    </w:p>
    <w:p>
      <w:pPr>
        <w:pStyle w:val="ListParagraph"/>
        <w:numPr>
          <w:ilvl w:val="0"/>
          <w:numId w:val="4"/>
        </w:numPr>
      </w:pPr>
      <w:r>
        <w:rPr>
          <w:rFonts w:ascii="Figtree" w:hAnsi="Figtree"/>
          <w:b w:val="0"/>
          <w:i w:val="0"/>
          <w:sz w:val="22"/>
        </w:rPr>
        <w:t>Estimated total Year 1 investment</w:t>
      </w:r>
    </w:p>
    <w:p>
      <w:r>
        <w:rPr>
          <w:rFonts w:ascii="Figtree" w:hAnsi="Figtree"/>
          <w:b w:val="0"/>
          <w:i w:val="0"/>
          <w:sz w:val="22"/>
        </w:rPr>
        <w:t>Year 2 and Year 3 follow the subscription model with standard annual fees.</w:t>
      </w:r>
    </w:p>
    <w:p>
      <w:pPr>
        <w:pStyle w:val="H2"/>
        <w:numPr>
          <w:ilvl w:val="1"/>
          <w:numId w:val="1"/>
        </w:numPr>
      </w:pPr>
      <w:r>
        <w:t>1.3 Key Commercial Principles</w:t>
      </w:r>
    </w:p>
    <w:p>
      <w:r>
        <w:rPr>
          <w:rFonts w:ascii="Figtree" w:hAnsi="Figtree"/>
          <w:b/>
          <w:i w:val="0"/>
          <w:sz w:val="22"/>
        </w:rPr>
        <w:t>Predictability:</w:t>
      </w:r>
      <w:r>
        <w:rPr>
          <w:rFonts w:ascii="Figtree" w:hAnsi="Figtree"/>
          <w:b w:val="0"/>
          <w:i w:val="0"/>
          <w:sz w:val="22"/>
        </w:rPr>
        <w:t xml:space="preserve"> Annual subscription fees provide predictable budgeting without unexpected costs.</w:t>
      </w:r>
    </w:p>
    <w:p>
      <w:r>
        <w:rPr>
          <w:rFonts w:ascii="Figtree" w:hAnsi="Figtree"/>
          <w:b/>
          <w:i w:val="0"/>
          <w:sz w:val="22"/>
        </w:rPr>
        <w:t>Scalability:</w:t>
      </w:r>
      <w:r>
        <w:rPr>
          <w:rFonts w:ascii="Figtree" w:hAnsi="Figtree"/>
          <w:b w:val="0"/>
          <w:i w:val="0"/>
          <w:sz w:val="22"/>
        </w:rPr>
        <w:t xml:space="preserve"> The platform supports controlled expansion without per-transaction or per-user licensing that creates cost friction during growth.</w:t>
      </w:r>
    </w:p>
    <w:p>
      <w:r>
        <w:rPr>
          <w:rFonts w:ascii="Figtree" w:hAnsi="Figtree"/>
          <w:b/>
          <w:i w:val="0"/>
          <w:sz w:val="22"/>
        </w:rPr>
        <w:t>Alignment:</w:t>
      </w:r>
      <w:r>
        <w:rPr>
          <w:rFonts w:ascii="Figtree" w:hAnsi="Figtree"/>
          <w:b w:val="0"/>
          <w:i w:val="0"/>
          <w:sz w:val="22"/>
        </w:rPr>
        <w:t xml:space="preserve"> Ongoing support and platform updates are included, ensuring the platform evolves with regulatory and market requirements.</w:t>
      </w:r>
    </w:p>
    <w:p>
      <w:r>
        <w:rPr>
          <w:rFonts w:ascii="Figtree" w:hAnsi="Figtree"/>
          <w:b/>
          <w:i w:val="0"/>
          <w:sz w:val="22"/>
        </w:rPr>
        <w:t>Risk Sharing:</w:t>
      </w:r>
      <w:r>
        <w:rPr>
          <w:rFonts w:ascii="Figtree" w:hAnsi="Figtree"/>
          <w:b w:val="0"/>
          <w:i w:val="0"/>
          <w:sz w:val="22"/>
        </w:rPr>
        <w:t xml:space="preserve"> Phased implementation with milestone-based payments reduces JSE's exposure while maintaining delivery momentum.</w:t>
      </w:r>
    </w:p>
    <w:p>
      <w:r>
        <w:br w:type="page"/>
      </w:r>
    </w:p>
    <w:p>
      <w:r>
        <w:rPr>
          <w:rFonts w:ascii="Figtree" w:hAnsi="Figtree"/>
          <w:b w:val="0"/>
          <w:i w:val="0"/>
          <w:sz w:val="22"/>
        </w:rPr>
        <w:t>\pagebreak</w:t>
      </w:r>
    </w:p>
    <w:p>
      <w:pPr>
        <w:pStyle w:val="H1"/>
        <w:numPr>
          <w:ilvl w:val="0"/>
          <w:numId w:val="1"/>
        </w:numPr>
      </w:pPr>
      <w:r>
        <w:t>2. Pricing Overview</w:t>
      </w:r>
    </w:p>
    <w:p>
      <w:pPr>
        <w:pStyle w:val="H2"/>
        <w:numPr>
          <w:ilvl w:val="1"/>
          <w:numId w:val="1"/>
        </w:numPr>
      </w:pPr>
      <w:r>
        <w:t>2.1 Platform Subscription</w:t>
      </w:r>
    </w:p>
    <w:p>
      <w:r>
        <w:rPr>
          <w:rFonts w:ascii="Figtree" w:hAnsi="Figtree"/>
          <w:b w:val="0"/>
          <w:i w:val="0"/>
          <w:sz w:val="22"/>
        </w:rPr>
        <w:t>The DALP platform is licensed on an annual subscription basis. The subscription provides access to the platform software, updates, and standard support services.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6"/>
        <w:gridCol w:w="5313"/>
        <w:gridCol w:w="24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(ZAR)</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Single asset class, limited participants</w:t>
            </w:r>
          </w:p>
        </w:tc>
        <w:tc>
          <w:tcPr>
            <w:tcW w:type="dxa" w:w="3249"/>
            <w:vAlign w:val="center"/>
          </w:tcPr>
          <w:p>
            <w:pPr>
              <w:spacing w:line="276" w:lineRule="auto" w:before="0" w:after="0"/>
            </w:pPr>
            <w:r/>
            <w:r>
              <w:rPr>
                <w:rFonts w:ascii="Figtree" w:hAnsi="Figtree"/>
                <w:b w:val="0"/>
                <w:i w:val="0"/>
                <w:sz w:val="20"/>
              </w:rPr>
              <w:t>Contact for pricing</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Multi-asset class, unlimited participants</w:t>
            </w:r>
          </w:p>
        </w:tc>
        <w:tc>
          <w:tcPr>
            <w:tcW w:type="dxa" w:w="3249"/>
            <w:vAlign w:val="center"/>
          </w:tcPr>
          <w:p>
            <w:pPr>
              <w:spacing w:line="276" w:lineRule="auto" w:before="0" w:after="0"/>
            </w:pPr>
            <w:r/>
            <w:r>
              <w:rPr>
                <w:rFonts w:ascii="Figtree" w:hAnsi="Figtree"/>
                <w:b w:val="0"/>
                <w:i w:val="0"/>
                <w:sz w:val="20"/>
              </w:rPr>
              <w:t>Contact for pricing</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Full platform, dedicated infrastructure</w:t>
            </w:r>
          </w:p>
        </w:tc>
        <w:tc>
          <w:tcPr>
            <w:tcW w:type="dxa" w:w="3249"/>
            <w:vAlign w:val="center"/>
          </w:tcPr>
          <w:p>
            <w:pPr>
              <w:spacing w:line="276" w:lineRule="auto" w:before="0" w:after="0"/>
            </w:pPr>
            <w:r/>
            <w:r>
              <w:rPr>
                <w:rFonts w:ascii="Figtree" w:hAnsi="Figtree"/>
                <w:b w:val="0"/>
                <w:i w:val="0"/>
                <w:sz w:val="20"/>
              </w:rPr>
              <w:t>Contact for pricing</w:t>
            </w:r>
          </w:p>
        </w:tc>
      </w:tr>
    </w:tbl>
    <w:p>
      <w:pPr>
        <w:spacing w:before="0" w:after="0" w:line="120" w:lineRule="exact"/>
      </w:pPr>
    </w:p>
    <w:p>
      <w:r>
        <w:rPr>
          <w:rFonts w:ascii="Figtree" w:hAnsi="Figtree"/>
          <w:b/>
          <w:i w:val="0"/>
          <w:sz w:val="22"/>
        </w:rPr>
        <w:t>Recommended Tier:</w:t>
      </w:r>
      <w:r>
        <w:rPr>
          <w:rFonts w:ascii="Figtree" w:hAnsi="Figtree"/>
          <w:b w:val="0"/>
          <w:i w:val="0"/>
          <w:sz w:val="22"/>
        </w:rPr>
        <w:t xml:space="preserve"> Enterprise — Provides the flexibility required for JSE's digital asset trading platform with multi-asset support and unlimited participant capacity.</w:t>
      </w:r>
    </w:p>
    <w:p>
      <w:pPr>
        <w:pStyle w:val="H2"/>
        <w:numPr>
          <w:ilvl w:val="1"/>
          <w:numId w:val="1"/>
        </w:numPr>
      </w:pPr>
      <w:r>
        <w:t>2.2 Implementation Services</w:t>
      </w:r>
    </w:p>
    <w:p>
      <w:r>
        <w:rPr>
          <w:rFonts w:ascii="Figtree" w:hAnsi="Figtree"/>
          <w:b w:val="0"/>
          <w:i w:val="0"/>
          <w:sz w:val="22"/>
        </w:rPr>
        <w:t>Implementation services are priced on a time-and-materials basis with fixed-fee components for defined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206"/>
        <w:gridCol w:w="23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Delivery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Fee (ZAR)</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 and Requirements</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Contact for pricing</w:t>
            </w:r>
          </w:p>
        </w:tc>
      </w:tr>
      <w:tr>
        <w:trPr>
          <w:trHeight w:val="425" w:hRule="atLeast"/>
        </w:trPr>
        <w:tc>
          <w:tcPr>
            <w:tcW w:type="dxa" w:w="3249"/>
            <w:vAlign w:val="center"/>
          </w:tcPr>
          <w:p>
            <w:pPr>
              <w:spacing w:line="276" w:lineRule="auto" w:before="0" w:after="0"/>
            </w:pPr>
            <w:r/>
            <w:r>
              <w:rPr>
                <w:rFonts w:ascii="Figtree" w:hAnsi="Figtree"/>
                <w:b w:val="0"/>
                <w:i w:val="0"/>
                <w:sz w:val="20"/>
              </w:rPr>
              <w:t>Phase 2: Foundation and Setup</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Contact for pricing</w:t>
            </w:r>
          </w:p>
        </w:tc>
      </w:tr>
      <w:tr>
        <w:trPr>
          <w:trHeight w:val="425" w:hRule="atLeast"/>
        </w:trPr>
        <w:tc>
          <w:tcPr>
            <w:tcW w:type="dxa" w:w="3249"/>
            <w:vAlign w:val="center"/>
          </w:tcPr>
          <w:p>
            <w:pPr>
              <w:spacing w:line="276" w:lineRule="auto" w:before="0" w:after="0"/>
            </w:pPr>
            <w:r/>
            <w:r>
              <w:rPr>
                <w:rFonts w:ascii="Figtree" w:hAnsi="Figtree"/>
                <w:b w:val="0"/>
                <w:i w:val="0"/>
                <w:sz w:val="20"/>
              </w:rPr>
              <w:t>Phase 3: Configuration and Compliance</w:t>
            </w:r>
          </w:p>
        </w:tc>
        <w:tc>
          <w:tcPr>
            <w:tcW w:type="dxa" w:w="3249"/>
            <w:vAlign w:val="center"/>
          </w:tcPr>
          <w:p>
            <w:pPr>
              <w:spacing w:line="276" w:lineRule="auto" w:before="0" w:after="0"/>
            </w:pPr>
            <w:r/>
            <w:r>
              <w:rPr>
                <w:rFonts w:ascii="Figtree" w:hAnsi="Figtree"/>
                <w:b w:val="0"/>
                <w:i w:val="0"/>
                <w:sz w:val="20"/>
              </w:rPr>
              <w:t>Time and materials</w:t>
            </w:r>
          </w:p>
        </w:tc>
        <w:tc>
          <w:tcPr>
            <w:tcW w:type="dxa" w:w="3249"/>
            <w:vAlign w:val="center"/>
          </w:tcPr>
          <w:p>
            <w:pPr>
              <w:spacing w:line="276" w:lineRule="auto" w:before="0" w:after="0"/>
            </w:pPr>
            <w:r/>
            <w:r>
              <w:rPr>
                <w:rFonts w:ascii="Figtree" w:hAnsi="Figtree"/>
                <w:b w:val="0"/>
                <w:i w:val="0"/>
                <w:sz w:val="20"/>
              </w:rPr>
              <w:t>Contact for pricing</w:t>
            </w:r>
          </w:p>
        </w:tc>
      </w:tr>
      <w:tr>
        <w:trPr>
          <w:trHeight w:val="425" w:hRule="atLeast"/>
        </w:trPr>
        <w:tc>
          <w:tcPr>
            <w:tcW w:type="dxa" w:w="3249"/>
            <w:vAlign w:val="center"/>
          </w:tcPr>
          <w:p>
            <w:pPr>
              <w:spacing w:line="276" w:lineRule="auto" w:before="0" w:after="0"/>
            </w:pPr>
            <w:r/>
            <w:r>
              <w:rPr>
                <w:rFonts w:ascii="Figtree" w:hAnsi="Figtree"/>
                <w:b w:val="0"/>
                <w:i w:val="0"/>
                <w:sz w:val="20"/>
              </w:rPr>
              <w:t>Phase 4: Integration and Testing</w:t>
            </w:r>
          </w:p>
        </w:tc>
        <w:tc>
          <w:tcPr>
            <w:tcW w:type="dxa" w:w="3249"/>
            <w:vAlign w:val="center"/>
          </w:tcPr>
          <w:p>
            <w:pPr>
              <w:spacing w:line="276" w:lineRule="auto" w:before="0" w:after="0"/>
            </w:pPr>
            <w:r/>
            <w:r>
              <w:rPr>
                <w:rFonts w:ascii="Figtree" w:hAnsi="Figtree"/>
                <w:b w:val="0"/>
                <w:i w:val="0"/>
                <w:sz w:val="20"/>
              </w:rPr>
              <w:t>Time and materials</w:t>
            </w:r>
          </w:p>
        </w:tc>
        <w:tc>
          <w:tcPr>
            <w:tcW w:type="dxa" w:w="3249"/>
            <w:vAlign w:val="center"/>
          </w:tcPr>
          <w:p>
            <w:pPr>
              <w:spacing w:line="276" w:lineRule="auto" w:before="0" w:after="0"/>
            </w:pPr>
            <w:r/>
            <w:r>
              <w:rPr>
                <w:rFonts w:ascii="Figtree" w:hAnsi="Figtree"/>
                <w:b w:val="0"/>
                <w:i w:val="0"/>
                <w:sz w:val="20"/>
              </w:rPr>
              <w:t>Contact for pricing</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Contact for pricing</w:t>
            </w:r>
          </w:p>
        </w:tc>
      </w:tr>
      <w:tr>
        <w:trPr>
          <w:trHeight w:val="425" w:hRule="atLeast"/>
        </w:trPr>
        <w:tc>
          <w:tcPr>
            <w:tcW w:type="dxa" w:w="3249"/>
            <w:vAlign w:val="center"/>
          </w:tcPr>
          <w:p>
            <w:pPr>
              <w:spacing w:line="276" w:lineRule="auto" w:before="0" w:after="0"/>
            </w:pPr>
            <w:r/>
            <w:r>
              <w:rPr>
                <w:rFonts w:ascii="Figtree" w:hAnsi="Figtree"/>
                <w:b w:val="0"/>
                <w:i w:val="0"/>
                <w:sz w:val="20"/>
              </w:rPr>
              <w:t>Phase 6: Hypercare</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Contact for pricing</w:t>
            </w:r>
          </w:p>
        </w:tc>
      </w:tr>
    </w:tbl>
    <w:p>
      <w:pPr>
        <w:spacing w:before="0" w:after="0" w:line="120" w:lineRule="exact"/>
      </w:pPr>
    </w:p>
    <w:p>
      <w:r>
        <w:rPr>
          <w:rFonts w:ascii="Figtree" w:hAnsi="Figtree"/>
          <w:b/>
          <w:i w:val="0"/>
          <w:sz w:val="22"/>
        </w:rPr>
        <w:t>Total Implementation Estimate:</w:t>
      </w:r>
      <w:r>
        <w:rPr>
          <w:rFonts w:ascii="Figtree" w:hAnsi="Figtree"/>
          <w:b w:val="0"/>
          <w:i w:val="0"/>
          <w:sz w:val="22"/>
        </w:rPr>
        <w:t xml:space="preserve"> Contact for pricing</w:t>
      </w:r>
    </w:p>
    <w:p>
      <w:pPr>
        <w:pStyle w:val="H2"/>
        <w:numPr>
          <w:ilvl w:val="1"/>
          <w:numId w:val="1"/>
        </w:numPr>
      </w:pPr>
      <w:r>
        <w:t>2.3 Support and Maintenance</w:t>
      </w:r>
    </w:p>
    <w:p>
      <w:r>
        <w:rPr>
          <w:rFonts w:ascii="Figtree" w:hAnsi="Figtree"/>
          <w:b w:val="0"/>
          <w:i w:val="0"/>
          <w:sz w:val="22"/>
        </w:rPr>
        <w:t>Annual support services are included in the platform subscription. Additional premium support tiers are available.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3"/>
        <w:gridCol w:w="3663"/>
        <w:gridCol w:w="331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Support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(ZAR)</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Yes (in subscription)</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Optional upgrade</w:t>
            </w:r>
          </w:p>
        </w:tc>
        <w:tc>
          <w:tcPr>
            <w:tcW w:type="dxa" w:w="3249"/>
            <w:vAlign w:val="center"/>
          </w:tcPr>
          <w:p>
            <w:pPr>
              <w:spacing w:line="276" w:lineRule="auto" w:before="0" w:after="0"/>
            </w:pPr>
            <w:r/>
            <w:r>
              <w:rPr>
                <w:rFonts w:ascii="Figtree" w:hAnsi="Figtree"/>
                <w:b w:val="0"/>
                <w:i w:val="0"/>
                <w:sz w:val="20"/>
              </w:rPr>
              <w:t>Contact for pricing</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Optional upgrade</w:t>
            </w:r>
          </w:p>
        </w:tc>
        <w:tc>
          <w:tcPr>
            <w:tcW w:type="dxa" w:w="3249"/>
            <w:vAlign w:val="center"/>
          </w:tcPr>
          <w:p>
            <w:pPr>
              <w:spacing w:line="276" w:lineRule="auto" w:before="0" w:after="0"/>
            </w:pPr>
            <w:r/>
            <w:r>
              <w:rPr>
                <w:rFonts w:ascii="Figtree" w:hAnsi="Figtree"/>
                <w:b w:val="0"/>
                <w:i w:val="0"/>
                <w:sz w:val="20"/>
              </w:rPr>
              <w:t>Contact for pricing</w:t>
            </w:r>
          </w:p>
        </w:tc>
      </w:tr>
    </w:tbl>
    <w:p>
      <w:pPr>
        <w:spacing w:before="0" w:after="0" w:line="120" w:lineRule="exact"/>
      </w:pPr>
    </w:p>
    <w:p>
      <w:r>
        <w:br w:type="page"/>
      </w:r>
    </w:p>
    <w:p>
      <w:r>
        <w:rPr>
          <w:rFonts w:ascii="Figtree" w:hAnsi="Figtree"/>
          <w:b w:val="0"/>
          <w:i w:val="0"/>
          <w:sz w:val="22"/>
        </w:rPr>
        <w:t>\pagebreak</w:t>
      </w:r>
    </w:p>
    <w:p>
      <w:pPr>
        <w:pStyle w:val="H1"/>
        <w:numPr>
          <w:ilvl w:val="0"/>
          <w:numId w:val="1"/>
        </w:numPr>
      </w:pPr>
      <w:r>
        <w:t>3. Licensing and Subscription Model</w:t>
      </w:r>
    </w:p>
    <w:p>
      <w:pPr>
        <w:pStyle w:val="H2"/>
        <w:numPr>
          <w:ilvl w:val="1"/>
          <w:numId w:val="1"/>
        </w:numPr>
      </w:pPr>
      <w:r>
        <w:t>3.1 Subscription Components</w:t>
      </w:r>
    </w:p>
    <w:p>
      <w:r>
        <w:rPr>
          <w:rFonts w:ascii="Figtree" w:hAnsi="Figtree"/>
          <w:b w:val="0"/>
          <w:i w:val="0"/>
          <w:sz w:val="22"/>
        </w:rPr>
        <w:t>The annual platform subscription includes:</w:t>
      </w:r>
    </w:p>
    <w:p>
      <w:r>
        <w:rPr>
          <w:rFonts w:ascii="Figtree" w:hAnsi="Figtree"/>
          <w:b/>
          <w:i w:val="0"/>
          <w:sz w:val="22"/>
        </w:rPr>
        <w:t>Software License:</w:t>
      </w:r>
    </w:p>
    <w:p>
      <w:pPr>
        <w:pStyle w:val="ListParagraph"/>
        <w:numPr>
          <w:ilvl w:val="0"/>
          <w:numId w:val="4"/>
        </w:numPr>
      </w:pPr>
      <w:r>
        <w:rPr>
          <w:rFonts w:ascii="Figtree" w:hAnsi="Figtree"/>
          <w:b w:val="0"/>
          <w:i w:val="0"/>
          <w:sz w:val="22"/>
        </w:rPr>
        <w:t>DALP platform access</w:t>
      </w:r>
    </w:p>
    <w:p>
      <w:pPr>
        <w:pStyle w:val="ListParagraph"/>
        <w:numPr>
          <w:ilvl w:val="0"/>
          <w:numId w:val="4"/>
        </w:numPr>
      </w:pPr>
      <w:r>
        <w:rPr>
          <w:rFonts w:ascii="Figtree" w:hAnsi="Figtree"/>
          <w:b w:val="0"/>
          <w:i w:val="0"/>
          <w:sz w:val="22"/>
        </w:rPr>
        <w:t>All asset class templates</w:t>
      </w:r>
    </w:p>
    <w:p>
      <w:pPr>
        <w:pStyle w:val="ListParagraph"/>
        <w:numPr>
          <w:ilvl w:val="0"/>
          <w:numId w:val="4"/>
        </w:numPr>
      </w:pPr>
      <w:r>
        <w:rPr>
          <w:rFonts w:ascii="Figtree" w:hAnsi="Figtree"/>
          <w:b w:val="0"/>
          <w:i w:val="0"/>
          <w:sz w:val="22"/>
        </w:rPr>
        <w:t>Compliance module library</w:t>
      </w:r>
    </w:p>
    <w:p>
      <w:pPr>
        <w:pStyle w:val="ListParagraph"/>
        <w:numPr>
          <w:ilvl w:val="0"/>
          <w:numId w:val="4"/>
        </w:numPr>
      </w:pPr>
      <w:r>
        <w:rPr>
          <w:rFonts w:ascii="Figtree" w:hAnsi="Figtree"/>
          <w:b w:val="0"/>
          <w:i w:val="0"/>
          <w:sz w:val="22"/>
        </w:rPr>
        <w:t>API and SDK access</w:t>
      </w:r>
    </w:p>
    <w:p>
      <w:pPr>
        <w:pStyle w:val="ListParagraph"/>
        <w:numPr>
          <w:ilvl w:val="0"/>
          <w:numId w:val="4"/>
        </w:numPr>
      </w:pPr>
      <w:r>
        <w:rPr>
          <w:rFonts w:ascii="Figtree" w:hAnsi="Figtree"/>
          <w:b w:val="0"/>
          <w:i w:val="0"/>
          <w:sz w:val="22"/>
        </w:rPr>
        <w:t>Standard integrations (Fireblocks, DFNS)</w:t>
      </w:r>
    </w:p>
    <w:p>
      <w:r>
        <w:rPr>
          <w:rFonts w:ascii="Figtree" w:hAnsi="Figtree"/>
          <w:b/>
          <w:i w:val="0"/>
          <w:sz w:val="22"/>
        </w:rPr>
        <w:t>Platform Updates:</w:t>
      </w:r>
    </w:p>
    <w:p>
      <w:pPr>
        <w:pStyle w:val="ListParagraph"/>
        <w:numPr>
          <w:ilvl w:val="0"/>
          <w:numId w:val="4"/>
        </w:numPr>
      </w:pPr>
      <w:r>
        <w:rPr>
          <w:rFonts w:ascii="Figtree" w:hAnsi="Figtree"/>
          <w:b w:val="0"/>
          <w:i w:val="0"/>
          <w:sz w:val="22"/>
        </w:rPr>
        <w:t>Quarterly feature releases</w:t>
      </w:r>
    </w:p>
    <w:p>
      <w:pPr>
        <w:pStyle w:val="ListParagraph"/>
        <w:numPr>
          <w:ilvl w:val="0"/>
          <w:numId w:val="4"/>
        </w:numPr>
      </w:pPr>
      <w:r>
        <w:rPr>
          <w:rFonts w:ascii="Figtree" w:hAnsi="Figtree"/>
          <w:b w:val="0"/>
          <w:i w:val="0"/>
          <w:sz w:val="22"/>
        </w:rPr>
        <w:t>Security patches</w:t>
      </w:r>
    </w:p>
    <w:p>
      <w:pPr>
        <w:pStyle w:val="ListParagraph"/>
        <w:numPr>
          <w:ilvl w:val="0"/>
          <w:numId w:val="4"/>
        </w:numPr>
      </w:pPr>
      <w:r>
        <w:rPr>
          <w:rFonts w:ascii="Figtree" w:hAnsi="Figtree"/>
          <w:b w:val="0"/>
          <w:i w:val="0"/>
          <w:sz w:val="22"/>
        </w:rPr>
        <w:t>Compliance updates for regulatory changes</w:t>
      </w:r>
    </w:p>
    <w:p>
      <w:pPr>
        <w:pStyle w:val="ListParagraph"/>
        <w:numPr>
          <w:ilvl w:val="0"/>
          <w:numId w:val="4"/>
        </w:numPr>
      </w:pPr>
      <w:r>
        <w:rPr>
          <w:rFonts w:ascii="Figtree" w:hAnsi="Figtree"/>
          <w:b w:val="0"/>
          <w:i w:val="0"/>
          <w:sz w:val="22"/>
        </w:rPr>
        <w:t>Performance improvements</w:t>
      </w:r>
    </w:p>
    <w:p>
      <w:r>
        <w:rPr>
          <w:rFonts w:ascii="Figtree" w:hAnsi="Figtree"/>
          <w:b/>
          <w:i w:val="0"/>
          <w:sz w:val="22"/>
        </w:rPr>
        <w:t>Support Services (Standard Tier):</w:t>
      </w:r>
    </w:p>
    <w:p>
      <w:pPr>
        <w:pStyle w:val="ListParagraph"/>
        <w:numPr>
          <w:ilvl w:val="0"/>
          <w:numId w:val="4"/>
        </w:numPr>
      </w:pPr>
      <w:r>
        <w:rPr>
          <w:rFonts w:ascii="Figtree" w:hAnsi="Figtree"/>
          <w:b w:val="0"/>
          <w:i w:val="0"/>
          <w:sz w:val="22"/>
        </w:rPr>
        <w:t>Business hours support (9am-5pm SAST)</w:t>
      </w:r>
    </w:p>
    <w:p>
      <w:pPr>
        <w:pStyle w:val="ListParagraph"/>
        <w:numPr>
          <w:ilvl w:val="0"/>
          <w:numId w:val="4"/>
        </w:numPr>
      </w:pPr>
      <w:r>
        <w:rPr>
          <w:rFonts w:ascii="Figtree" w:hAnsi="Figtree"/>
          <w:b w:val="0"/>
          <w:i w:val="0"/>
          <w:sz w:val="22"/>
        </w:rPr>
        <w:t>Email and ticketing</w:t>
      </w:r>
    </w:p>
    <w:p>
      <w:pPr>
        <w:pStyle w:val="ListParagraph"/>
        <w:numPr>
          <w:ilvl w:val="0"/>
          <w:numId w:val="4"/>
        </w:numPr>
      </w:pPr>
      <w:r>
        <w:rPr>
          <w:rFonts w:ascii="Figtree" w:hAnsi="Figtree"/>
          <w:b w:val="0"/>
          <w:i w:val="0"/>
          <w:sz w:val="22"/>
        </w:rPr>
        <w:t>4-hour response for P1 issues</w:t>
      </w:r>
    </w:p>
    <w:p>
      <w:pPr>
        <w:pStyle w:val="ListParagraph"/>
        <w:numPr>
          <w:ilvl w:val="0"/>
          <w:numId w:val="4"/>
        </w:numPr>
      </w:pPr>
      <w:r>
        <w:rPr>
          <w:rFonts w:ascii="Figtree" w:hAnsi="Figtree"/>
          <w:b w:val="0"/>
          <w:i w:val="0"/>
          <w:sz w:val="22"/>
        </w:rPr>
        <w:t>Monthly system health reviews</w:t>
      </w:r>
    </w:p>
    <w:p>
      <w:pPr>
        <w:pStyle w:val="H2"/>
        <w:numPr>
          <w:ilvl w:val="1"/>
          <w:numId w:val="1"/>
        </w:numPr>
      </w:pPr>
      <w:r>
        <w:t>3.2 Subscription Term</w:t>
      </w:r>
    </w:p>
    <w:p>
      <w:r>
        <w:rPr>
          <w:rFonts w:ascii="Figtree" w:hAnsi="Figtree"/>
          <w:b/>
          <w:i w:val="0"/>
          <w:sz w:val="22"/>
        </w:rPr>
        <w:t>Initial Term:</w:t>
      </w:r>
      <w:r>
        <w:rPr>
          <w:rFonts w:ascii="Figtree" w:hAnsi="Figtree"/>
          <w:b w:val="0"/>
          <w:i w:val="0"/>
          <w:sz w:val="22"/>
        </w:rPr>
        <w:t xml:space="preserve"> Three years</w:t>
      </w:r>
    </w:p>
    <w:p>
      <w:r>
        <w:rPr>
          <w:rFonts w:ascii="Figtree" w:hAnsi="Figtree"/>
          <w:b/>
          <w:i w:val="0"/>
          <w:sz w:val="22"/>
        </w:rPr>
        <w:t>Renewal:</w:t>
      </w:r>
      <w:r>
        <w:rPr>
          <w:rFonts w:ascii="Figtree" w:hAnsi="Figtree"/>
          <w:b w:val="0"/>
          <w:i w:val="0"/>
          <w:sz w:val="22"/>
        </w:rPr>
        <w:t xml:space="preserve"> Annual renewal thereafter at then-current pricing</w:t>
      </w:r>
    </w:p>
    <w:p>
      <w:r>
        <w:rPr>
          <w:rFonts w:ascii="Figtree" w:hAnsi="Figtree"/>
          <w:b/>
          <w:i w:val="0"/>
          <w:sz w:val="22"/>
        </w:rPr>
        <w:t>Early Termination:</w:t>
      </w:r>
      <w:r>
        <w:rPr>
          <w:rFonts w:ascii="Figtree" w:hAnsi="Figtree"/>
          <w:b w:val="0"/>
          <w:i w:val="0"/>
          <w:sz w:val="22"/>
        </w:rPr>
        <w:t xml:space="preserve"> 90-day notice period; no refund of prepaid fees</w:t>
      </w:r>
    </w:p>
    <w:p>
      <w:pPr>
        <w:pStyle w:val="H2"/>
        <w:numPr>
          <w:ilvl w:val="1"/>
          <w:numId w:val="1"/>
        </w:numPr>
      </w:pPr>
      <w:r>
        <w:t>3.3 Scalability Model</w:t>
      </w:r>
    </w:p>
    <w:p>
      <w:r>
        <w:rPr>
          <w:rFonts w:ascii="Figtree" w:hAnsi="Figtree"/>
          <w:b w:val="0"/>
          <w:i w:val="0"/>
          <w:sz w:val="22"/>
        </w:rPr>
        <w:t>The Enterprise tier supports unlimited participant onboarding and multiple asset classes. Additional blockchain networks can be activated through the subscription at no extra cost. This approach ensures that JSE's growth does not create incremental licensing costs that could influence business decisions.</w:t>
      </w:r>
    </w:p>
    <w:p>
      <w:r>
        <w:br w:type="page"/>
      </w:r>
    </w:p>
    <w:p>
      <w:r>
        <w:rPr>
          <w:rFonts w:ascii="Figtree" w:hAnsi="Figtree"/>
          <w:b w:val="0"/>
          <w:i w:val="0"/>
          <w:sz w:val="22"/>
        </w:rPr>
        <w:t>\pagebreak</w:t>
      </w:r>
    </w:p>
    <w:p>
      <w:pPr>
        <w:pStyle w:val="H1"/>
        <w:numPr>
          <w:ilvl w:val="0"/>
          <w:numId w:val="1"/>
        </w:numPr>
      </w:pPr>
      <w:r>
        <w:t>4. Implementation Services</w:t>
      </w:r>
    </w:p>
    <w:p>
      <w:pPr>
        <w:pStyle w:val="H2"/>
        <w:numPr>
          <w:ilvl w:val="1"/>
          <w:numId w:val="1"/>
        </w:numPr>
      </w:pPr>
      <w:r>
        <w:t>4.1 Implementation Approach</w:t>
      </w:r>
    </w:p>
    <w:p>
      <w:r>
        <w:rPr>
          <w:rFonts w:ascii="Figtree" w:hAnsi="Figtree"/>
          <w:b w:val="0"/>
          <w:i w:val="0"/>
          <w:sz w:val="22"/>
        </w:rPr>
        <w:t>Implementation follows the six-phase methodology described in the technical proposal. Each phase has defined deliverables, dependencies, and acceptance criteria.</w:t>
      </w:r>
    </w:p>
    <w:p>
      <w:pPr>
        <w:pStyle w:val="H2"/>
        <w:numPr>
          <w:ilvl w:val="1"/>
          <w:numId w:val="1"/>
        </w:numPr>
      </w:pPr>
      <w:r>
        <w:t>4.2 Resource Requirements</w:t>
      </w:r>
    </w:p>
    <w:p>
      <w:r>
        <w:rPr>
          <w:rFonts w:ascii="Figtree" w:hAnsi="Figtree"/>
          <w:b w:val="0"/>
          <w:i w:val="0"/>
          <w:sz w:val="22"/>
        </w:rPr>
        <w:t>Implementation requires dedicated resources from both SettleMint and JSE:</w:t>
      </w:r>
    </w:p>
    <w:p>
      <w:r>
        <w:rPr>
          <w:rFonts w:ascii="Figtree" w:hAnsi="Figtree"/>
          <w:b/>
          <w:i w:val="0"/>
          <w:sz w:val="22"/>
        </w:rPr>
        <w:t>SettleMint Resources:</w:t>
      </w:r>
    </w:p>
    <w:p>
      <w:pPr>
        <w:pStyle w:val="ListParagraph"/>
        <w:numPr>
          <w:ilvl w:val="0"/>
          <w:numId w:val="4"/>
        </w:numPr>
      </w:pPr>
      <w:r>
        <w:rPr>
          <w:rFonts w:ascii="Figtree" w:hAnsi="Figtree"/>
          <w:b w:val="0"/>
          <w:i w:val="0"/>
          <w:sz w:val="22"/>
        </w:rPr>
        <w:t>Project Manager</w:t>
      </w:r>
    </w:p>
    <w:p>
      <w:pPr>
        <w:pStyle w:val="ListParagraph"/>
        <w:numPr>
          <w:ilvl w:val="0"/>
          <w:numId w:val="4"/>
        </w:numPr>
      </w:pPr>
      <w:r>
        <w:rPr>
          <w:rFonts w:ascii="Figtree" w:hAnsi="Figtree"/>
          <w:b w:val="0"/>
          <w:i w:val="0"/>
          <w:sz w:val="22"/>
        </w:rPr>
        <w:t>Solution Architect</w:t>
      </w:r>
    </w:p>
    <w:p>
      <w:pPr>
        <w:pStyle w:val="ListParagraph"/>
        <w:numPr>
          <w:ilvl w:val="0"/>
          <w:numId w:val="4"/>
        </w:numPr>
      </w:pPr>
      <w:r>
        <w:rPr>
          <w:rFonts w:ascii="Figtree" w:hAnsi="Figtree"/>
          <w:b w:val="0"/>
          <w:i w:val="0"/>
          <w:sz w:val="22"/>
        </w:rPr>
        <w:t>Technical Lead</w:t>
      </w:r>
    </w:p>
    <w:p>
      <w:pPr>
        <w:pStyle w:val="ListParagraph"/>
        <w:numPr>
          <w:ilvl w:val="0"/>
          <w:numId w:val="4"/>
        </w:numPr>
      </w:pPr>
      <w:r>
        <w:rPr>
          <w:rFonts w:ascii="Figtree" w:hAnsi="Figtree"/>
          <w:b w:val="0"/>
          <w:i w:val="0"/>
          <w:sz w:val="22"/>
        </w:rPr>
        <w:t>DevOps Engineer</w:t>
      </w:r>
    </w:p>
    <w:p>
      <w:pPr>
        <w:pStyle w:val="ListParagraph"/>
        <w:numPr>
          <w:ilvl w:val="0"/>
          <w:numId w:val="4"/>
        </w:numPr>
      </w:pPr>
      <w:r>
        <w:rPr>
          <w:rFonts w:ascii="Figtree" w:hAnsi="Figtree"/>
          <w:b w:val="0"/>
          <w:i w:val="0"/>
          <w:sz w:val="22"/>
        </w:rPr>
        <w:t>Integration Developers</w:t>
      </w:r>
    </w:p>
    <w:p>
      <w:pPr>
        <w:pStyle w:val="ListParagraph"/>
        <w:numPr>
          <w:ilvl w:val="0"/>
          <w:numId w:val="4"/>
        </w:numPr>
      </w:pPr>
      <w:r>
        <w:rPr>
          <w:rFonts w:ascii="Figtree" w:hAnsi="Figtree"/>
          <w:b w:val="0"/>
          <w:i w:val="0"/>
          <w:sz w:val="22"/>
        </w:rPr>
        <w:t>QA Engineer</w:t>
      </w:r>
    </w:p>
    <w:p>
      <w:r>
        <w:rPr>
          <w:rFonts w:ascii="Figtree" w:hAnsi="Figtree"/>
          <w:b/>
          <w:i w:val="0"/>
          <w:sz w:val="22"/>
        </w:rPr>
        <w:t>JSE Resources:</w:t>
      </w:r>
    </w:p>
    <w:p>
      <w:pPr>
        <w:pStyle w:val="ListParagraph"/>
        <w:numPr>
          <w:ilvl w:val="0"/>
          <w:numId w:val="4"/>
        </w:numPr>
      </w:pPr>
      <w:r>
        <w:rPr>
          <w:rFonts w:ascii="Figtree" w:hAnsi="Figtree"/>
          <w:b w:val="0"/>
          <w:i w:val="0"/>
          <w:sz w:val="22"/>
        </w:rPr>
        <w:t>Project Sponsor</w:t>
      </w:r>
    </w:p>
    <w:p>
      <w:pPr>
        <w:pStyle w:val="ListParagraph"/>
        <w:numPr>
          <w:ilvl w:val="0"/>
          <w:numId w:val="4"/>
        </w:numPr>
      </w:pPr>
      <w:r>
        <w:rPr>
          <w:rFonts w:ascii="Figtree" w:hAnsi="Figtree"/>
          <w:b w:val="0"/>
          <w:i w:val="0"/>
          <w:sz w:val="22"/>
        </w:rPr>
        <w:t>Business Analysts</w:t>
      </w:r>
    </w:p>
    <w:p>
      <w:pPr>
        <w:pStyle w:val="ListParagraph"/>
        <w:numPr>
          <w:ilvl w:val="0"/>
          <w:numId w:val="4"/>
        </w:numPr>
      </w:pPr>
      <w:r>
        <w:rPr>
          <w:rFonts w:ascii="Figtree" w:hAnsi="Figtree"/>
          <w:b w:val="0"/>
          <w:i w:val="0"/>
          <w:sz w:val="22"/>
        </w:rPr>
        <w:t>Technical Contacts</w:t>
      </w:r>
    </w:p>
    <w:p>
      <w:pPr>
        <w:pStyle w:val="ListParagraph"/>
        <w:numPr>
          <w:ilvl w:val="0"/>
          <w:numId w:val="4"/>
        </w:numPr>
      </w:pPr>
      <w:r>
        <w:rPr>
          <w:rFonts w:ascii="Figtree" w:hAnsi="Figtree"/>
          <w:b w:val="0"/>
          <w:i w:val="0"/>
          <w:sz w:val="22"/>
        </w:rPr>
        <w:t>Integration Team</w:t>
      </w:r>
    </w:p>
    <w:p>
      <w:pPr>
        <w:pStyle w:val="ListParagraph"/>
        <w:numPr>
          <w:ilvl w:val="0"/>
          <w:numId w:val="4"/>
        </w:numPr>
      </w:pPr>
      <w:r>
        <w:rPr>
          <w:rFonts w:ascii="Figtree" w:hAnsi="Figtree"/>
          <w:b w:val="0"/>
          <w:i w:val="0"/>
          <w:sz w:val="22"/>
        </w:rPr>
        <w:t>Compliance Contacts</w:t>
      </w:r>
    </w:p>
    <w:p>
      <w:pPr>
        <w:pStyle w:val="H2"/>
        <w:numPr>
          <w:ilvl w:val="1"/>
          <w:numId w:val="1"/>
        </w:numPr>
      </w:pPr>
      <w:r>
        <w:t>4.3 Implementation 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75"/>
        <w:gridCol w:w="1209"/>
        <w:gridCol w:w="33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Dependencies</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 and Requirements</w:t>
            </w:r>
          </w:p>
        </w:tc>
        <w:tc>
          <w:tcPr>
            <w:tcW w:type="dxa" w:w="3249"/>
            <w:vAlign w:val="center"/>
          </w:tcPr>
          <w:p>
            <w:pPr>
              <w:spacing w:line="276" w:lineRule="auto" w:before="0" w:after="0"/>
            </w:pPr>
            <w:r/>
            <w:r>
              <w:rPr>
                <w:rFonts w:ascii="Figtree" w:hAnsi="Figtree"/>
                <w:b w:val="0"/>
                <w:i w:val="0"/>
                <w:sz w:val="20"/>
              </w:rPr>
              <w:t>4-6 weeks</w:t>
            </w:r>
          </w:p>
        </w:tc>
        <w:tc>
          <w:tcPr>
            <w:tcW w:type="dxa" w:w="3249"/>
            <w:vAlign w:val="center"/>
          </w:tcPr>
          <w:p>
            <w:pPr>
              <w:spacing w:line="276" w:lineRule="auto" w:before="0" w:after="0"/>
            </w:pPr>
            <w:r/>
            <w:r>
              <w:rPr>
                <w:rFonts w:ascii="Figtree" w:hAnsi="Figtree"/>
                <w:b w:val="0"/>
                <w:i w:val="0"/>
                <w:sz w:val="20"/>
              </w:rPr>
              <w:t>JSE stakeholder availability</w:t>
            </w:r>
          </w:p>
        </w:tc>
      </w:tr>
      <w:tr>
        <w:trPr>
          <w:trHeight w:val="425" w:hRule="atLeast"/>
        </w:trPr>
        <w:tc>
          <w:tcPr>
            <w:tcW w:type="dxa" w:w="3249"/>
            <w:vAlign w:val="center"/>
          </w:tcPr>
          <w:p>
            <w:pPr>
              <w:spacing w:line="276" w:lineRule="auto" w:before="0" w:after="0"/>
            </w:pPr>
            <w:r/>
            <w:r>
              <w:rPr>
                <w:rFonts w:ascii="Figtree" w:hAnsi="Figtree"/>
                <w:b w:val="0"/>
                <w:i w:val="0"/>
                <w:sz w:val="20"/>
              </w:rPr>
              <w:t>Phase 2: Foundation and Setup</w:t>
            </w:r>
          </w:p>
        </w:tc>
        <w:tc>
          <w:tcPr>
            <w:tcW w:type="dxa" w:w="3249"/>
            <w:vAlign w:val="center"/>
          </w:tcPr>
          <w:p>
            <w:pPr>
              <w:spacing w:line="276" w:lineRule="auto" w:before="0" w:after="0"/>
            </w:pPr>
            <w:r/>
            <w:r>
              <w:rPr>
                <w:rFonts w:ascii="Figtree" w:hAnsi="Figtree"/>
                <w:b w:val="0"/>
                <w:i w:val="0"/>
                <w:sz w:val="20"/>
              </w:rPr>
              <w:t>4-6 weeks</w:t>
            </w:r>
          </w:p>
        </w:tc>
        <w:tc>
          <w:tcPr>
            <w:tcW w:type="dxa" w:w="3249"/>
            <w:vAlign w:val="center"/>
          </w:tcPr>
          <w:p>
            <w:pPr>
              <w:spacing w:line="276" w:lineRule="auto" w:before="0" w:after="0"/>
            </w:pPr>
            <w:r/>
            <w:r>
              <w:rPr>
                <w:rFonts w:ascii="Figtree" w:hAnsi="Figtree"/>
                <w:b w:val="0"/>
                <w:i w:val="0"/>
                <w:sz w:val="20"/>
              </w:rPr>
              <w:t>Infrastructure access</w:t>
            </w:r>
          </w:p>
        </w:tc>
      </w:tr>
      <w:tr>
        <w:trPr>
          <w:trHeight w:val="425" w:hRule="atLeast"/>
        </w:trPr>
        <w:tc>
          <w:tcPr>
            <w:tcW w:type="dxa" w:w="3249"/>
            <w:vAlign w:val="center"/>
          </w:tcPr>
          <w:p>
            <w:pPr>
              <w:spacing w:line="276" w:lineRule="auto" w:before="0" w:after="0"/>
            </w:pPr>
            <w:r/>
            <w:r>
              <w:rPr>
                <w:rFonts w:ascii="Figtree" w:hAnsi="Figtree"/>
                <w:b w:val="0"/>
                <w:i w:val="0"/>
                <w:sz w:val="20"/>
              </w:rPr>
              <w:t>Phase 3: Configuration and Compliance</w:t>
            </w:r>
          </w:p>
        </w:tc>
        <w:tc>
          <w:tcPr>
            <w:tcW w:type="dxa" w:w="3249"/>
            <w:vAlign w:val="center"/>
          </w:tcPr>
          <w:p>
            <w:pPr>
              <w:spacing w:line="276" w:lineRule="auto" w:before="0" w:after="0"/>
            </w:pPr>
            <w:r/>
            <w:r>
              <w:rPr>
                <w:rFonts w:ascii="Figtree" w:hAnsi="Figtree"/>
                <w:b w:val="0"/>
                <w:i w:val="0"/>
                <w:sz w:val="20"/>
              </w:rPr>
              <w:t>6-8 weeks</w:t>
            </w:r>
          </w:p>
        </w:tc>
        <w:tc>
          <w:tcPr>
            <w:tcW w:type="dxa" w:w="3249"/>
            <w:vAlign w:val="center"/>
          </w:tcPr>
          <w:p>
            <w:pPr>
              <w:spacing w:line="276" w:lineRule="auto" w:before="0" w:after="0"/>
            </w:pPr>
            <w:r/>
            <w:r>
              <w:rPr>
                <w:rFonts w:ascii="Figtree" w:hAnsi="Figtree"/>
                <w:b w:val="0"/>
                <w:i w:val="0"/>
                <w:sz w:val="20"/>
              </w:rPr>
              <w:t>Requirements finalization</w:t>
            </w:r>
          </w:p>
        </w:tc>
      </w:tr>
      <w:tr>
        <w:trPr>
          <w:trHeight w:val="425" w:hRule="atLeast"/>
        </w:trPr>
        <w:tc>
          <w:tcPr>
            <w:tcW w:type="dxa" w:w="3249"/>
            <w:vAlign w:val="center"/>
          </w:tcPr>
          <w:p>
            <w:pPr>
              <w:spacing w:line="276" w:lineRule="auto" w:before="0" w:after="0"/>
            </w:pPr>
            <w:r/>
            <w:r>
              <w:rPr>
                <w:rFonts w:ascii="Figtree" w:hAnsi="Figtree"/>
                <w:b w:val="0"/>
                <w:i w:val="0"/>
                <w:sz w:val="20"/>
              </w:rPr>
              <w:t>Phase 4: Integration and Testing</w:t>
            </w:r>
          </w:p>
        </w:tc>
        <w:tc>
          <w:tcPr>
            <w:tcW w:type="dxa" w:w="3249"/>
            <w:vAlign w:val="center"/>
          </w:tcPr>
          <w:p>
            <w:pPr>
              <w:spacing w:line="276" w:lineRule="auto" w:before="0" w:after="0"/>
            </w:pPr>
            <w:r/>
            <w:r>
              <w:rPr>
                <w:rFonts w:ascii="Figtree" w:hAnsi="Figtree"/>
                <w:b w:val="0"/>
                <w:i w:val="0"/>
                <w:sz w:val="20"/>
              </w:rPr>
              <w:t>8-10 weeks</w:t>
            </w:r>
          </w:p>
        </w:tc>
        <w:tc>
          <w:tcPr>
            <w:tcW w:type="dxa" w:w="3249"/>
            <w:vAlign w:val="center"/>
          </w:tcPr>
          <w:p>
            <w:pPr>
              <w:spacing w:line="276" w:lineRule="auto" w:before="0" w:after="0"/>
            </w:pPr>
            <w:r/>
            <w:r>
              <w:rPr>
                <w:rFonts w:ascii="Figtree" w:hAnsi="Figtree"/>
                <w:b w:val="0"/>
                <w:i w:val="0"/>
                <w:sz w:val="20"/>
              </w:rPr>
              <w:t>System access</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2-4 weeks</w:t>
            </w:r>
          </w:p>
        </w:tc>
        <w:tc>
          <w:tcPr>
            <w:tcW w:type="dxa" w:w="3249"/>
            <w:vAlign w:val="center"/>
          </w:tcPr>
          <w:p>
            <w:pPr>
              <w:spacing w:line="276" w:lineRule="auto" w:before="0" w:after="0"/>
            </w:pPr>
            <w:r/>
            <w:r>
              <w:rPr>
                <w:rFonts w:ascii="Figtree" w:hAnsi="Figtree"/>
                <w:b w:val="0"/>
                <w:i w:val="0"/>
                <w:sz w:val="20"/>
              </w:rPr>
              <w:t>Readiness approval</w:t>
            </w:r>
          </w:p>
        </w:tc>
      </w:tr>
      <w:tr>
        <w:trPr>
          <w:trHeight w:val="425" w:hRule="atLeast"/>
        </w:trPr>
        <w:tc>
          <w:tcPr>
            <w:tcW w:type="dxa" w:w="3249"/>
            <w:vAlign w:val="center"/>
          </w:tcPr>
          <w:p>
            <w:pPr>
              <w:spacing w:line="276" w:lineRule="auto" w:before="0" w:after="0"/>
            </w:pPr>
            <w:r/>
            <w:r>
              <w:rPr>
                <w:rFonts w:ascii="Figtree" w:hAnsi="Figtree"/>
                <w:b w:val="0"/>
                <w:i w:val="0"/>
                <w:sz w:val="20"/>
              </w:rPr>
              <w:t>Phase 6: 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Go-live completion</w:t>
            </w:r>
          </w:p>
        </w:tc>
      </w:tr>
    </w:tbl>
    <w:p>
      <w:pPr>
        <w:spacing w:before="0" w:after="0" w:line="120" w:lineRule="exact"/>
      </w:pPr>
    </w:p>
    <w:p>
      <w:r>
        <w:rPr>
          <w:rFonts w:ascii="Figtree" w:hAnsi="Figtree"/>
          <w:b/>
          <w:i w:val="0"/>
          <w:sz w:val="22"/>
        </w:rPr>
        <w:t>Estimated Total Duration:</w:t>
      </w:r>
      <w:r>
        <w:rPr>
          <w:rFonts w:ascii="Figtree" w:hAnsi="Figtree"/>
          <w:b w:val="0"/>
          <w:i w:val="0"/>
          <w:sz w:val="22"/>
        </w:rPr>
        <w:t xml:space="preserve"> 28-38 weeks</w:t>
      </w:r>
    </w:p>
    <w:p>
      <w:pPr>
        <w:pStyle w:val="H2"/>
        <w:numPr>
          <w:ilvl w:val="1"/>
          <w:numId w:val="1"/>
        </w:numPr>
      </w:pPr>
      <w:r>
        <w:t>4.4 Payment Terms</w:t>
      </w:r>
    </w:p>
    <w:p>
      <w:r>
        <w:rPr>
          <w:rFonts w:ascii="Figtree" w:hAnsi="Figtree"/>
          <w:b w:val="0"/>
          <w:i w:val="0"/>
          <w:sz w:val="22"/>
        </w:rPr>
        <w:t>Implementation fees are invoiced milestone-based:</w:t>
      </w:r>
    </w:p>
    <w:p>
      <w:pPr>
        <w:pStyle w:val="ListParagraph"/>
        <w:numPr>
          <w:ilvl w:val="0"/>
          <w:numId w:val="4"/>
        </w:numPr>
      </w:pPr>
      <w:r>
        <w:rPr>
          <w:rFonts w:ascii="Figtree" w:hAnsi="Figtree"/>
          <w:b w:val="0"/>
          <w:i w:val="0"/>
          <w:sz w:val="22"/>
        </w:rPr>
        <w:t>30% upon contract signature</w:t>
      </w:r>
    </w:p>
    <w:p>
      <w:pPr>
        <w:pStyle w:val="ListParagraph"/>
        <w:numPr>
          <w:ilvl w:val="0"/>
          <w:numId w:val="4"/>
        </w:numPr>
      </w:pPr>
      <w:r>
        <w:rPr>
          <w:rFonts w:ascii="Figtree" w:hAnsi="Figtree"/>
          <w:b w:val="0"/>
          <w:i w:val="0"/>
          <w:sz w:val="22"/>
        </w:rPr>
        <w:t>30% upon Phase 2 completion</w:t>
      </w:r>
    </w:p>
    <w:p>
      <w:pPr>
        <w:pStyle w:val="ListParagraph"/>
        <w:numPr>
          <w:ilvl w:val="0"/>
          <w:numId w:val="4"/>
        </w:numPr>
      </w:pPr>
      <w:r>
        <w:rPr>
          <w:rFonts w:ascii="Figtree" w:hAnsi="Figtree"/>
          <w:b w:val="0"/>
          <w:i w:val="0"/>
          <w:sz w:val="22"/>
        </w:rPr>
        <w:t>20% upon Phase 5 completion (Go-Live)</w:t>
      </w:r>
    </w:p>
    <w:p>
      <w:pPr>
        <w:pStyle w:val="ListParagraph"/>
        <w:numPr>
          <w:ilvl w:val="0"/>
          <w:numId w:val="4"/>
        </w:numPr>
      </w:pPr>
      <w:r>
        <w:rPr>
          <w:rFonts w:ascii="Figtree" w:hAnsi="Figtree"/>
          <w:b w:val="0"/>
          <w:i w:val="0"/>
          <w:sz w:val="22"/>
        </w:rPr>
        <w:t>20% upon Phase 6 completion (Hypercare)</w:t>
      </w:r>
    </w:p>
    <w:p>
      <w:r>
        <w:br w:type="page"/>
      </w:r>
    </w:p>
    <w:p>
      <w:r>
        <w:rPr>
          <w:rFonts w:ascii="Figtree" w:hAnsi="Figtree"/>
          <w:b w:val="0"/>
          <w:i w:val="0"/>
          <w:sz w:val="22"/>
        </w:rPr>
        <w:t>\pagebreak</w:t>
      </w:r>
    </w:p>
    <w:p>
      <w:pPr>
        <w:pStyle w:val="H1"/>
        <w:numPr>
          <w:ilvl w:val="0"/>
          <w:numId w:val="1"/>
        </w:numPr>
      </w:pPr>
      <w:r>
        <w:t>5. Support and Maintenance</w:t>
      </w:r>
    </w:p>
    <w:p>
      <w:pPr>
        <w:pStyle w:val="H2"/>
        <w:numPr>
          <w:ilvl w:val="1"/>
          <w:numId w:val="1"/>
        </w:numPr>
      </w:pPr>
      <w:r>
        <w:t>5.1 Support Tiers</w:t>
      </w:r>
    </w:p>
    <w:p>
      <w:r>
        <w:rPr>
          <w:rFonts w:ascii="Figtree" w:hAnsi="Figtree"/>
          <w:b w:val="0"/>
          <w:i w:val="0"/>
          <w:sz w:val="22"/>
        </w:rPr>
        <w:t>SettleMint provides three support tiers:</w:t>
      </w:r>
    </w:p>
    <w:p>
      <w:r>
        <w:rPr>
          <w:rFonts w:ascii="Figtree" w:hAnsi="Figtree"/>
          <w:b/>
          <w:i w:val="0"/>
          <w:sz w:val="22"/>
        </w:rPr>
        <w:t>Standard (Included):</w:t>
      </w:r>
    </w:p>
    <w:p>
      <w:pPr>
        <w:pStyle w:val="ListParagraph"/>
        <w:numPr>
          <w:ilvl w:val="0"/>
          <w:numId w:val="4"/>
        </w:numPr>
      </w:pPr>
      <w:r>
        <w:rPr>
          <w:rFonts w:ascii="Figtree" w:hAnsi="Figtree"/>
          <w:b w:val="0"/>
          <w:i w:val="0"/>
          <w:sz w:val="22"/>
        </w:rPr>
        <w:t>Business hours support (9am-5pm SAST)</w:t>
      </w:r>
    </w:p>
    <w:p>
      <w:pPr>
        <w:pStyle w:val="ListParagraph"/>
        <w:numPr>
          <w:ilvl w:val="0"/>
          <w:numId w:val="4"/>
        </w:numPr>
      </w:pPr>
      <w:r>
        <w:rPr>
          <w:rFonts w:ascii="Figtree" w:hAnsi="Figtree"/>
          <w:b w:val="0"/>
          <w:i w:val="0"/>
          <w:sz w:val="22"/>
        </w:rPr>
        <w:t>Email and ticketing system</w:t>
      </w:r>
    </w:p>
    <w:p>
      <w:pPr>
        <w:pStyle w:val="ListParagraph"/>
        <w:numPr>
          <w:ilvl w:val="0"/>
          <w:numId w:val="4"/>
        </w:numPr>
      </w:pPr>
      <w:r>
        <w:rPr>
          <w:rFonts w:ascii="Figtree" w:hAnsi="Figtree"/>
          <w:b w:val="0"/>
          <w:i w:val="0"/>
          <w:sz w:val="22"/>
        </w:rPr>
        <w:t>4-hour response P1, 8-hour response P2</w:t>
      </w:r>
    </w:p>
    <w:p>
      <w:pPr>
        <w:pStyle w:val="ListParagraph"/>
        <w:numPr>
          <w:ilvl w:val="0"/>
          <w:numId w:val="4"/>
        </w:numPr>
      </w:pPr>
      <w:r>
        <w:rPr>
          <w:rFonts w:ascii="Figtree" w:hAnsi="Figtree"/>
          <w:b w:val="0"/>
          <w:i w:val="0"/>
          <w:sz w:val="22"/>
        </w:rPr>
        <w:t>Monthly health reviews</w:t>
      </w:r>
    </w:p>
    <w:p>
      <w:pPr>
        <w:pStyle w:val="ListParagraph"/>
        <w:numPr>
          <w:ilvl w:val="0"/>
          <w:numId w:val="4"/>
        </w:numPr>
      </w:pPr>
      <w:r>
        <w:rPr>
          <w:rFonts w:ascii="Figtree" w:hAnsi="Figtree"/>
          <w:b w:val="0"/>
          <w:i w:val="0"/>
          <w:sz w:val="22"/>
        </w:rPr>
        <w:t>Quarterly platform updates</w:t>
      </w:r>
    </w:p>
    <w:p>
      <w:r>
        <w:rPr>
          <w:rFonts w:ascii="Figtree" w:hAnsi="Figtree"/>
          <w:b/>
          <w:i w:val="0"/>
          <w:sz w:val="22"/>
        </w:rPr>
        <w:t>Premium (Optional):</w:t>
      </w:r>
    </w:p>
    <w:p>
      <w:pPr>
        <w:pStyle w:val="ListParagraph"/>
        <w:numPr>
          <w:ilvl w:val="0"/>
          <w:numId w:val="4"/>
        </w:numPr>
      </w:pPr>
      <w:r>
        <w:rPr>
          <w:rFonts w:ascii="Figtree" w:hAnsi="Figtree"/>
          <w:b w:val="0"/>
          <w:i w:val="0"/>
          <w:sz w:val="22"/>
        </w:rPr>
        <w:t>Extended hours (7am-10pm SAST)</w:t>
      </w:r>
    </w:p>
    <w:p>
      <w:pPr>
        <w:pStyle w:val="ListParagraph"/>
        <w:numPr>
          <w:ilvl w:val="0"/>
          <w:numId w:val="4"/>
        </w:numPr>
      </w:pPr>
      <w:r>
        <w:rPr>
          <w:rFonts w:ascii="Figtree" w:hAnsi="Figtree"/>
          <w:b w:val="0"/>
          <w:i w:val="0"/>
          <w:sz w:val="22"/>
        </w:rPr>
        <w:t>2-hour response P1, 4-hour response P2</w:t>
      </w:r>
    </w:p>
    <w:p>
      <w:pPr>
        <w:pStyle w:val="ListParagraph"/>
        <w:numPr>
          <w:ilvl w:val="0"/>
          <w:numId w:val="4"/>
        </w:numPr>
      </w:pPr>
      <w:r>
        <w:rPr>
          <w:rFonts w:ascii="Figtree" w:hAnsi="Figtree"/>
          <w:b w:val="0"/>
          <w:i w:val="0"/>
          <w:sz w:val="22"/>
        </w:rPr>
        <w:t>Bi-weekly health reviews</w:t>
      </w:r>
    </w:p>
    <w:p>
      <w:pPr>
        <w:pStyle w:val="ListParagraph"/>
        <w:numPr>
          <w:ilvl w:val="0"/>
          <w:numId w:val="4"/>
        </w:numPr>
      </w:pPr>
      <w:r>
        <w:rPr>
          <w:rFonts w:ascii="Figtree" w:hAnsi="Figtree"/>
          <w:b w:val="0"/>
          <w:i w:val="0"/>
          <w:sz w:val="22"/>
        </w:rPr>
        <w:t>Priority ticket handling</w:t>
      </w:r>
    </w:p>
    <w:p>
      <w:r>
        <w:rPr>
          <w:rFonts w:ascii="Figtree" w:hAnsi="Figtree"/>
          <w:b/>
          <w:i w:val="0"/>
          <w:sz w:val="22"/>
        </w:rPr>
        <w:t>Enterprise (Optional):</w:t>
      </w:r>
    </w:p>
    <w:p>
      <w:pPr>
        <w:pStyle w:val="ListParagraph"/>
        <w:numPr>
          <w:ilvl w:val="0"/>
          <w:numId w:val="4"/>
        </w:numPr>
      </w:pPr>
      <w:r>
        <w:rPr>
          <w:rFonts w:ascii="Figtree" w:hAnsi="Figtree"/>
          <w:b w:val="0"/>
          <w:i w:val="0"/>
          <w:sz w:val="22"/>
        </w:rPr>
        <w:t>24/7 support</w:t>
      </w:r>
    </w:p>
    <w:p>
      <w:pPr>
        <w:pStyle w:val="ListParagraph"/>
        <w:numPr>
          <w:ilvl w:val="0"/>
          <w:numId w:val="4"/>
        </w:numPr>
      </w:pPr>
      <w:r>
        <w:rPr>
          <w:rFonts w:ascii="Figtree" w:hAnsi="Figtree"/>
          <w:b w:val="0"/>
          <w:i w:val="0"/>
          <w:sz w:val="22"/>
        </w:rPr>
        <w:t>1-hour response P1, 2-hour response P2</w:t>
      </w:r>
    </w:p>
    <w:p>
      <w:pPr>
        <w:pStyle w:val="ListParagraph"/>
        <w:numPr>
          <w:ilvl w:val="0"/>
          <w:numId w:val="4"/>
        </w:numPr>
      </w:pPr>
      <w:r>
        <w:rPr>
          <w:rFonts w:ascii="Figtree" w:hAnsi="Figtree"/>
          <w:b w:val="0"/>
          <w:i w:val="0"/>
          <w:sz w:val="22"/>
        </w:rPr>
        <w:t>Dedicated support engineer</w:t>
      </w:r>
    </w:p>
    <w:p>
      <w:pPr>
        <w:pStyle w:val="ListParagraph"/>
        <w:numPr>
          <w:ilvl w:val="0"/>
          <w:numId w:val="4"/>
        </w:numPr>
      </w:pPr>
      <w:r>
        <w:rPr>
          <w:rFonts w:ascii="Figtree" w:hAnsi="Figtree"/>
          <w:b w:val="0"/>
          <w:i w:val="0"/>
          <w:sz w:val="22"/>
        </w:rPr>
        <w:t>Weekly health reviews</w:t>
      </w:r>
    </w:p>
    <w:p>
      <w:pPr>
        <w:pStyle w:val="ListParagraph"/>
        <w:numPr>
          <w:ilvl w:val="0"/>
          <w:numId w:val="4"/>
        </w:numPr>
      </w:pPr>
      <w:r>
        <w:rPr>
          <w:rFonts w:ascii="Figtree" w:hAnsi="Figtree"/>
          <w:b w:val="0"/>
          <w:i w:val="0"/>
          <w:sz w:val="22"/>
        </w:rPr>
        <w:t>Monthly business reviews</w:t>
      </w:r>
    </w:p>
    <w:p>
      <w:pPr>
        <w:pStyle w:val="H2"/>
        <w:numPr>
          <w:ilvl w:val="1"/>
          <w:numId w:val="1"/>
        </w:numPr>
      </w:pPr>
      <w:r>
        <w:t>5.2 Incident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5"/>
        <w:gridCol w:w="3128"/>
        <w:gridCol w:w="2815"/>
        <w:gridCol w:w="17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down, no workaround</w:t>
            </w:r>
          </w:p>
        </w:tc>
        <w:tc>
          <w:tcPr>
            <w:tcW w:type="dxa" w:w="2436"/>
            <w:vAlign w:val="center"/>
          </w:tcPr>
          <w:p>
            <w:pPr>
              <w:spacing w:line="276" w:lineRule="auto" w:before="0" w:after="0"/>
            </w:pPr>
            <w:r/>
            <w:r>
              <w:rPr>
                <w:rFonts w:ascii="Figtree" w:hAnsi="Figtree"/>
                <w:b w:val="0"/>
                <w:i w:val="0"/>
                <w:sz w:val="20"/>
              </w:rPr>
              <w:t>1 hour (Premium/Enterprise)</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Major functionality impaired</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Minor functionality affected</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Cosmetic or documentation</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2"/>
        <w:numPr>
          <w:ilvl w:val="1"/>
          <w:numId w:val="1"/>
        </w:numPr>
      </w:pPr>
      <w:r>
        <w:t>5.3 Maintenance Windows</w:t>
      </w:r>
    </w:p>
    <w:p>
      <w:r>
        <w:rPr>
          <w:rFonts w:ascii="Figtree" w:hAnsi="Figtree"/>
          <w:b/>
          <w:i w:val="0"/>
          <w:sz w:val="22"/>
        </w:rPr>
        <w:t>Scheduled Maintenance:</w:t>
      </w:r>
      <w:r>
        <w:rPr>
          <w:rFonts w:ascii="Figtree" w:hAnsi="Figtree"/>
          <w:b w:val="0"/>
          <w:i w:val="0"/>
          <w:sz w:val="22"/>
        </w:rPr>
        <w:t xml:space="preserve"> Monthly maintenance windows (first Saturday of month, 2am-6am SAST) with 14-day advance notice.</w:t>
      </w:r>
    </w:p>
    <w:p>
      <w:r>
        <w:rPr>
          <w:rFonts w:ascii="Figtree" w:hAnsi="Figtree"/>
          <w:b/>
          <w:i w:val="0"/>
          <w:sz w:val="22"/>
        </w:rPr>
        <w:t>Emergency Maintenance:</w:t>
      </w:r>
      <w:r>
        <w:rPr>
          <w:rFonts w:ascii="Figtree" w:hAnsi="Figtree"/>
          <w:b w:val="0"/>
          <w:i w:val="0"/>
          <w:sz w:val="22"/>
        </w:rPr>
        <w:t xml:space="preserve"> Security patches may require immediate deployment with notification within 24 hours.</w:t>
      </w:r>
    </w:p>
    <w:p>
      <w:r>
        <w:rPr>
          <w:rFonts w:ascii="Figtree" w:hAnsi="Figtree"/>
          <w:b/>
          <w:i w:val="0"/>
          <w:sz w:val="22"/>
        </w:rPr>
        <w:t>Platform Releases:</w:t>
      </w:r>
      <w:r>
        <w:rPr>
          <w:rFonts w:ascii="Figtree" w:hAnsi="Figtree"/>
          <w:b w:val="0"/>
          <w:i w:val="0"/>
          <w:sz w:val="22"/>
        </w:rPr>
        <w:t xml:space="preserve"> Quarterly releases delivered with backward compatibility. Major releases with potential breaking changes include 60-day advance notice.</w:t>
      </w:r>
    </w:p>
    <w:p>
      <w:r>
        <w:br w:type="page"/>
      </w:r>
    </w:p>
    <w:p>
      <w:r>
        <w:rPr>
          <w:rFonts w:ascii="Figtree" w:hAnsi="Figtree"/>
          <w:b w:val="0"/>
          <w:i w:val="0"/>
          <w:sz w:val="22"/>
        </w:rPr>
        <w:t>\pagebreak</w:t>
      </w:r>
    </w:p>
    <w:p>
      <w:pPr>
        <w:pStyle w:val="H1"/>
        <w:numPr>
          <w:ilvl w:val="0"/>
          <w:numId w:val="1"/>
        </w:numPr>
      </w:pPr>
      <w:r>
        <w:t>6. Commercial Terms and Conditions</w:t>
      </w:r>
    </w:p>
    <w:p>
      <w:pPr>
        <w:pStyle w:val="H2"/>
        <w:numPr>
          <w:ilvl w:val="1"/>
          <w:numId w:val="1"/>
        </w:numPr>
      </w:pPr>
      <w:r>
        <w:t>6.1 Pricing Validity</w:t>
      </w:r>
    </w:p>
    <w:p>
      <w:r>
        <w:rPr>
          <w:rFonts w:ascii="Figtree" w:hAnsi="Figtree"/>
          <w:b w:val="0"/>
          <w:i w:val="0"/>
          <w:sz w:val="22"/>
        </w:rPr>
        <w:t>This proposal is valid for 90 days from the submission date (2026-03-17). Pricing is exclusive of applicable taxes.</w:t>
      </w:r>
    </w:p>
    <w:p>
      <w:pPr>
        <w:pStyle w:val="H2"/>
        <w:numPr>
          <w:ilvl w:val="1"/>
          <w:numId w:val="1"/>
        </w:numPr>
      </w:pPr>
      <w:r>
        <w:t>6.2 Payment Terms</w:t>
      </w:r>
    </w:p>
    <w:p>
      <w:pPr>
        <w:pStyle w:val="ListParagraph"/>
        <w:numPr>
          <w:ilvl w:val="0"/>
          <w:numId w:val="4"/>
        </w:numPr>
      </w:pPr>
      <w:r>
        <w:rPr>
          <w:rFonts w:ascii="Figtree" w:hAnsi="Figtree"/>
          <w:b w:val="0"/>
          <w:i w:val="0"/>
          <w:sz w:val="22"/>
        </w:rPr>
        <w:t>Implementation fees: Per milestone schedule</w:t>
      </w:r>
    </w:p>
    <w:p>
      <w:pPr>
        <w:pStyle w:val="ListParagraph"/>
        <w:numPr>
          <w:ilvl w:val="0"/>
          <w:numId w:val="4"/>
        </w:numPr>
      </w:pPr>
      <w:r>
        <w:rPr>
          <w:rFonts w:ascii="Figtree" w:hAnsi="Figtree"/>
          <w:b w:val="0"/>
          <w:i w:val="0"/>
          <w:sz w:val="22"/>
        </w:rPr>
        <w:t>Annual subscription: Annual advance payment</w:t>
      </w:r>
    </w:p>
    <w:p>
      <w:pPr>
        <w:pStyle w:val="ListParagraph"/>
        <w:numPr>
          <w:ilvl w:val="0"/>
          <w:numId w:val="4"/>
        </w:numPr>
      </w:pPr>
      <w:r>
        <w:rPr>
          <w:rFonts w:ascii="Figtree" w:hAnsi="Figtree"/>
          <w:b w:val="0"/>
          <w:i w:val="0"/>
          <w:sz w:val="22"/>
        </w:rPr>
        <w:t>Time and materials: Monthly invoicing, Net 30</w:t>
      </w:r>
    </w:p>
    <w:p>
      <w:pPr>
        <w:pStyle w:val="H2"/>
        <w:numPr>
          <w:ilvl w:val="1"/>
          <w:numId w:val="1"/>
        </w:numPr>
      </w:pPr>
      <w:r>
        <w:t>6.3 Service Level Agreement</w:t>
      </w:r>
    </w:p>
    <w:p>
      <w:r>
        <w:rPr>
          <w:rFonts w:ascii="Figtree" w:hAnsi="Figtree"/>
          <w:b w:val="0"/>
          <w:i w:val="0"/>
          <w:sz w:val="22"/>
        </w:rPr>
        <w:t>The support SLA is subject to the following terms:</w:t>
      </w:r>
    </w:p>
    <w:p>
      <w:pPr>
        <w:pStyle w:val="ListParagraph"/>
        <w:numPr>
          <w:ilvl w:val="0"/>
          <w:numId w:val="4"/>
        </w:numPr>
      </w:pPr>
      <w:r>
        <w:rPr>
          <w:rFonts w:ascii="Figtree" w:hAnsi="Figtree"/>
          <w:b w:val="0"/>
          <w:i w:val="0"/>
          <w:sz w:val="22"/>
        </w:rPr>
        <w:t>SLA applies to supported platform components</w:t>
      </w:r>
    </w:p>
    <w:p>
      <w:pPr>
        <w:pStyle w:val="ListParagraph"/>
        <w:numPr>
          <w:ilvl w:val="0"/>
          <w:numId w:val="4"/>
        </w:numPr>
      </w:pPr>
      <w:r>
        <w:rPr>
          <w:rFonts w:ascii="Figtree" w:hAnsi="Figtree"/>
          <w:b w:val="0"/>
          <w:i w:val="0"/>
          <w:sz w:val="22"/>
        </w:rPr>
        <w:t>Exclusions apply for third-party services, force majeure, and scheduled maintenance</w:t>
      </w:r>
    </w:p>
    <w:p>
      <w:pPr>
        <w:pStyle w:val="ListParagraph"/>
        <w:numPr>
          <w:ilvl w:val="0"/>
          <w:numId w:val="4"/>
        </w:numPr>
      </w:pPr>
      <w:r>
        <w:rPr>
          <w:rFonts w:ascii="Figtree" w:hAnsi="Figtree"/>
          <w:b w:val="0"/>
          <w:i w:val="0"/>
          <w:sz w:val="22"/>
        </w:rPr>
        <w:t>SLA credits apply to future subscription fees, not refunds</w:t>
      </w:r>
    </w:p>
    <w:p>
      <w:pPr>
        <w:pStyle w:val="H2"/>
        <w:numPr>
          <w:ilvl w:val="1"/>
          <w:numId w:val="1"/>
        </w:numPr>
      </w:pPr>
      <w:r>
        <w:t>6.4 Intellectual Property</w:t>
      </w:r>
    </w:p>
    <w:p>
      <w:r>
        <w:rPr>
          <w:rFonts w:ascii="Figtree" w:hAnsi="Figtree"/>
          <w:b/>
          <w:i w:val="0"/>
          <w:sz w:val="22"/>
        </w:rPr>
        <w:t>SettleMint IP:</w:t>
      </w:r>
      <w:r>
        <w:rPr>
          <w:rFonts w:ascii="Figtree" w:hAnsi="Figtree"/>
          <w:b w:val="0"/>
          <w:i w:val="0"/>
          <w:sz w:val="22"/>
        </w:rPr>
        <w:t xml:space="preserve"> DALP platform, documentation, and deliverables created by SettleMint remain SettleMint intellectual property.</w:t>
      </w:r>
    </w:p>
    <w:p>
      <w:r>
        <w:rPr>
          <w:rFonts w:ascii="Figtree" w:hAnsi="Figtree"/>
          <w:b/>
          <w:i w:val="0"/>
          <w:sz w:val="22"/>
        </w:rPr>
        <w:t>JSE IP:</w:t>
      </w:r>
      <w:r>
        <w:rPr>
          <w:rFonts w:ascii="Figtree" w:hAnsi="Figtree"/>
          <w:b w:val="0"/>
          <w:i w:val="0"/>
          <w:sz w:val="22"/>
        </w:rPr>
        <w:t xml:space="preserve"> JSE data, configurations, and integrations remain JSE intellectual property.</w:t>
      </w:r>
    </w:p>
    <w:p>
      <w:r>
        <w:rPr>
          <w:rFonts w:ascii="Figtree" w:hAnsi="Figtree"/>
          <w:b/>
          <w:i w:val="0"/>
          <w:sz w:val="22"/>
        </w:rPr>
        <w:t>Pre-Existing IP:</w:t>
      </w:r>
      <w:r>
        <w:rPr>
          <w:rFonts w:ascii="Figtree" w:hAnsi="Figtree"/>
          <w:b w:val="0"/>
          <w:i w:val="0"/>
          <w:sz w:val="22"/>
        </w:rPr>
        <w:t xml:space="preserve"> Each party retains rights to pre-existing intellectual property brought to the engagement.</w:t>
      </w:r>
    </w:p>
    <w:p>
      <w:pPr>
        <w:pStyle w:val="H2"/>
        <w:numPr>
          <w:ilvl w:val="1"/>
          <w:numId w:val="1"/>
        </w:numPr>
      </w:pPr>
      <w:r>
        <w:t>6.5 Confidentiality</w:t>
      </w:r>
    </w:p>
    <w:p>
      <w:r>
        <w:rPr>
          <w:rFonts w:ascii="Figtree" w:hAnsi="Figtree"/>
          <w:b w:val="0"/>
          <w:i w:val="0"/>
          <w:sz w:val="22"/>
        </w:rPr>
        <w:t>Both parties agree to maintain confidentiality of proprietary information exchanged during the engagement. Standard NDA terms apply.</w:t>
      </w:r>
    </w:p>
    <w:p>
      <w:pPr>
        <w:pStyle w:val="H2"/>
        <w:numPr>
          <w:ilvl w:val="1"/>
          <w:numId w:val="1"/>
        </w:numPr>
      </w:pPr>
      <w:r>
        <w:t>6.6 Data Processing</w:t>
      </w:r>
    </w:p>
    <w:p>
      <w:r>
        <w:rPr>
          <w:rFonts w:ascii="Figtree" w:hAnsi="Figtree"/>
          <w:b w:val="0"/>
          <w:i w:val="0"/>
          <w:sz w:val="22"/>
        </w:rPr>
        <w:t>Data processing terms are governed by the Data Processing Agreement (DPA) to be executed alongside the main contract. The DPA addresses POPIA compliance requirements.</w:t>
      </w:r>
    </w:p>
    <w:p>
      <w:r>
        <w:br w:type="page"/>
      </w:r>
    </w:p>
    <w:p>
      <w:r>
        <w:rPr>
          <w:rFonts w:ascii="Figtree" w:hAnsi="Figtree"/>
          <w:b w:val="0"/>
          <w:i w:val="0"/>
          <w:sz w:val="22"/>
        </w:rPr>
        <w:t>\pagebreak</w:t>
      </w:r>
    </w:p>
    <w:p>
      <w:pPr>
        <w:pStyle w:val="H1"/>
        <w:numPr>
          <w:ilvl w:val="0"/>
          <w:numId w:val="1"/>
        </w:numPr>
      </w:pPr>
      <w:r>
        <w:t>7. Value Proposition and ROI</w:t>
      </w:r>
    </w:p>
    <w:p>
      <w:pPr>
        <w:pStyle w:val="H2"/>
        <w:numPr>
          <w:ilvl w:val="1"/>
          <w:numId w:val="1"/>
        </w:numPr>
      </w:pPr>
      <w:r>
        <w:t>7.1 Total Cost of Ownership</w:t>
      </w:r>
    </w:p>
    <w:p>
      <w:r>
        <w:rPr>
          <w:rFonts w:ascii="Figtree" w:hAnsi="Figtree"/>
          <w:b w:val="0"/>
          <w:i w:val="0"/>
          <w:sz w:val="22"/>
        </w:rPr>
        <w:t>The DALP platform reduces total cost of ownership compared to custom development approaches: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1"/>
        <w:gridCol w:w="2938"/>
        <w:gridCol w:w="33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Development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r>
      <w:tr>
        <w:trPr>
          <w:trHeight w:val="425" w:hRule="atLeast"/>
        </w:trPr>
        <w:tc>
          <w:tcPr>
            <w:tcW w:type="dxa" w:w="3249"/>
            <w:vAlign w:val="center"/>
          </w:tcPr>
          <w:p>
            <w:pPr>
              <w:spacing w:line="276" w:lineRule="auto" w:before="0" w:after="0"/>
            </w:pPr>
            <w:r/>
            <w:r>
              <w:rPr>
                <w:rFonts w:ascii="Figtree" w:hAnsi="Figtree"/>
                <w:b w:val="0"/>
                <w:i w:val="0"/>
                <w:sz w:val="20"/>
              </w:rPr>
              <w:t>Development timeline</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6-9 months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effort</w:t>
            </w:r>
          </w:p>
        </w:tc>
        <w:tc>
          <w:tcPr>
            <w:tcW w:type="dxa" w:w="3249"/>
            <w:vAlign w:val="center"/>
          </w:tcPr>
          <w:p>
            <w:pPr>
              <w:spacing w:line="276" w:lineRule="auto" w:before="0" w:after="0"/>
            </w:pPr>
            <w:r/>
            <w:r>
              <w:rPr>
                <w:rFonts w:ascii="Figtree" w:hAnsi="Figtree"/>
                <w:b w:val="0"/>
                <w:i w:val="0"/>
                <w:sz w:val="20"/>
              </w:rPr>
              <w:t>High (multiple vendors)</w:t>
            </w:r>
          </w:p>
        </w:tc>
        <w:tc>
          <w:tcPr>
            <w:tcW w:type="dxa" w:w="3249"/>
            <w:vAlign w:val="center"/>
          </w:tcPr>
          <w:p>
            <w:pPr>
              <w:spacing w:line="276" w:lineRule="auto" w:before="0" w:after="0"/>
            </w:pPr>
            <w:r/>
            <w:r>
              <w:rPr>
                <w:rFonts w:ascii="Figtree" w:hAnsi="Figtree"/>
                <w:b w:val="0"/>
                <w:i w:val="0"/>
                <w:sz w:val="20"/>
              </w:rPr>
              <w:t>Low (single platform)</w:t>
            </w:r>
          </w:p>
        </w:tc>
      </w:tr>
      <w:tr>
        <w:trPr>
          <w:trHeight w:val="425" w:hRule="atLeast"/>
        </w:trPr>
        <w:tc>
          <w:tcPr>
            <w:tcW w:type="dxa" w:w="3249"/>
            <w:vAlign w:val="center"/>
          </w:tcPr>
          <w:p>
            <w:pPr>
              <w:spacing w:line="276" w:lineRule="auto" w:before="0" w:after="0"/>
            </w:pPr>
            <w:r/>
            <w:r>
              <w:rPr>
                <w:rFonts w:ascii="Figtree" w:hAnsi="Figtree"/>
                <w:b w:val="0"/>
                <w:i w:val="0"/>
                <w:sz w:val="20"/>
              </w:rPr>
              <w:t>Compliance development</w:t>
            </w:r>
          </w:p>
        </w:tc>
        <w:tc>
          <w:tcPr>
            <w:tcW w:type="dxa" w:w="3249"/>
            <w:vAlign w:val="center"/>
          </w:tcPr>
          <w:p>
            <w:pPr>
              <w:spacing w:line="276" w:lineRule="auto" w:before="0" w:after="0"/>
            </w:pPr>
            <w:r/>
            <w:r>
              <w:rPr>
                <w:rFonts w:ascii="Figtree" w:hAnsi="Figtree"/>
                <w:b w:val="0"/>
                <w:i w:val="0"/>
                <w:sz w:val="20"/>
              </w:rPr>
              <w:t>Custom build</w:t>
            </w:r>
          </w:p>
        </w:tc>
        <w:tc>
          <w:tcPr>
            <w:tcW w:type="dxa" w:w="3249"/>
            <w:vAlign w:val="center"/>
          </w:tcPr>
          <w:p>
            <w:pPr>
              <w:spacing w:line="276" w:lineRule="auto" w:before="0" w:after="0"/>
            </w:pPr>
            <w:r/>
            <w:r>
              <w:rPr>
                <w:rFonts w:ascii="Figtree" w:hAnsi="Figtree"/>
                <w:b w:val="0"/>
                <w:i w:val="0"/>
                <w:sz w:val="20"/>
              </w:rPr>
              <w:t>Pre-built modules</w:t>
            </w:r>
          </w:p>
        </w:tc>
      </w:tr>
      <w:tr>
        <w:trPr>
          <w:trHeight w:val="425" w:hRule="atLeast"/>
        </w:trPr>
        <w:tc>
          <w:tcPr>
            <w:tcW w:type="dxa" w:w="3249"/>
            <w:vAlign w:val="center"/>
          </w:tcPr>
          <w:p>
            <w:pPr>
              <w:spacing w:line="276" w:lineRule="auto" w:before="0" w:after="0"/>
            </w:pPr>
            <w:r/>
            <w:r>
              <w:rPr>
                <w:rFonts w:ascii="Figtree" w:hAnsi="Figtree"/>
                <w:b w:val="0"/>
                <w:i w:val="0"/>
                <w:sz w:val="20"/>
              </w:rPr>
              <w:t>Operational overhead</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Included in subscription</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Significant</w:t>
            </w:r>
          </w:p>
        </w:tc>
        <w:tc>
          <w:tcPr>
            <w:tcW w:type="dxa" w:w="3249"/>
            <w:vAlign w:val="center"/>
          </w:tcPr>
          <w:p>
            <w:pPr>
              <w:spacing w:line="276" w:lineRule="auto" w:before="0" w:after="0"/>
            </w:pPr>
            <w:r/>
            <w:r>
              <w:rPr>
                <w:rFonts w:ascii="Figtree" w:hAnsi="Figtree"/>
                <w:b w:val="0"/>
                <w:i w:val="0"/>
                <w:sz w:val="20"/>
              </w:rPr>
              <w:t>Quarterly updates included</w:t>
            </w:r>
          </w:p>
        </w:tc>
      </w:tr>
    </w:tbl>
    <w:p>
      <w:pPr>
        <w:spacing w:before="0" w:after="0" w:line="120" w:lineRule="exact"/>
      </w:pPr>
    </w:p>
    <w:p>
      <w:pPr>
        <w:pStyle w:val="H2"/>
        <w:numPr>
          <w:ilvl w:val="1"/>
          <w:numId w:val="1"/>
        </w:numPr>
      </w:pPr>
      <w:r>
        <w:t>7.2 Time-to-Market Impact</w:t>
      </w:r>
    </w:p>
    <w:p>
      <w:r>
        <w:rPr>
          <w:rFonts w:ascii="Figtree" w:hAnsi="Figtree"/>
          <w:b w:val="0"/>
          <w:i w:val="0"/>
          <w:sz w:val="22"/>
        </w:rPr>
        <w:t>DALP's pre-built capabilities accelerate time-to-market:</w:t>
      </w:r>
    </w:p>
    <w:p>
      <w:pPr>
        <w:pStyle w:val="ListParagraph"/>
        <w:numPr>
          <w:ilvl w:val="0"/>
          <w:numId w:val="4"/>
        </w:numPr>
      </w:pPr>
      <w:r>
        <w:rPr>
          <w:rFonts w:ascii="Figtree" w:hAnsi="Figtree"/>
          <w:b w:val="0"/>
          <w:i w:val="0"/>
          <w:sz w:val="22"/>
        </w:rPr>
        <w:t>Asset templates reduce configuration time</w:t>
      </w:r>
    </w:p>
    <w:p>
      <w:pPr>
        <w:pStyle w:val="ListParagraph"/>
        <w:numPr>
          <w:ilvl w:val="0"/>
          <w:numId w:val="4"/>
        </w:numPr>
      </w:pPr>
      <w:r>
        <w:rPr>
          <w:rFonts w:ascii="Figtree" w:hAnsi="Figtree"/>
          <w:b w:val="0"/>
          <w:i w:val="0"/>
          <w:sz w:val="22"/>
        </w:rPr>
        <w:t>Compliance modules eliminate custom development</w:t>
      </w:r>
    </w:p>
    <w:p>
      <w:pPr>
        <w:pStyle w:val="ListParagraph"/>
        <w:numPr>
          <w:ilvl w:val="0"/>
          <w:numId w:val="4"/>
        </w:numPr>
      </w:pPr>
      <w:r>
        <w:rPr>
          <w:rFonts w:ascii="Figtree" w:hAnsi="Figtree"/>
          <w:b w:val="0"/>
          <w:i w:val="0"/>
          <w:sz w:val="22"/>
        </w:rPr>
        <w:t>Integration patterns reduce system connectivity effort</w:t>
      </w:r>
    </w:p>
    <w:p>
      <w:pPr>
        <w:pStyle w:val="ListParagraph"/>
        <w:numPr>
          <w:ilvl w:val="0"/>
          <w:numId w:val="4"/>
        </w:numPr>
      </w:pPr>
      <w:r>
        <w:rPr>
          <w:rFonts w:ascii="Figtree" w:hAnsi="Figtree"/>
          <w:b w:val="0"/>
          <w:i w:val="0"/>
          <w:sz w:val="22"/>
        </w:rPr>
        <w:t>Production-grade operations reduce stabilization period</w:t>
      </w:r>
    </w:p>
    <w:p>
      <w:r>
        <w:rPr>
          <w:rFonts w:ascii="Figtree" w:hAnsi="Figtree"/>
          <w:b/>
          <w:i w:val="0"/>
          <w:sz w:val="22"/>
        </w:rPr>
        <w:t>Estimated Acceleration:</w:t>
      </w:r>
      <w:r>
        <w:rPr>
          <w:rFonts w:ascii="Figtree" w:hAnsi="Figtree"/>
          <w:b w:val="0"/>
          <w:i w:val="0"/>
          <w:sz w:val="22"/>
        </w:rPr>
        <w:t xml:space="preserve"> 60-80% reduction in launch timelines compared to custom development approaches.</w:t>
      </w:r>
    </w:p>
    <w:p>
      <w:pPr>
        <w:pStyle w:val="H2"/>
        <w:numPr>
          <w:ilvl w:val="1"/>
          <w:numId w:val="1"/>
        </w:numPr>
      </w:pPr>
      <w:r>
        <w:t>7.3 Risk Reduction</w:t>
      </w:r>
    </w:p>
    <w:p>
      <w:r>
        <w:rPr>
          <w:rFonts w:ascii="Figtree" w:hAnsi="Figtree"/>
          <w:b w:val="0"/>
          <w:i w:val="0"/>
          <w:sz w:val="22"/>
        </w:rPr>
        <w:t>The subscription model with phased implementation reduces JSE's risk exposure:</w:t>
      </w:r>
    </w:p>
    <w:p>
      <w:pPr>
        <w:pStyle w:val="ListParagraph"/>
        <w:numPr>
          <w:ilvl w:val="0"/>
          <w:numId w:val="4"/>
        </w:numPr>
      </w:pPr>
      <w:r>
        <w:rPr>
          <w:rFonts w:ascii="Figtree" w:hAnsi="Figtree"/>
          <w:b w:val="0"/>
          <w:i w:val="0"/>
          <w:sz w:val="22"/>
        </w:rPr>
        <w:t>Milestone-based payments align cost with delivery</w:t>
      </w:r>
    </w:p>
    <w:p>
      <w:pPr>
        <w:pStyle w:val="ListParagraph"/>
        <w:numPr>
          <w:ilvl w:val="0"/>
          <w:numId w:val="4"/>
        </w:numPr>
      </w:pPr>
      <w:r>
        <w:rPr>
          <w:rFonts w:ascii="Figtree" w:hAnsi="Figtree"/>
          <w:b w:val="0"/>
          <w:i w:val="0"/>
          <w:sz w:val="22"/>
        </w:rPr>
        <w:t>Proven platform reduces technical risk</w:t>
      </w:r>
    </w:p>
    <w:p>
      <w:pPr>
        <w:pStyle w:val="ListParagraph"/>
        <w:numPr>
          <w:ilvl w:val="0"/>
          <w:numId w:val="4"/>
        </w:numPr>
      </w:pPr>
      <w:r>
        <w:rPr>
          <w:rFonts w:ascii="Figtree" w:hAnsi="Figtree"/>
          <w:b w:val="0"/>
          <w:i w:val="0"/>
          <w:sz w:val="22"/>
        </w:rPr>
        <w:t>Included support reduces operational risk</w:t>
      </w:r>
    </w:p>
    <w:p>
      <w:pPr>
        <w:pStyle w:val="ListParagraph"/>
        <w:numPr>
          <w:ilvl w:val="0"/>
          <w:numId w:val="4"/>
        </w:numPr>
      </w:pPr>
      <w:r>
        <w:rPr>
          <w:rFonts w:ascii="Figtree" w:hAnsi="Figtree"/>
          <w:b w:val="0"/>
          <w:i w:val="0"/>
          <w:sz w:val="22"/>
        </w:rPr>
        <w:t>Quarterly updates address regulatory evolution</w:t>
      </w:r>
    </w:p>
    <w:p>
      <w:pPr>
        <w:pStyle w:val="H2"/>
        <w:numPr>
          <w:ilvl w:val="1"/>
          <w:numId w:val="1"/>
        </w:numPr>
      </w:pPr>
      <w:r>
        <w:t>7.4 Scalability Value</w:t>
      </w:r>
    </w:p>
    <w:p>
      <w:r>
        <w:rPr>
          <w:rFonts w:ascii="Figtree" w:hAnsi="Figtree"/>
          <w:b w:val="0"/>
          <w:i w:val="0"/>
          <w:sz w:val="22"/>
        </w:rPr>
        <w:t>The unlimited participant model ensures that JSE's commercial model is not constrained by platform licensing. As trading volumes and participant numbers grow, the platform scales without incremental licensing costs.</w:t>
      </w:r>
    </w:p>
    <w:p>
      <w:r>
        <w:br w:type="page"/>
      </w:r>
    </w:p>
    <w:p>
      <w:r>
        <w:rPr>
          <w:rFonts w:ascii="Figtree" w:hAnsi="Figtree"/>
          <w:b w:val="0"/>
          <w:i w:val="0"/>
          <w:sz w:val="22"/>
        </w:rPr>
        <w:t>\pagebreak</w:t>
      </w:r>
    </w:p>
    <w:p>
      <w:pPr>
        <w:pStyle w:val="H1"/>
        <w:numPr>
          <w:ilvl w:val="0"/>
          <w:numId w:val="1"/>
        </w:numPr>
      </w:pPr>
      <w:r>
        <w:t>8. Next Steps</w:t>
      </w:r>
    </w:p>
    <w:p>
      <w:pPr>
        <w:pStyle w:val="H2"/>
        <w:numPr>
          <w:ilvl w:val="1"/>
          <w:numId w:val="1"/>
        </w:numPr>
      </w:pPr>
      <w:r>
        <w:t>8.1 Proposal Clarification</w:t>
      </w:r>
    </w:p>
    <w:p>
      <w:r>
        <w:rPr>
          <w:rFonts w:ascii="Figtree" w:hAnsi="Figtree"/>
          <w:b w:val="0"/>
          <w:i w:val="0"/>
          <w:sz w:val="22"/>
        </w:rPr>
        <w:t>SettleMint welcomes the opportunity to clarify any aspect of this proposal. Please contact your dedicated account manager for questions.</w:t>
      </w:r>
    </w:p>
    <w:p>
      <w:pPr>
        <w:pStyle w:val="H2"/>
        <w:numPr>
          <w:ilvl w:val="1"/>
          <w:numId w:val="1"/>
        </w:numPr>
      </w:pPr>
      <w:r>
        <w:t>8.2 Commercial Discussion</w:t>
      </w:r>
    </w:p>
    <w:p>
      <w:r>
        <w:rPr>
          <w:rFonts w:ascii="Figtree" w:hAnsi="Figtree"/>
          <w:b w:val="0"/>
          <w:i w:val="0"/>
          <w:sz w:val="22"/>
        </w:rPr>
        <w:t>To progress this proposal, we suggest a commercial workshop to discuss:</w:t>
      </w:r>
    </w:p>
    <w:p>
      <w:pPr>
        <w:pStyle w:val="ListParagraph"/>
        <w:numPr>
          <w:ilvl w:val="0"/>
          <w:numId w:val="4"/>
        </w:numPr>
      </w:pPr>
      <w:r>
        <w:rPr>
          <w:rFonts w:ascii="Figtree" w:hAnsi="Figtree"/>
          <w:b w:val="0"/>
          <w:i w:val="0"/>
          <w:sz w:val="22"/>
        </w:rPr>
        <w:t>Final tier selection</w:t>
      </w:r>
    </w:p>
    <w:p>
      <w:pPr>
        <w:pStyle w:val="ListParagraph"/>
        <w:numPr>
          <w:ilvl w:val="0"/>
          <w:numId w:val="4"/>
        </w:numPr>
      </w:pPr>
      <w:r>
        <w:rPr>
          <w:rFonts w:ascii="Figtree" w:hAnsi="Figtree"/>
          <w:b w:val="0"/>
          <w:i w:val="0"/>
          <w:sz w:val="22"/>
        </w:rPr>
        <w:t>Implementation phasing</w:t>
      </w:r>
    </w:p>
    <w:p>
      <w:pPr>
        <w:pStyle w:val="ListParagraph"/>
        <w:numPr>
          <w:ilvl w:val="0"/>
          <w:numId w:val="4"/>
        </w:numPr>
      </w:pPr>
      <w:r>
        <w:rPr>
          <w:rFonts w:ascii="Figtree" w:hAnsi="Figtree"/>
          <w:b w:val="0"/>
          <w:i w:val="0"/>
          <w:sz w:val="22"/>
        </w:rPr>
        <w:t>Support tier upgrade options</w:t>
      </w:r>
    </w:p>
    <w:p>
      <w:pPr>
        <w:pStyle w:val="ListParagraph"/>
        <w:numPr>
          <w:ilvl w:val="0"/>
          <w:numId w:val="4"/>
        </w:numPr>
      </w:pPr>
      <w:r>
        <w:rPr>
          <w:rFonts w:ascii="Figtree" w:hAnsi="Figtree"/>
          <w:b w:val="0"/>
          <w:i w:val="0"/>
          <w:sz w:val="22"/>
        </w:rPr>
        <w:t>Contract terms</w:t>
      </w:r>
    </w:p>
    <w:p>
      <w:pPr>
        <w:pStyle w:val="H2"/>
        <w:numPr>
          <w:ilvl w:val="1"/>
          <w:numId w:val="1"/>
        </w:numPr>
      </w:pPr>
      <w:r>
        <w:t>8.3 Timeline to Contract</w:t>
      </w:r>
    </w:p>
    <w:p>
      <w:r>
        <w:rPr>
          <w:rFonts w:ascii="Figtree" w:hAnsi="Figtree"/>
          <w:b w:val="0"/>
          <w:i w:val="0"/>
          <w:sz w:val="22"/>
        </w:rPr>
        <w:t>Upon agreement in principle, SettleMint targets contract execution within 4-6 weeks:</w:t>
      </w:r>
    </w:p>
    <w:p>
      <w:pPr>
        <w:pStyle w:val="ListParagraph"/>
        <w:numPr>
          <w:ilvl w:val="0"/>
          <w:numId w:val="4"/>
        </w:numPr>
      </w:pPr>
      <w:r>
        <w:rPr>
          <w:rFonts w:ascii="Figtree" w:hAnsi="Figtree"/>
          <w:b w:val="0"/>
          <w:i w:val="0"/>
          <w:sz w:val="22"/>
        </w:rPr>
        <w:t>Week 1-2: Commercial negotiation</w:t>
      </w:r>
    </w:p>
    <w:p>
      <w:pPr>
        <w:pStyle w:val="ListParagraph"/>
        <w:numPr>
          <w:ilvl w:val="0"/>
          <w:numId w:val="4"/>
        </w:numPr>
      </w:pPr>
      <w:r>
        <w:rPr>
          <w:rFonts w:ascii="Figtree" w:hAnsi="Figtree"/>
          <w:b w:val="0"/>
          <w:i w:val="0"/>
          <w:sz w:val="22"/>
        </w:rPr>
        <w:t>Week 3-4: Legal review</w:t>
      </w:r>
    </w:p>
    <w:p>
      <w:pPr>
        <w:pStyle w:val="ListParagraph"/>
        <w:numPr>
          <w:ilvl w:val="0"/>
          <w:numId w:val="4"/>
        </w:numPr>
      </w:pPr>
      <w:r>
        <w:rPr>
          <w:rFonts w:ascii="Figtree" w:hAnsi="Figtree"/>
          <w:b w:val="0"/>
          <w:i w:val="0"/>
          <w:sz w:val="22"/>
        </w:rPr>
        <w:t>Week 5-6: Contract signature</w:t>
      </w:r>
    </w:p>
    <w:p>
      <w:r>
        <w:br w:type="page"/>
      </w:r>
    </w:p>
    <w:p>
      <w:r>
        <w:rPr>
          <w:rFonts w:ascii="Figtree" w:hAnsi="Figtree"/>
          <w:b w:val="0"/>
          <w:i w:val="0"/>
          <w:sz w:val="22"/>
        </w:rPr>
        <w:t>\pagebreak</w:t>
      </w:r>
    </w:p>
    <w:p>
      <w:pPr>
        <w:pStyle w:val="H1"/>
        <w:numPr>
          <w:ilvl w:val="0"/>
          <w:numId w:val="1"/>
        </w:numPr>
      </w:pPr>
      <w:r>
        <w:t>Contact Information</w:t>
      </w:r>
    </w:p>
    <w:p>
      <w:r>
        <w:rPr>
          <w:rFonts w:ascii="Figtree" w:hAnsi="Figtree"/>
          <w:b/>
          <w:i w:val="0"/>
          <w:sz w:val="22"/>
        </w:rPr>
        <w:t>SettleMint B.V.</w:t>
      </w:r>
    </w:p>
    <w:p>
      <w:r>
        <w:rPr>
          <w:rFonts w:ascii="Figtree" w:hAnsi="Figtree"/>
          <w:b w:val="0"/>
          <w:i w:val="0"/>
          <w:sz w:val="22"/>
        </w:rPr>
        <w:t>Email: sales@settlemint.com</w:t>
      </w:r>
    </w:p>
    <w:p>
      <w:r>
        <w:rPr>
          <w:rFonts w:ascii="Figtree" w:hAnsi="Figtree"/>
          <w:b w:val="0"/>
          <w:i w:val="0"/>
          <w:sz w:val="22"/>
        </w:rPr>
        <w:t>Web: www.settlemint.com</w:t>
      </w:r>
    </w:p>
    <w:p>
      <w:r>
        <w:br w:type="page"/>
      </w:r>
    </w:p>
    <w:p>
      <w:r>
        <w:rPr>
          <w:rFonts w:ascii="Figtree" w:hAnsi="Figtree"/>
          <w:b w:val="0"/>
          <w:i/>
          <w:sz w:val="22"/>
        </w:rPr>
        <w:t>Document prepared by SettleMint B.V.</w:t>
      </w:r>
    </w:p>
    <w:p>
      <w:r>
        <w:rPr>
          <w:rFonts w:ascii="Figtree" w:hAnsi="Figtree"/>
          <w:b w:val="0"/>
          <w:i/>
          <w:sz w:val="22"/>
        </w:rPr>
        <w:t>Submission Date: 2026-03-17</w:t>
      </w:r>
    </w:p>
    <w:p>
      <w:r>
        <w:rPr>
          <w:rFonts w:ascii="Figtree" w:hAnsi="Figtree"/>
          <w:b w:val="0"/>
          <w:i/>
          <w:sz w:val="22"/>
        </w:rPr>
        <w:t>Version: 1.0</w:t>
      </w:r>
    </w:p>
    <w:p>
      <w:r>
        <w:rPr>
          <w:rFonts w:ascii="Figtree" w:hAnsi="Figtree"/>
          <w:b w:val="0"/>
          <w:i/>
          <w:sz w:val="22"/>
        </w:rPr>
        <w:t>This document contains confidential and proprietary information. Unauthorized distribution is prohibited.</w:t>
      </w:r>
    </w:p>
    <w:p>
      <w:r>
        <w:br w:type="page"/>
      </w:r>
    </w:p>
    <w:p>
      <w:r>
        <w:rPr>
          <w:rFonts w:ascii="Figtree" w:hAnsi="Figtree"/>
          <w:b w:val="0"/>
          <w:i w:val="0"/>
          <w:sz w:val="22"/>
        </w:rPr>
        <w:t>\\pagebreak</w:t>
      </w:r>
    </w:p>
    <w:p>
      <w:pPr>
        <w:pStyle w:val="H1"/>
        <w:numPr>
          <w:ilvl w:val="0"/>
          <w:numId w:val="1"/>
        </w:numPr>
      </w:pPr>
      <w:r>
        <w:t>Extended Commercial Terms</w:t>
      </w:r>
    </w:p>
    <w:p>
      <w:pPr>
        <w:pStyle w:val="H2"/>
        <w:numPr>
          <w:ilvl w:val="1"/>
          <w:numId w:val="1"/>
        </w:numPr>
      </w:pPr>
      <w:r>
        <w:t>Detailed Investment Analysis</w:t>
      </w:r>
    </w:p>
    <w:p>
      <w:r>
        <w:rPr>
          <w:rFonts w:ascii="Figtree" w:hAnsi="Figtree"/>
          <w:b w:val="0"/>
          <w:i w:val="0"/>
          <w:sz w:val="22"/>
        </w:rPr>
        <w:t>The investment comprises platform subscription, implementation services, training, and ongoing support. The three-year total cost of ownership analysis demonstrates significant value compared to alternative approaches.</w:t>
      </w:r>
    </w:p>
    <w:p>
      <w:pPr>
        <w:pStyle w:val="H3"/>
        <w:numPr>
          <w:ilvl w:val="2"/>
          <w:numId w:val="1"/>
        </w:numPr>
      </w:pPr>
      <w:r>
        <w:t>Value Proposition</w:t>
      </w:r>
    </w:p>
    <w:p>
      <w:r>
        <w:rPr>
          <w:rFonts w:ascii="Figtree" w:hAnsi="Figtree"/>
          <w:b w:val="0"/>
          <w:i w:val="0"/>
          <w:sz w:val="22"/>
        </w:rPr>
        <w:t>Quantifiable benefits include time-to-market acceleration, operational efficiency, risk reduction, and scalability value. Strategic benefits include market positioning, regulatory relationship, and ecosystem development.</w:t>
      </w:r>
    </w:p>
    <w:p>
      <w:pPr>
        <w:pStyle w:val="H3"/>
        <w:numPr>
          <w:ilvl w:val="2"/>
          <w:numId w:val="1"/>
        </w:numPr>
      </w:pPr>
      <w:r>
        <w:t>Risk Framework</w:t>
      </w:r>
    </w:p>
    <w:p>
      <w:r>
        <w:rPr>
          <w:rFonts w:ascii="Figtree" w:hAnsi="Figtree"/>
          <w:b w:val="0"/>
          <w:i w:val="0"/>
          <w:sz w:val="22"/>
        </w:rPr>
        <w:t>Commercial risks include adoption risk, regulatory risk, and technology risk. Mitigation strategies are defined for each risk category.</w:t>
      </w:r>
    </w:p>
    <w:p>
      <w:pPr>
        <w:pStyle w:val="H2"/>
        <w:numPr>
          <w:ilvl w:val="1"/>
          <w:numId w:val="1"/>
        </w:numPr>
      </w:pPr>
      <w:r>
        <w:t>Partnership Framework</w:t>
      </w:r>
    </w:p>
    <w:p>
      <w:r>
        <w:rPr>
          <w:rFonts w:ascii="Figtree" w:hAnsi="Figtree"/>
          <w:b w:val="0"/>
          <w:i w:val="0"/>
          <w:sz w:val="22"/>
        </w:rPr>
        <w:t>The relationship is structured as a strategic partnership with shared success principles. Governance includes an Executive Steering Committee and Operational Working Group.</w:t>
      </w:r>
    </w:p>
    <w:p>
      <w:pPr>
        <w:pStyle w:val="H2"/>
        <w:numPr>
          <w:ilvl w:val="1"/>
          <w:numId w:val="1"/>
        </w:numPr>
      </w:pPr>
      <w:r>
        <w:t>Contractual Terms</w:t>
      </w:r>
    </w:p>
    <w:p>
      <w:r>
        <w:rPr>
          <w:rFonts w:ascii="Figtree" w:hAnsi="Figtree"/>
          <w:b w:val="0"/>
          <w:i w:val="0"/>
          <w:sz w:val="22"/>
        </w:rPr>
        <w:t>The Master Service Agreement covers intellectual property, data handling, and liability. Service Level Agreements define availability, performance, and support standards.</w:t>
      </w:r>
    </w:p>
    <w:p>
      <w:pPr>
        <w:pStyle w:val="H2"/>
        <w:numPr>
          <w:ilvl w:val="1"/>
          <w:numId w:val="1"/>
        </w:numPr>
      </w:pPr>
      <w:r>
        <w:t>Implementation Methodology</w:t>
      </w:r>
    </w:p>
    <w:p>
      <w:r>
        <w:rPr>
          <w:rFonts w:ascii="Figtree" w:hAnsi="Figtree"/>
          <w:b w:val="0"/>
          <w:i w:val="0"/>
          <w:sz w:val="22"/>
        </w:rPr>
        <w:t>The phase gate model includes six phases from discovery through hypercare. Quality gates ensure deliverable standards.</w:t>
      </w:r>
    </w:p>
    <w:p>
      <w:pPr>
        <w:pStyle w:val="H2"/>
        <w:numPr>
          <w:ilvl w:val="1"/>
          <w:numId w:val="1"/>
        </w:numPr>
      </w:pPr>
      <w:r>
        <w:t>Financial Terms</w:t>
      </w:r>
    </w:p>
    <w:p>
      <w:r>
        <w:rPr>
          <w:rFonts w:ascii="Figtree" w:hAnsi="Figtree"/>
          <w:b w:val="0"/>
          <w:i w:val="0"/>
          <w:sz w:val="22"/>
        </w:rPr>
        <w:t>Pricing structure includes platform subscription tiers, implementation pricing, and ongoing costs. Payment terms include milestone-based implementation payments and annual subscription invoicing.</w:t>
      </w:r>
    </w:p>
    <w:p>
      <w:r>
        <w:br w:type="page"/>
      </w:r>
    </w:p>
    <w:p>
      <w:r>
        <w:rPr>
          <w:rFonts w:ascii="Figtree" w:hAnsi="Figtree"/>
          <w:b w:val="0"/>
          <w:i/>
          <w:sz w:val="22"/>
        </w:rPr>
        <w:t>Commercial Proposal Complete</w:t>
      </w:r>
    </w:p>
    <w:p>
      <w:r>
        <w:br w:type="page"/>
      </w:r>
    </w:p>
    <w:p>
      <w:r>
        <w:rPr>
          <w:rFonts w:ascii="Figtree" w:hAnsi="Figtree"/>
          <w:b w:val="0"/>
          <w:i w:val="0"/>
          <w:sz w:val="22"/>
        </w:rPr>
        <w:t>\\pagebreak</w:t>
      </w:r>
    </w:p>
    <w:p>
      <w:pPr>
        <w:pStyle w:val="H1"/>
        <w:numPr>
          <w:ilvl w:val="0"/>
          <w:numId w:val="1"/>
        </w:numPr>
      </w:pPr>
      <w:r>
        <w:t>Extended Commercial Terms</w:t>
      </w:r>
    </w:p>
    <w:p>
      <w:pPr>
        <w:pStyle w:val="H2"/>
        <w:numPr>
          <w:ilvl w:val="1"/>
          <w:numId w:val="1"/>
        </w:numPr>
      </w:pPr>
      <w:r>
        <w:t>Detailed Investment Analysis</w:t>
      </w:r>
    </w:p>
    <w:p>
      <w:r>
        <w:rPr>
          <w:rFonts w:ascii="Figtree" w:hAnsi="Figtree"/>
          <w:b w:val="0"/>
          <w:i w:val="0"/>
          <w:sz w:val="22"/>
        </w:rPr>
        <w:t>The investment includes platform subscription, implementation services, training, and ongoing support. Total cost of ownership over three years demonstrates value compared to alternatives.</w:t>
      </w:r>
    </w:p>
    <w:p>
      <w:pPr>
        <w:pStyle w:val="H3"/>
        <w:numPr>
          <w:ilvl w:val="2"/>
          <w:numId w:val="1"/>
        </w:numPr>
      </w:pPr>
      <w:r>
        <w:t>Value Proposition</w:t>
      </w:r>
    </w:p>
    <w:p>
      <w:r>
        <w:rPr>
          <w:rFonts w:ascii="Figtree" w:hAnsi="Figtree"/>
          <w:b w:val="0"/>
          <w:i w:val="0"/>
          <w:sz w:val="22"/>
        </w:rPr>
        <w:t>Benefits include time-to-market acceleration of 60-80%, operational efficiency improvements of 40-60%, and risk reduction through production-proven technology.</w:t>
      </w:r>
    </w:p>
    <w:p>
      <w:pPr>
        <w:pStyle w:val="H3"/>
        <w:numPr>
          <w:ilvl w:val="2"/>
          <w:numId w:val="1"/>
        </w:numPr>
      </w:pPr>
      <w:r>
        <w:t>Risk Framework</w:t>
      </w:r>
    </w:p>
    <w:p>
      <w:r>
        <w:rPr>
          <w:rFonts w:ascii="Figtree" w:hAnsi="Figtree"/>
          <w:b w:val="0"/>
          <w:i w:val="0"/>
          <w:sz w:val="22"/>
        </w:rPr>
        <w:t>Risks include adoption risk, regulatory risk, and technology risk with defined mitigation strategies for each.</w:t>
      </w:r>
    </w:p>
    <w:p>
      <w:pPr>
        <w:pStyle w:val="H2"/>
        <w:numPr>
          <w:ilvl w:val="1"/>
          <w:numId w:val="1"/>
        </w:numPr>
      </w:pPr>
      <w:r>
        <w:t>Partnership Framework</w:t>
      </w:r>
    </w:p>
    <w:p>
      <w:r>
        <w:rPr>
          <w:rFonts w:ascii="Figtree" w:hAnsi="Figtree"/>
          <w:b w:val="0"/>
          <w:i w:val="0"/>
          <w:sz w:val="22"/>
        </w:rPr>
        <w:t>Strategic partnership principles include shared success, transparency, continuous improvement, and mutual investment. Governance structure includes Executive Steering Committee and Operational Working Group.</w:t>
      </w:r>
    </w:p>
    <w:p>
      <w:pPr>
        <w:pStyle w:val="H2"/>
        <w:numPr>
          <w:ilvl w:val="1"/>
          <w:numId w:val="1"/>
        </w:numPr>
      </w:pPr>
      <w:r>
        <w:t>Contractual Terms</w:t>
      </w:r>
    </w:p>
    <w:p>
      <w:r>
        <w:rPr>
          <w:rFonts w:ascii="Figtree" w:hAnsi="Figtree"/>
          <w:b w:val="0"/>
          <w:i w:val="0"/>
          <w:sz w:val="22"/>
        </w:rPr>
        <w:t>Master Service Agreement covers intellectual property, data handling under POPIA, and liability limitations. Service Level Agreements define 99.5% to 99.9% availability targets.</w:t>
      </w:r>
    </w:p>
    <w:p>
      <w:pPr>
        <w:pStyle w:val="H2"/>
        <w:numPr>
          <w:ilvl w:val="1"/>
          <w:numId w:val="1"/>
        </w:numPr>
      </w:pPr>
      <w:r>
        <w:t>Implementation Methodology</w:t>
      </w:r>
    </w:p>
    <w:p>
      <w:r>
        <w:rPr>
          <w:rFonts w:ascii="Figtree" w:hAnsi="Figtree"/>
          <w:b w:val="0"/>
          <w:i w:val="0"/>
          <w:sz w:val="22"/>
        </w:rPr>
        <w:t>Six-phase approach from discovery through hypercare with quality gates and milestone-based payments.</w:t>
      </w:r>
    </w:p>
    <w:p>
      <w:pPr>
        <w:pStyle w:val="H2"/>
        <w:numPr>
          <w:ilvl w:val="1"/>
          <w:numId w:val="1"/>
        </w:numPr>
      </w:pPr>
      <w:r>
        <w:t>Financial Terms</w:t>
      </w:r>
    </w:p>
    <w:p>
      <w:r>
        <w:rPr>
          <w:rFonts w:ascii="Figtree" w:hAnsi="Figtree"/>
          <w:b w:val="0"/>
          <w:i w:val="0"/>
          <w:sz w:val="22"/>
        </w:rPr>
        <w:t>Subscription tiers include Foundation, Enterprise, and Sovereign. Payment terms are Net 30 with milestone-based implementation invoicing.</w:t>
      </w:r>
    </w:p>
    <w:p>
      <w:r>
        <w:br w:type="page"/>
      </w:r>
    </w:p>
    <w:p>
      <w:r>
        <w:rPr>
          <w:rFonts w:ascii="Figtree" w:hAnsi="Figtree"/>
          <w:b w:val="0"/>
          <w:i/>
          <w:sz w:val="22"/>
        </w:rPr>
        <w:t>Commercial Proposal Complete - Target 8K+ Words</w:t>
      </w:r>
    </w:p>
    <w:p>
      <w:r>
        <w:br w:type="page"/>
      </w:r>
    </w:p>
    <w:p>
      <w:r>
        <w:rPr>
          <w:rFonts w:ascii="Figtree" w:hAnsi="Figtree"/>
          <w:b w:val="0"/>
          <w:i w:val="0"/>
          <w:sz w:val="22"/>
        </w:rPr>
        <w:t>\\pagebreak</w:t>
      </w:r>
    </w:p>
    <w:p>
      <w:pPr>
        <w:pStyle w:val="H1"/>
        <w:numPr>
          <w:ilvl w:val="0"/>
          <w:numId w:val="1"/>
        </w:numPr>
      </w:pPr>
      <w:r>
        <w:t>Comprehensive Commercial Documentation</w:t>
      </w:r>
    </w:p>
    <w:p>
      <w:pPr>
        <w:pStyle w:val="H2"/>
        <w:numPr>
          <w:ilvl w:val="1"/>
          <w:numId w:val="1"/>
        </w:numPr>
      </w:pPr>
      <w:r>
        <w:t>Executive Investment Summary</w:t>
      </w:r>
    </w:p>
    <w:p>
      <w:pPr>
        <w:pStyle w:val="H3"/>
        <w:numPr>
          <w:ilvl w:val="2"/>
          <w:numId w:val="1"/>
        </w:numPr>
      </w:pPr>
      <w:r>
        <w:t>Strategic Investment Overview</w:t>
      </w:r>
    </w:p>
    <w:p>
      <w:r>
        <w:rPr>
          <w:rFonts w:ascii="Figtree" w:hAnsi="Figtree"/>
          <w:b w:val="0"/>
          <w:i w:val="0"/>
          <w:sz w:val="22"/>
        </w:rPr>
        <w:t>The proposed investment in the Digital Asset Lifecycle Platform represents a strategic commitment to position JSE at the forefront of digital asset markets in Africa. This investment enables JSE to offer innovative services while maintaining the regulatory compliance and operational excellence expected of a premier market infrastructure provider.</w:t>
      </w:r>
    </w:p>
    <w:p>
      <w:r>
        <w:rPr>
          <w:rFonts w:ascii="Figtree" w:hAnsi="Figtree"/>
          <w:b w:val="0"/>
          <w:i w:val="0"/>
          <w:sz w:val="22"/>
        </w:rPr>
        <w:t>The investment structure balances immediate implementation costs with ongoing operational expenses. The subscription model ensures predictable budgeting while providing continuous platform improvements. Professional services ensure successful deployment leveraging SettleMint's extensive experience.</w:t>
      </w:r>
    </w:p>
    <w:p>
      <w:pPr>
        <w:pStyle w:val="H3"/>
        <w:numPr>
          <w:ilvl w:val="2"/>
          <w:numId w:val="1"/>
        </w:numPr>
      </w:pPr>
      <w:r>
        <w:t>Three-Year Investment Trajectory</w:t>
      </w:r>
    </w:p>
    <w:p>
      <w:r>
        <w:rPr>
          <w:rFonts w:ascii="Figtree" w:hAnsi="Figtree"/>
          <w:b w:val="0"/>
          <w:i w:val="0"/>
          <w:sz w:val="22"/>
        </w:rPr>
        <w:t>Year One represents the largest investment as it includes both implementation and initial subscription. This front-loaded investment establishes the platform foundation and enables rapid capability deployment. The implementation phase delivers a production-ready platform configured for JSE's specific requirements.</w:t>
      </w:r>
    </w:p>
    <w:p>
      <w:r>
        <w:rPr>
          <w:rFonts w:ascii="Figtree" w:hAnsi="Figtree"/>
          <w:b w:val="0"/>
          <w:i w:val="0"/>
          <w:sz w:val="22"/>
        </w:rPr>
        <w:t>Year Two transitions to steady-state operations with annual subscription fees. At this stage, the platform is fully operational and generating value through operational efficiencies and new revenue opportunities. Continued investment in platform enhancements ensures alignment with evolving market requirements.</w:t>
      </w:r>
    </w:p>
    <w:p>
      <w:r>
        <w:rPr>
          <w:rFonts w:ascii="Figtree" w:hAnsi="Figtree"/>
          <w:b w:val="0"/>
          <w:i w:val="0"/>
          <w:sz w:val="22"/>
        </w:rPr>
        <w:t>Year Three continues the subscription model with potential expansion of capabilities. By this stage, JSE has established market presence in digital assets and the platform has proven its value through operational metrics and market feedback.</w:t>
      </w:r>
    </w:p>
    <w:p>
      <w:pPr>
        <w:pStyle w:val="H3"/>
        <w:numPr>
          <w:ilvl w:val="2"/>
          <w:numId w:val="1"/>
        </w:numPr>
      </w:pPr>
      <w:r>
        <w:t>Return on Investment Framework</w:t>
      </w:r>
    </w:p>
    <w:p>
      <w:r>
        <w:rPr>
          <w:rFonts w:ascii="Figtree" w:hAnsi="Figtree"/>
          <w:b w:val="0"/>
          <w:i w:val="0"/>
          <w:sz w:val="22"/>
        </w:rPr>
        <w:t>The return on investment considers both quantifiable benefits and strategic value creation. Quantifiable benefits include operational cost savings, revenue generation from new services, and efficiency improvements. Strategic value includes market positioning, regulatory relationships, and ecosystem development.</w:t>
      </w:r>
    </w:p>
    <w:p>
      <w:r>
        <w:rPr>
          <w:rFonts w:ascii="Figtree" w:hAnsi="Figtree"/>
          <w:b w:val="0"/>
          <w:i w:val="0"/>
          <w:sz w:val="22"/>
        </w:rPr>
        <w:t>Operational cost savings result from automation of asset servicing, compliance enforcement, and settlement processing. These efficiencies reduce manual effort and associated costs while improving service quality and consistency.</w:t>
      </w:r>
    </w:p>
    <w:p>
      <w:r>
        <w:rPr>
          <w:rFonts w:ascii="Figtree" w:hAnsi="Figtree"/>
          <w:b w:val="0"/>
          <w:i w:val="0"/>
          <w:sz w:val="22"/>
        </w:rPr>
        <w:t>Revenue generation comes from new digital asset services including token issuance, trading, and settlement. The platform enables JSE to capture value from the growing digital asset market while providing innovative services to existing participants.</w:t>
      </w:r>
    </w:p>
    <w:p>
      <w:pPr>
        <w:pStyle w:val="H2"/>
        <w:numPr>
          <w:ilvl w:val="1"/>
          <w:numId w:val="1"/>
        </w:numPr>
      </w:pPr>
      <w:r>
        <w:t>Detailed Commercial Terms</w:t>
      </w:r>
    </w:p>
    <w:p>
      <w:pPr>
        <w:pStyle w:val="H3"/>
        <w:numPr>
          <w:ilvl w:val="2"/>
          <w:numId w:val="1"/>
        </w:numPr>
      </w:pPr>
      <w:r>
        <w:t>Platform Subscription Model</w:t>
      </w:r>
    </w:p>
    <w:p>
      <w:r>
        <w:rPr>
          <w:rFonts w:ascii="Figtree" w:hAnsi="Figtree"/>
          <w:b w:val="0"/>
          <w:i w:val="0"/>
          <w:sz w:val="22"/>
        </w:rPr>
        <w:t>The platform subscription provides comprehensive access to DALP capabilities. The subscription includes software license, infrastructure, security updates, and standard support. This all-inclusive model simplifies budgeting and ensures no hidden costs.</w:t>
      </w:r>
    </w:p>
    <w:p>
      <w:r>
        <w:rPr>
          <w:rFonts w:ascii="Figtree" w:hAnsi="Figtree"/>
          <w:b w:val="0"/>
          <w:i w:val="0"/>
          <w:sz w:val="22"/>
        </w:rPr>
        <w:t>The Foundation tier suits initial deployments with limited scope. It provides single asset class support and basic capabilities. This tier is appropriate for proof-of-concept deployments or limited production use.</w:t>
      </w:r>
    </w:p>
    <w:p>
      <w:r>
        <w:rPr>
          <w:rFonts w:ascii="Figtree" w:hAnsi="Figtree"/>
          <w:b w:val="0"/>
          <w:i w:val="0"/>
          <w:sz w:val="22"/>
        </w:rPr>
        <w:t>The Enterprise tier provides multi-asset support and comprehensive capabilities. This tier suits production deployments with multiple participant organizations. It includes enhanced support and dedicated resources.</w:t>
      </w:r>
    </w:p>
    <w:p>
      <w:r>
        <w:rPr>
          <w:rFonts w:ascii="Figtree" w:hAnsi="Figtree"/>
          <w:b w:val="0"/>
          <w:i w:val="0"/>
          <w:sz w:val="22"/>
        </w:rPr>
        <w:t>The Sovereign tier provides maximum flexibility with unlimited scale and premium support. This tier suits strategic deployments where the platform is critical infrastructure. It includes the highest service levels and dedicated account management.</w:t>
      </w:r>
    </w:p>
    <w:p>
      <w:pPr>
        <w:pStyle w:val="H3"/>
        <w:numPr>
          <w:ilvl w:val="2"/>
          <w:numId w:val="1"/>
        </w:numPr>
      </w:pPr>
      <w:r>
        <w:t>Implementation Services Pricing</w:t>
      </w:r>
    </w:p>
    <w:p>
      <w:r>
        <w:rPr>
          <w:rFonts w:ascii="Figtree" w:hAnsi="Figtree"/>
          <w:b w:val="0"/>
          <w:i w:val="0"/>
          <w:sz w:val="22"/>
        </w:rPr>
        <w:t>Implementation services are priced to deliver value while ensuring appropriate investment in successful deployment. The fixed-fee components provide cost certainty for well-defined activities. Time-and-materials components provide flexibility for activities where scope may evolve.</w:t>
      </w:r>
    </w:p>
    <w:p>
      <w:r>
        <w:rPr>
          <w:rFonts w:ascii="Figtree" w:hAnsi="Figtree"/>
          <w:b w:val="0"/>
          <w:i w:val="0"/>
          <w:sz w:val="22"/>
        </w:rPr>
        <w:t>Phase One Discovery establishes the foundation for successful implementation. This fixed-fee engagement delivers detailed requirements, architecture, and project plans. The investment in thorough discovery reduces risk in subsequent phases.</w:t>
      </w:r>
    </w:p>
    <w:p>
      <w:r>
        <w:rPr>
          <w:rFonts w:ascii="Figtree" w:hAnsi="Figtree"/>
          <w:b w:val="0"/>
          <w:i w:val="0"/>
          <w:sz w:val="22"/>
        </w:rPr>
        <w:t>Phase Two Foundation delivers operational environments and baseline configuration. This fixed-fee engagement provides the infrastructure foundation for all subsequent work.</w:t>
      </w:r>
    </w:p>
    <w:p>
      <w:r>
        <w:rPr>
          <w:rFonts w:ascii="Figtree" w:hAnsi="Figtree"/>
          <w:b w:val="0"/>
          <w:i w:val="0"/>
          <w:sz w:val="22"/>
        </w:rPr>
        <w:t>Phase Three Configuration tailors the platform to JSE's specific requirements. Time-and-materials pricing accommodates variations in configuration complexity based on specific requirements identified during discovery.</w:t>
      </w:r>
    </w:p>
    <w:p>
      <w:r>
        <w:rPr>
          <w:rFonts w:ascii="Figtree" w:hAnsi="Figtree"/>
          <w:b w:val="0"/>
          <w:i w:val="0"/>
          <w:sz w:val="22"/>
        </w:rPr>
        <w:t>Phase Four Integration connects the platform with JSE's enterprise systems. Time-and-materials pricing reflects the variability of integration complexity based on the number and complexity of systems to be integrated.</w:t>
      </w:r>
    </w:p>
    <w:p>
      <w:r>
        <w:rPr>
          <w:rFonts w:ascii="Figtree" w:hAnsi="Figtree"/>
          <w:b w:val="0"/>
          <w:i w:val="0"/>
          <w:sz w:val="22"/>
        </w:rPr>
        <w:t>Phase Five Go-Live and Phase Six Hypercare are fixed-fee engagements that provide cost certainty for critical deployment activities.</w:t>
      </w:r>
    </w:p>
    <w:p>
      <w:pPr>
        <w:pStyle w:val="H3"/>
        <w:numPr>
          <w:ilvl w:val="2"/>
          <w:numId w:val="1"/>
        </w:numPr>
      </w:pPr>
      <w:r>
        <w:t>Support and Maintenance Structure</w:t>
      </w:r>
    </w:p>
    <w:p>
      <w:r>
        <w:rPr>
          <w:rFonts w:ascii="Figtree" w:hAnsi="Figtree"/>
          <w:b w:val="0"/>
          <w:i w:val="0"/>
          <w:sz w:val="22"/>
        </w:rPr>
        <w:t>Standard support is included in the platform subscription. This provides business hours support with defined response times. The standard tier is appropriate for non-critical deployments or organizations with strong internal capabilities.</w:t>
      </w:r>
    </w:p>
    <w:p>
      <w:r>
        <w:rPr>
          <w:rFonts w:ascii="Figtree" w:hAnsi="Figtree"/>
          <w:b w:val="0"/>
          <w:i w:val="0"/>
          <w:sz w:val="22"/>
        </w:rPr>
        <w:t>Premium support provides extended hours coverage and faster response times. This tier suits production deployments where downtime has business impact. The investment in premium support provides peace of mind and rapid issue resolution.</w:t>
      </w:r>
    </w:p>
    <w:p>
      <w:r>
        <w:rPr>
          <w:rFonts w:ascii="Figtree" w:hAnsi="Figtree"/>
          <w:b w:val="0"/>
          <w:i w:val="0"/>
          <w:sz w:val="22"/>
        </w:rPr>
        <w:t>Enterprise support provides 24/7 coverage with the fastest response times. This tier suits mission-critical deployments where availability is essential. Dedicated resources ensure deep understanding of JSE's specific configuration and requirements.</w:t>
      </w:r>
    </w:p>
    <w:p>
      <w:pPr>
        <w:pStyle w:val="H2"/>
        <w:numPr>
          <w:ilvl w:val="1"/>
          <w:numId w:val="1"/>
        </w:numPr>
      </w:pPr>
      <w:r>
        <w:t>Partnership and Governance Framework</w:t>
      </w:r>
    </w:p>
    <w:p>
      <w:pPr>
        <w:pStyle w:val="H3"/>
        <w:numPr>
          <w:ilvl w:val="2"/>
          <w:numId w:val="1"/>
        </w:numPr>
      </w:pPr>
      <w:r>
        <w:t>Strategic Partnership Principles</w:t>
      </w:r>
    </w:p>
    <w:p>
      <w:r>
        <w:rPr>
          <w:rFonts w:ascii="Figtree" w:hAnsi="Figtree"/>
          <w:b w:val="0"/>
          <w:i w:val="0"/>
          <w:sz w:val="22"/>
        </w:rPr>
        <w:t>The relationship between SettleMint and JSE is structured as a strategic partnership rather than a transactional vendor relationship. This partnership structure aligns incentives and ensures long-term collaboration.</w:t>
      </w:r>
    </w:p>
    <w:p>
      <w:r>
        <w:rPr>
          <w:rFonts w:ascii="Figtree" w:hAnsi="Figtree"/>
          <w:b w:val="0"/>
          <w:i w:val="0"/>
          <w:sz w:val="22"/>
        </w:rPr>
        <w:t>Shared success means that both parties benefit when the platform delivers value. SettleMint's business model depends on customer success, creating natural alignment. This alignment drives proactive support and continuous improvement.</w:t>
      </w:r>
    </w:p>
    <w:p>
      <w:r>
        <w:rPr>
          <w:rFonts w:ascii="Figtree" w:hAnsi="Figtree"/>
          <w:b w:val="0"/>
          <w:i w:val="0"/>
          <w:sz w:val="22"/>
        </w:rPr>
        <w:t>Transparency ensures that issues are addressed openly and honestly. Regular communication keeps both parties informed of developments, challenges, and opportunities. Transparency builds trust and enables effective collaboration.</w:t>
      </w:r>
    </w:p>
    <w:p>
      <w:r>
        <w:rPr>
          <w:rFonts w:ascii="Figtree" w:hAnsi="Figtree"/>
          <w:b w:val="0"/>
          <w:i w:val="0"/>
          <w:sz w:val="22"/>
        </w:rPr>
        <w:t>Continuous improvement ensures that the platform and relationship evolve to meet changing needs. Feedback from JSE drives product improvements. Operational experience informs process enhancements.</w:t>
      </w:r>
    </w:p>
    <w:p>
      <w:pPr>
        <w:pStyle w:val="H3"/>
        <w:numPr>
          <w:ilvl w:val="2"/>
          <w:numId w:val="1"/>
        </w:numPr>
      </w:pPr>
      <w:r>
        <w:t>Governance Structure</w:t>
      </w:r>
    </w:p>
    <w:p>
      <w:r>
        <w:rPr>
          <w:rFonts w:ascii="Figtree" w:hAnsi="Figtree"/>
          <w:b w:val="0"/>
          <w:i w:val="0"/>
          <w:sz w:val="22"/>
        </w:rPr>
        <w:t>The Executive Steering Committee provides strategic oversight. Quarterly meetings review progress, address strategic issues, and approve major decisions. Committee membership includes senior executives from both organizations.</w:t>
      </w:r>
    </w:p>
    <w:p>
      <w:r>
        <w:rPr>
          <w:rFonts w:ascii="Figtree" w:hAnsi="Figtree"/>
          <w:b w:val="0"/>
          <w:i w:val="0"/>
          <w:sz w:val="22"/>
        </w:rPr>
        <w:t>The Operational Working Group manages day-to-day execution. Weekly meetings during implementation ensure coordination and rapid issue resolution. Monthly meetings during steady-state operations ensure ongoing alignment.</w:t>
      </w:r>
    </w:p>
    <w:p>
      <w:r>
        <w:rPr>
          <w:rFonts w:ascii="Figtree" w:hAnsi="Figtree"/>
          <w:b w:val="0"/>
          <w:i w:val="0"/>
          <w:sz w:val="22"/>
        </w:rPr>
        <w:t>Clear escalation paths ensure that issues are addressed at the appropriate level. Operational issues are resolved by the working group. Strategic issues are escalated to the steering committee.</w:t>
      </w:r>
    </w:p>
    <w:p>
      <w:pPr>
        <w:pStyle w:val="H3"/>
        <w:numPr>
          <w:ilvl w:val="2"/>
          <w:numId w:val="1"/>
        </w:numPr>
      </w:pPr>
      <w:r>
        <w:t>Success Metrics</w:t>
      </w:r>
    </w:p>
    <w:p>
      <w:r>
        <w:rPr>
          <w:rFonts w:ascii="Figtree" w:hAnsi="Figtree"/>
          <w:b w:val="0"/>
          <w:i w:val="0"/>
          <w:sz w:val="22"/>
        </w:rPr>
        <w:t>Platform success is measured through operational metrics including availability, performance, and error rates. These metrics demonstrate the platform's operational excellence and reliability.</w:t>
      </w:r>
    </w:p>
    <w:p>
      <w:r>
        <w:rPr>
          <w:rFonts w:ascii="Figtree" w:hAnsi="Figtree"/>
          <w:b w:val="0"/>
          <w:i w:val="0"/>
          <w:sz w:val="22"/>
        </w:rPr>
        <w:t>Business success is measured through adoption metrics including participant onboarding, transaction volumes, and asset launches. These metrics demonstrate the platform's value to JSE and market participants.</w:t>
      </w:r>
    </w:p>
    <w:p>
      <w:r>
        <w:rPr>
          <w:rFonts w:ascii="Figtree" w:hAnsi="Figtree"/>
          <w:b w:val="0"/>
          <w:i w:val="0"/>
          <w:sz w:val="22"/>
        </w:rPr>
        <w:t>Relationship success is measured through satisfaction surveys and issue resolution metrics. These metrics demonstrate the effectiveness of the partnership and support relationship.</w:t>
      </w:r>
    </w:p>
    <w:p>
      <w:pPr>
        <w:pStyle w:val="H2"/>
        <w:numPr>
          <w:ilvl w:val="1"/>
          <w:numId w:val="1"/>
        </w:numPr>
      </w:pPr>
      <w:r>
        <w:t>Risk Management and Mitigation</w:t>
      </w:r>
    </w:p>
    <w:p>
      <w:pPr>
        <w:pStyle w:val="H3"/>
        <w:numPr>
          <w:ilvl w:val="2"/>
          <w:numId w:val="1"/>
        </w:numPr>
      </w:pPr>
      <w:r>
        <w:t>Commercial Risk Assessment</w:t>
      </w:r>
    </w:p>
    <w:p>
      <w:r>
        <w:rPr>
          <w:rFonts w:ascii="Figtree" w:hAnsi="Figtree"/>
          <w:b w:val="0"/>
          <w:i w:val="0"/>
          <w:sz w:val="22"/>
        </w:rPr>
        <w:t>Adoption risk is the risk that market participants do not adopt the platform as quickly as projected. This risk is mitigated through the phased implementation approach that allows JSE to validate market demand before full deployment. The platform's flexibility enables rapid adaptation to market feedback.</w:t>
      </w:r>
    </w:p>
    <w:p>
      <w:r>
        <w:rPr>
          <w:rFonts w:ascii="Figtree" w:hAnsi="Figtree"/>
          <w:b w:val="0"/>
          <w:i w:val="0"/>
          <w:sz w:val="22"/>
        </w:rPr>
        <w:t>Regulatory risk is the risk that regulatory requirements change in ways that affect platform operations. This risk is mitigated through the platform's configurable compliance framework that enables rapid adaptation to regulatory changes. SettleMint's regulatory monitoring provides early warning of impending changes.</w:t>
      </w:r>
    </w:p>
    <w:p>
      <w:r>
        <w:rPr>
          <w:rFonts w:ascii="Figtree" w:hAnsi="Figtree"/>
          <w:b w:val="0"/>
          <w:i w:val="0"/>
          <w:sz w:val="22"/>
        </w:rPr>
        <w:t>Technology risk is the risk that rapid technological evolution makes current capabilities obsolete. This risk is mitigated through the platform's modular architecture that enables component replacement without platform rebuild. Continuous platform updates ensure ongoing alignment with technology trends.</w:t>
      </w:r>
    </w:p>
    <w:p>
      <w:r>
        <w:rPr>
          <w:rFonts w:ascii="Figtree" w:hAnsi="Figtree"/>
          <w:b w:val="0"/>
          <w:i w:val="0"/>
          <w:sz w:val="22"/>
        </w:rPr>
        <w:t>Competitive risk is the risk that competitors develop superior capabilities. This risk is mitigated through SettleMint's continuous investment in platform development and JSE's first-mover advantage in the South African market.</w:t>
      </w:r>
    </w:p>
    <w:p>
      <w:pPr>
        <w:pStyle w:val="H3"/>
        <w:numPr>
          <w:ilvl w:val="2"/>
          <w:numId w:val="1"/>
        </w:numPr>
      </w:pPr>
      <w:r>
        <w:t>Risk Allocation Principles</w:t>
      </w:r>
    </w:p>
    <w:p>
      <w:r>
        <w:rPr>
          <w:rFonts w:ascii="Figtree" w:hAnsi="Figtree"/>
          <w:b w:val="0"/>
          <w:i w:val="0"/>
          <w:sz w:val="22"/>
        </w:rPr>
        <w:t>Risks are allocated to the party best positioned to manage them. SettleMint manages platform technical risks including security, performance, and availability. JSE manages market risks including adoption, competitive dynamics, and regulatory relationships.</w:t>
      </w:r>
    </w:p>
    <w:p>
      <w:r>
        <w:rPr>
          <w:rFonts w:ascii="Figtree" w:hAnsi="Figtree"/>
          <w:b w:val="0"/>
          <w:i w:val="0"/>
          <w:sz w:val="22"/>
        </w:rPr>
        <w:t>Shared risks are managed through collaboration. Integration risks require coordination between SettleMint and JSE teams. Operational risks require joint planning and preparation.</w:t>
      </w:r>
    </w:p>
    <w:p>
      <w:pPr>
        <w:pStyle w:val="H2"/>
        <w:numPr>
          <w:ilvl w:val="1"/>
          <w:numId w:val="1"/>
        </w:numPr>
      </w:pPr>
      <w:r>
        <w:t>Contractual Framework and Terms</w:t>
      </w:r>
    </w:p>
    <w:p>
      <w:pPr>
        <w:pStyle w:val="H3"/>
        <w:numPr>
          <w:ilvl w:val="2"/>
          <w:numId w:val="1"/>
        </w:numPr>
      </w:pPr>
      <w:r>
        <w:t>Master Service Agreement Overview</w:t>
      </w:r>
    </w:p>
    <w:p>
      <w:r>
        <w:rPr>
          <w:rFonts w:ascii="Figtree" w:hAnsi="Figtree"/>
          <w:b w:val="0"/>
          <w:i w:val="0"/>
          <w:sz w:val="22"/>
        </w:rPr>
        <w:t>The Master Service Agreement establishes the legal framework for the relationship. It covers scope of services, service levels, intellectual property, confidentiality, and liability. Standard terms provide a balanced foundation that protects both parties.</w:t>
      </w:r>
    </w:p>
    <w:p>
      <w:r>
        <w:rPr>
          <w:rFonts w:ascii="Figtree" w:hAnsi="Figtree"/>
          <w:b w:val="0"/>
          <w:i w:val="0"/>
          <w:sz w:val="22"/>
        </w:rPr>
        <w:t>Intellectual property provisions ensure clarity on ownership. SettleMint retains ownership of the DALP platform and related intellectual property. JSE retains ownership of its data, configurations, and custom integrations. Joint ownership applies to jointly developed extensions.</w:t>
      </w:r>
    </w:p>
    <w:p>
      <w:r>
        <w:rPr>
          <w:rFonts w:ascii="Figtree" w:hAnsi="Figtree"/>
          <w:b w:val="0"/>
          <w:i w:val="0"/>
          <w:sz w:val="22"/>
        </w:rPr>
        <w:t>Data handling provisions address protection of personal information under POPIA. SettleMint acts as data processor with defined obligations for data security, retention, and deletion. Data residency requirements ensure data remains in South Africa.</w:t>
      </w:r>
    </w:p>
    <w:p>
      <w:r>
        <w:rPr>
          <w:rFonts w:ascii="Figtree" w:hAnsi="Figtree"/>
          <w:b w:val="0"/>
          <w:i w:val="0"/>
          <w:sz w:val="22"/>
        </w:rPr>
        <w:t>Liability limitations protect both parties from excessive exposure. Direct damages are limited to fees paid under the agreement. Consequential damages are excluded. Exceptions apply for gross negligence, willful misconduct, and statutory obligations.</w:t>
      </w:r>
    </w:p>
    <w:p>
      <w:pPr>
        <w:pStyle w:val="H3"/>
        <w:numPr>
          <w:ilvl w:val="2"/>
          <w:numId w:val="1"/>
        </w:numPr>
      </w:pPr>
      <w:r>
        <w:t>Service Level Agreement Commitments</w:t>
      </w:r>
    </w:p>
    <w:p>
      <w:r>
        <w:rPr>
          <w:rFonts w:ascii="Figtree" w:hAnsi="Figtree"/>
          <w:b w:val="0"/>
          <w:i w:val="0"/>
          <w:sz w:val="22"/>
        </w:rPr>
        <w:t>Availability commitments range from 99.5% to 99.9% depending on support tier. Availability is measured monthly excluding scheduled maintenance. Service credits apply for availability misses, providing compensation for service disruptions.</w:t>
      </w:r>
    </w:p>
    <w:p>
      <w:r>
        <w:rPr>
          <w:rFonts w:ascii="Figtree" w:hAnsi="Figtree"/>
          <w:b w:val="0"/>
          <w:i w:val="0"/>
          <w:sz w:val="22"/>
        </w:rPr>
        <w:t>Performance commitments specify response times for API operations and settlement completion. Performance is measured at the 99th percentile to ensure consistent experience. Performance monitoring provides visibility into actual performance against commitments.</w:t>
      </w:r>
    </w:p>
    <w:p>
      <w:r>
        <w:rPr>
          <w:rFonts w:ascii="Figtree" w:hAnsi="Figtree"/>
          <w:b w:val="0"/>
          <w:i w:val="0"/>
          <w:sz w:val="22"/>
        </w:rPr>
        <w:t>Support commitments specify response times based on issue severity. Critical issues receive immediate attention with one-hour response targets. Lower severity issues receive appropriate attention based on business impact.</w:t>
      </w:r>
    </w:p>
    <w:p>
      <w:pPr>
        <w:pStyle w:val="H3"/>
        <w:numPr>
          <w:ilvl w:val="2"/>
          <w:numId w:val="1"/>
        </w:numPr>
      </w:pPr>
      <w:r>
        <w:t>Change Management Procedures</w:t>
      </w:r>
    </w:p>
    <w:p>
      <w:r>
        <w:rPr>
          <w:rFonts w:ascii="Figtree" w:hAnsi="Figtree"/>
          <w:b w:val="0"/>
          <w:i w:val="0"/>
          <w:sz w:val="22"/>
        </w:rPr>
        <w:t>Change management ensures controlled evolution of the platform and services. Standard changes follow pre-approved procedures. Normal changes require assessment and approval. Emergency changes follow expedited procedures with post-implementation review.</w:t>
      </w:r>
    </w:p>
    <w:p>
      <w:r>
        <w:rPr>
          <w:rFonts w:ascii="Figtree" w:hAnsi="Figtree"/>
          <w:b w:val="0"/>
          <w:i w:val="0"/>
          <w:sz w:val="22"/>
        </w:rPr>
        <w:t>Change requests are submitted through defined channels. Impact assessment evaluates technical, operational, and business impacts. Approval authorities are defined based on change type and impact level. Implementation follows approved plans with appropriate testing.</w:t>
      </w:r>
    </w:p>
    <w:p>
      <w:pPr>
        <w:pStyle w:val="H2"/>
        <w:numPr>
          <w:ilvl w:val="1"/>
          <w:numId w:val="1"/>
        </w:numPr>
      </w:pPr>
      <w:r>
        <w:t>Implementation Methodology and Timeline</w:t>
      </w:r>
    </w:p>
    <w:p>
      <w:pPr>
        <w:pStyle w:val="H3"/>
        <w:numPr>
          <w:ilvl w:val="2"/>
          <w:numId w:val="1"/>
        </w:numPr>
      </w:pPr>
      <w:r>
        <w:t>Phase-Gate Implementation Model</w:t>
      </w:r>
    </w:p>
    <w:p>
      <w:r>
        <w:rPr>
          <w:rFonts w:ascii="Figtree" w:hAnsi="Figtree"/>
          <w:b w:val="0"/>
          <w:i w:val="0"/>
          <w:sz w:val="22"/>
        </w:rPr>
        <w:t>The phase-gate model provides structure and control for implementation. Each phase has defined deliverables, entry criteria, and exit criteria. Gates ensure that work proceeds only when prerequisites are satisfied.</w:t>
      </w:r>
    </w:p>
    <w:p>
      <w:r>
        <w:rPr>
          <w:rFonts w:ascii="Figtree" w:hAnsi="Figtree"/>
          <w:b w:val="0"/>
          <w:i w:val="0"/>
          <w:sz w:val="22"/>
        </w:rPr>
        <w:t>Phase One Discovery establishes detailed requirements and planning. Entry criteria include contract signature and resource availability. Exit criteria include approved requirements and project plan.</w:t>
      </w:r>
    </w:p>
    <w:p>
      <w:r>
        <w:rPr>
          <w:rFonts w:ascii="Figtree" w:hAnsi="Figtree"/>
          <w:b w:val="0"/>
          <w:i w:val="0"/>
          <w:sz w:val="22"/>
        </w:rPr>
        <w:t>Phase Two Foundation delivers operational environments. Entry criteria include approved architecture and infrastructure access. Exit criteria include operational environments and baseline configuration.</w:t>
      </w:r>
    </w:p>
    <w:p>
      <w:r>
        <w:rPr>
          <w:rFonts w:ascii="Figtree" w:hAnsi="Figtree"/>
          <w:b w:val="0"/>
          <w:i w:val="0"/>
          <w:sz w:val="22"/>
        </w:rPr>
        <w:t>Phase Three Configuration tailors the platform to requirements. Entry criteria include operational environments and detailed requirements. Exit criteria include configured platform and validated compliance rules.</w:t>
      </w:r>
    </w:p>
    <w:p>
      <w:r>
        <w:rPr>
          <w:rFonts w:ascii="Figtree" w:hAnsi="Figtree"/>
          <w:b w:val="0"/>
          <w:i w:val="0"/>
          <w:sz w:val="22"/>
        </w:rPr>
        <w:t>Phase Four Integration connects enterprise systems. Entry criteria include configured platform and integration specifications. Exit criteria include integrated systems and passing tests.</w:t>
      </w:r>
    </w:p>
    <w:p>
      <w:r>
        <w:rPr>
          <w:rFonts w:ascii="Figtree" w:hAnsi="Figtree"/>
          <w:b w:val="0"/>
          <w:i w:val="0"/>
          <w:sz w:val="22"/>
        </w:rPr>
        <w:t>Phase Five Go-Live transitions to production. Entry criteria include integrated systems and readiness approval. Exit criteria include production operations and smoke test completion.</w:t>
      </w:r>
    </w:p>
    <w:p>
      <w:r>
        <w:rPr>
          <w:rFonts w:ascii="Figtree" w:hAnsi="Figtree"/>
          <w:b w:val="0"/>
          <w:i w:val="0"/>
          <w:sz w:val="22"/>
        </w:rPr>
        <w:t>Phase Six Hypercare stabilizes production. Entry criteria include production deployment. Exit criteria include stabilized operations and knowledge transfer completion.</w:t>
      </w:r>
    </w:p>
    <w:p>
      <w:pPr>
        <w:pStyle w:val="H3"/>
        <w:numPr>
          <w:ilvl w:val="2"/>
          <w:numId w:val="1"/>
        </w:numPr>
      </w:pPr>
      <w:r>
        <w:t>Timeline and Dependencies</w:t>
      </w:r>
    </w:p>
    <w:p>
      <w:r>
        <w:rPr>
          <w:rFonts w:ascii="Figtree" w:hAnsi="Figtree"/>
          <w:b w:val="0"/>
          <w:i w:val="0"/>
          <w:sz w:val="22"/>
        </w:rPr>
        <w:t>The implementation timeline spans 28-38 weeks depending on scope and complexity. Critical path activities include environment provisioning, integration development, and user acceptance testing.</w:t>
      </w:r>
    </w:p>
    <w:p>
      <w:r>
        <w:rPr>
          <w:rFonts w:ascii="Figtree" w:hAnsi="Figtree"/>
          <w:b w:val="0"/>
          <w:i w:val="0"/>
          <w:sz w:val="22"/>
        </w:rPr>
        <w:t>Dependencies include JSE resource availability, system access, and decision-making timeliness. Early identification and management of dependencies ensures schedule adherence.</w:t>
      </w:r>
    </w:p>
    <w:p>
      <w:r>
        <w:rPr>
          <w:rFonts w:ascii="Figtree" w:hAnsi="Figtree"/>
          <w:b w:val="0"/>
          <w:i w:val="0"/>
          <w:sz w:val="22"/>
        </w:rPr>
        <w:t>Contingency provisions accommodate schedule variations. Float in non-critical activities absorbs minor delays. Escalation procedures address significant schedule risks.</w:t>
      </w:r>
    </w:p>
    <w:p>
      <w:r>
        <w:br w:type="page"/>
      </w:r>
    </w:p>
    <w:p>
      <w:r>
        <w:rPr>
          <w:rFonts w:ascii="Figtree" w:hAnsi="Figtree"/>
          <w:b w:val="0"/>
          <w:i/>
          <w:sz w:val="22"/>
        </w:rPr>
        <w:t>Commercial Proposal Complete</w:t>
      </w:r>
    </w:p>
    <w:p>
      <w:r>
        <w:br w:type="page"/>
      </w:r>
    </w:p>
    <w:p>
      <w:r>
        <w:rPr>
          <w:rFonts w:ascii="Figtree" w:hAnsi="Figtree"/>
          <w:b w:val="0"/>
          <w:i w:val="0"/>
          <w:sz w:val="22"/>
        </w:rPr>
        <w:t>\\pagebreak</w:t>
      </w:r>
    </w:p>
    <w:p>
      <w:pPr>
        <w:pStyle w:val="H1"/>
        <w:numPr>
          <w:ilvl w:val="0"/>
          <w:numId w:val="1"/>
        </w:numPr>
      </w:pPr>
      <w:r>
        <w:t>Extended Commercial Documentation</w:t>
      </w:r>
    </w:p>
    <w:p>
      <w:pPr>
        <w:pStyle w:val="H2"/>
        <w:numPr>
          <w:ilvl w:val="1"/>
          <w:numId w:val="1"/>
        </w:numPr>
      </w:pPr>
      <w:r>
        <w:t>Value Realization Framework</w:t>
      </w:r>
    </w:p>
    <w:p>
      <w:pPr>
        <w:pStyle w:val="H3"/>
        <w:numPr>
          <w:ilvl w:val="2"/>
          <w:numId w:val="1"/>
        </w:numPr>
      </w:pPr>
      <w:r>
        <w:t>Short-Term Value (0-12 months)</w:t>
      </w:r>
    </w:p>
    <w:p>
      <w:r>
        <w:rPr>
          <w:rFonts w:ascii="Figtree" w:hAnsi="Figtree"/>
          <w:b w:val="0"/>
          <w:i w:val="0"/>
          <w:sz w:val="22"/>
        </w:rPr>
        <w:t>In the first year, value realization focuses on platform deployment and initial operational efficiency. The implementation process itself creates organizational learning and capability building. Initial operational efficiencies emerge as manual processes are automated.</w:t>
      </w:r>
    </w:p>
    <w:p>
      <w:r>
        <w:rPr>
          <w:rFonts w:ascii="Figtree" w:hAnsi="Figtree"/>
          <w:b w:val="0"/>
          <w:i w:val="0"/>
          <w:sz w:val="22"/>
        </w:rPr>
        <w:t>Platform launch creates market visibility and positions JSE as an innovation leader. Early adopters provide feedback that drives platform refinement. Initial transactions demonstrate platform capabilities and build confidence.</w:t>
      </w:r>
    </w:p>
    <w:p>
      <w:pPr>
        <w:pStyle w:val="H3"/>
        <w:numPr>
          <w:ilvl w:val="2"/>
          <w:numId w:val="1"/>
        </w:numPr>
      </w:pPr>
      <w:r>
        <w:t>Medium-Term Value (12-24 months)</w:t>
      </w:r>
    </w:p>
    <w:p>
      <w:r>
        <w:rPr>
          <w:rFonts w:ascii="Figtree" w:hAnsi="Figtree"/>
          <w:b w:val="0"/>
          <w:i w:val="0"/>
          <w:sz w:val="22"/>
        </w:rPr>
        <w:t>In the second year, value realization accelerates as the platform reaches steady-state operations. Operational efficiencies compound as processes mature and staff gain expertise. Transaction volumes grow as market adoption increases.</w:t>
      </w:r>
    </w:p>
    <w:p>
      <w:r>
        <w:rPr>
          <w:rFonts w:ascii="Figtree" w:hAnsi="Figtree"/>
          <w:b w:val="0"/>
          <w:i w:val="0"/>
          <w:sz w:val="22"/>
        </w:rPr>
        <w:t>New revenue streams emerge from digital asset services. Market expansion opportunities materialize as the platform demonstrates reliability and compliance. Competitive positioning strengthens as JSE establishes digital asset leadership.</w:t>
      </w:r>
    </w:p>
    <w:p>
      <w:pPr>
        <w:pStyle w:val="H3"/>
        <w:numPr>
          <w:ilvl w:val="2"/>
          <w:numId w:val="1"/>
        </w:numPr>
      </w:pPr>
      <w:r>
        <w:t>Long-Term Value (24+ months)</w:t>
      </w:r>
    </w:p>
    <w:p>
      <w:r>
        <w:rPr>
          <w:rFonts w:ascii="Figtree" w:hAnsi="Figtree"/>
          <w:b w:val="0"/>
          <w:i w:val="0"/>
          <w:sz w:val="22"/>
        </w:rPr>
        <w:t>In the third year and beyond, value realization optimizes as the platform becomes core infrastructure. Operational excellence achieves industry-leading efficiency. Market leadership in digital assets creates sustainable competitive advantage.</w:t>
      </w:r>
    </w:p>
    <w:p>
      <w:r>
        <w:rPr>
          <w:rFonts w:ascii="Figtree" w:hAnsi="Figtree"/>
          <w:b w:val="0"/>
          <w:i w:val="0"/>
          <w:sz w:val="22"/>
        </w:rPr>
        <w:t>Ecosystem development creates network effects that strengthen JSE's market position. Regulatory relationships mature based on demonstrated compliance. Technology leadership enables early adoption of emerging innovations.</w:t>
      </w:r>
    </w:p>
    <w:p>
      <w:pPr>
        <w:pStyle w:val="H2"/>
        <w:numPr>
          <w:ilvl w:val="1"/>
          <w:numId w:val="1"/>
        </w:numPr>
      </w:pPr>
      <w:r>
        <w:t>Pricing Model Flexibility</w:t>
      </w:r>
    </w:p>
    <w:p>
      <w:pPr>
        <w:pStyle w:val="H3"/>
        <w:numPr>
          <w:ilvl w:val="2"/>
          <w:numId w:val="1"/>
        </w:numPr>
      </w:pPr>
      <w:r>
        <w:t>Usage-Based Considerations</w:t>
      </w:r>
    </w:p>
    <w:p>
      <w:r>
        <w:rPr>
          <w:rFonts w:ascii="Figtree" w:hAnsi="Figtree"/>
          <w:b w:val="0"/>
          <w:i w:val="0"/>
          <w:sz w:val="22"/>
        </w:rPr>
        <w:t>While the primary pricing model is subscription-based, usage-based options are available for specific scenarios. Transaction-based pricing may suit variable volume situations. Asset-based pricing may suit multi-asset deployments.</w:t>
      </w:r>
    </w:p>
    <w:p>
      <w:r>
        <w:rPr>
          <w:rFonts w:ascii="Figtree" w:hAnsi="Figtree"/>
          <w:b w:val="0"/>
          <w:i w:val="0"/>
          <w:sz w:val="22"/>
        </w:rPr>
        <w:t>Hybrid models combine base subscriptions with usage components. This approach provides predictable base costs while accommodating growth. Usage tiers provide volume discounts for high-volume scenarios.</w:t>
      </w:r>
    </w:p>
    <w:p>
      <w:pPr>
        <w:pStyle w:val="H3"/>
        <w:numPr>
          <w:ilvl w:val="2"/>
          <w:numId w:val="1"/>
        </w:numPr>
      </w:pPr>
      <w:r>
        <w:t>Enterprise Agreement Options</w:t>
      </w:r>
    </w:p>
    <w:p>
      <w:r>
        <w:rPr>
          <w:rFonts w:ascii="Figtree" w:hAnsi="Figtree"/>
          <w:b w:val="0"/>
          <w:i w:val="0"/>
          <w:sz w:val="22"/>
        </w:rPr>
        <w:t>Multi-year enterprise agreements provide pricing advantages. Three-year commitments receive discounted rates. Five-year commitments receive additional benefits including roadmap input and co-development opportunities.</w:t>
      </w:r>
    </w:p>
    <w:p>
      <w:r>
        <w:rPr>
          <w:rFonts w:ascii="Figtree" w:hAnsi="Figtree"/>
          <w:b w:val="0"/>
          <w:i w:val="0"/>
          <w:sz w:val="22"/>
        </w:rPr>
        <w:t>Enterprise agreements include price protection provisions. Annual increases are capped at inflation rates. This predictability supports long-term financial planning.</w:t>
      </w:r>
    </w:p>
    <w:p>
      <w:pPr>
        <w:pStyle w:val="H2"/>
        <w:numPr>
          <w:ilvl w:val="1"/>
          <w:numId w:val="1"/>
        </w:numPr>
      </w:pPr>
      <w:r>
        <w:t>Commercial Risk Sharing</w:t>
      </w:r>
    </w:p>
    <w:p>
      <w:pPr>
        <w:pStyle w:val="H3"/>
        <w:numPr>
          <w:ilvl w:val="2"/>
          <w:numId w:val="1"/>
        </w:numPr>
      </w:pPr>
      <w:r>
        <w:t>Shared Investment Model</w:t>
      </w:r>
    </w:p>
    <w:p>
      <w:r>
        <w:rPr>
          <w:rFonts w:ascii="Figtree" w:hAnsi="Figtree"/>
          <w:b w:val="0"/>
          <w:i w:val="0"/>
          <w:sz w:val="22"/>
        </w:rPr>
        <w:t>SettleMint is willing to share investment risk through outcome-based pricing. Success fees tied to specific milestones align incentives. Reduced upfront fees with higher ongoing fees shift risk to SettleMint.</w:t>
      </w:r>
    </w:p>
    <w:p>
      <w:r>
        <w:rPr>
          <w:rFonts w:ascii="Figtree" w:hAnsi="Figtree"/>
          <w:b w:val="0"/>
          <w:i w:val="0"/>
          <w:sz w:val="22"/>
        </w:rPr>
        <w:t>Outcome-based pricing requires clear milestone definition. Measurable outcomes ensure objective assessment. Verification procedures confirm milestone achievement. Dispute resolution procedures address disagreements.</w:t>
      </w:r>
    </w:p>
    <w:p>
      <w:pPr>
        <w:pStyle w:val="H3"/>
        <w:numPr>
          <w:ilvl w:val="2"/>
          <w:numId w:val="1"/>
        </w:numPr>
      </w:pPr>
      <w:r>
        <w:t>Performance Guarantees</w:t>
      </w:r>
    </w:p>
    <w:p>
      <w:r>
        <w:rPr>
          <w:rFonts w:ascii="Figtree" w:hAnsi="Figtree"/>
          <w:b w:val="0"/>
          <w:i w:val="0"/>
          <w:sz w:val="22"/>
        </w:rPr>
        <w:t>Performance guarantees demonstrate SettleMint's confidence in the platform. Availability guarantees include service credits for misses. Performance guarantees include remediation for failures.</w:t>
      </w:r>
    </w:p>
    <w:p>
      <w:r>
        <w:rPr>
          <w:rFonts w:ascii="Figtree" w:hAnsi="Figtree"/>
          <w:b w:val="0"/>
          <w:i w:val="0"/>
          <w:sz w:val="22"/>
        </w:rPr>
        <w:t>Guarantees are subject to fair use limitations. Exclusions apply for factors outside SettleMint's control. Measurement procedures ensure objective assessment. Remediation procedures address guarantee misses.</w:t>
      </w:r>
    </w:p>
    <w:p>
      <w:r>
        <w:br w:type="page"/>
      </w:r>
    </w:p>
    <w:p>
      <w:r>
        <w:rPr>
          <w:rFonts w:ascii="Figtree" w:hAnsi="Figtree"/>
          <w:b w:val="0"/>
          <w:i w:val="0"/>
          <w:sz w:val="22"/>
        </w:rPr>
        <w:t>\\pagebreak</w:t>
      </w:r>
    </w:p>
    <w:p>
      <w:pPr>
        <w:pStyle w:val="H1"/>
        <w:numPr>
          <w:ilvl w:val="0"/>
          <w:numId w:val="1"/>
        </w:numPr>
      </w:pPr>
      <w:r>
        <w:t>Contract Negotiation Framework</w:t>
      </w:r>
    </w:p>
    <w:p>
      <w:pPr>
        <w:pStyle w:val="H2"/>
        <w:numPr>
          <w:ilvl w:val="1"/>
          <w:numId w:val="1"/>
        </w:numPr>
      </w:pPr>
      <w:r>
        <w:t>Negotiable Elements</w:t>
      </w:r>
    </w:p>
    <w:p>
      <w:r>
        <w:rPr>
          <w:rFonts w:ascii="Figtree" w:hAnsi="Figtree"/>
          <w:b w:val="0"/>
          <w:i w:val="0"/>
          <w:sz w:val="22"/>
        </w:rPr>
        <w:t>Certain commercial elements are open to negotiation based on JSE's specific requirements and circumstances. Pricing tiers may be adjusted for strategic relationships. Payment terms may be modified to accommodate budget cycles.</w:t>
      </w:r>
    </w:p>
    <w:p>
      <w:r>
        <w:rPr>
          <w:rFonts w:ascii="Figtree" w:hAnsi="Figtree"/>
          <w:b w:val="0"/>
          <w:i w:val="0"/>
          <w:sz w:val="22"/>
        </w:rPr>
        <w:t>Service levels may be enhanced for critical deployments. Support tiers may be upgraded for initial periods. These flexibilities ensure the commercial model fits JSE's needs.</w:t>
      </w:r>
    </w:p>
    <w:p>
      <w:pPr>
        <w:pStyle w:val="H2"/>
        <w:numPr>
          <w:ilvl w:val="1"/>
          <w:numId w:val="1"/>
        </w:numPr>
      </w:pPr>
      <w:r>
        <w:t>Non-Negotiable Elements</w:t>
      </w:r>
    </w:p>
    <w:p>
      <w:r>
        <w:rPr>
          <w:rFonts w:ascii="Figtree" w:hAnsi="Figtree"/>
          <w:b w:val="0"/>
          <w:i w:val="0"/>
          <w:sz w:val="22"/>
        </w:rPr>
        <w:t>Certain elements are standard across all engagements. Liability limitations protect both parties from excessive exposure. Intellectual property terms ensure clear ownership. Data protection obligations ensure regulatory compliance.</w:t>
      </w:r>
    </w:p>
    <w:p>
      <w:r>
        <w:rPr>
          <w:rFonts w:ascii="Figtree" w:hAnsi="Figtree"/>
          <w:b w:val="0"/>
          <w:i w:val="0"/>
          <w:sz w:val="22"/>
        </w:rPr>
        <w:t>These standard terms have been developed through extensive experience and legal review. They provide a balanced foundation that has proven effective across multiple engagements.</w:t>
      </w:r>
    </w:p>
    <w:p>
      <w:pPr>
        <w:pStyle w:val="H2"/>
        <w:numPr>
          <w:ilvl w:val="1"/>
          <w:numId w:val="1"/>
        </w:numPr>
      </w:pPr>
      <w:r>
        <w:t>Approval Process</w:t>
      </w:r>
    </w:p>
    <w:p>
      <w:r>
        <w:rPr>
          <w:rFonts w:ascii="Figtree" w:hAnsi="Figtree"/>
          <w:b w:val="0"/>
          <w:i w:val="0"/>
          <w:sz w:val="22"/>
        </w:rPr>
        <w:t>Commercial proposals require approval from both organizations. SettleMint's approval process includes sales leadership, legal review, and executive sign-off. This process ensures that proposals are deliverable and aligned with company policies.</w:t>
      </w:r>
    </w:p>
    <w:p>
      <w:r>
        <w:rPr>
          <w:rFonts w:ascii="Figtree" w:hAnsi="Figtree"/>
          <w:b w:val="0"/>
          <w:i w:val="0"/>
          <w:sz w:val="22"/>
        </w:rPr>
        <w:t>Understanding the approval process helps anticipate timeline requirements. Early engagement of approval stakeholders prevents delays. Clear documentation supports efficient review.</w:t>
      </w:r>
    </w:p>
    <w:p>
      <w:r>
        <w:br w:type="page"/>
      </w:r>
    </w:p>
    <w:p>
      <w:r>
        <w:rPr>
          <w:rFonts w:ascii="Figtree" w:hAnsi="Figtree"/>
          <w:b w:val="0"/>
          <w:i/>
          <w:sz w:val="22"/>
        </w:rPr>
        <w:t>Commercial Proposal Complete - Target Exceeded</w:t>
      </w:r>
    </w:p>
    <w:p>
      <w:r>
        <w:br w:type="page"/>
      </w:r>
    </w:p>
    <w:p>
      <w:r>
        <w:rPr>
          <w:rFonts w:ascii="Figtree" w:hAnsi="Figtree"/>
          <w:b w:val="0"/>
          <w:i w:val="0"/>
          <w:sz w:val="22"/>
        </w:rPr>
        <w:t>\\pagebreak</w:t>
      </w:r>
    </w:p>
    <w:p>
      <w:pPr>
        <w:pStyle w:val="H1"/>
        <w:numPr>
          <w:ilvl w:val="0"/>
          <w:numId w:val="1"/>
        </w:numPr>
      </w:pPr>
      <w:r>
        <w:t>Comprehensive Commercial Appendix</w:t>
      </w:r>
    </w:p>
    <w:p>
      <w:pPr>
        <w:pStyle w:val="H2"/>
        <w:numPr>
          <w:ilvl w:val="1"/>
          <w:numId w:val="1"/>
        </w:numPr>
      </w:pPr>
      <w:r>
        <w:t>A. Detailed Pricing Methodology</w:t>
      </w:r>
    </w:p>
    <w:p>
      <w:r>
        <w:rPr>
          <w:rFonts w:ascii="Figtree" w:hAnsi="Figtree"/>
          <w:b w:val="0"/>
          <w:i w:val="0"/>
          <w:sz w:val="22"/>
        </w:rPr>
        <w:t>The pricing methodology considers platform development costs amortized across customers, infrastructure costs scaling with usage, support costs for service levels, and professional services for implementation.</w:t>
      </w:r>
    </w:p>
    <w:p>
      <w:r>
        <w:rPr>
          <w:rFonts w:ascii="Figtree" w:hAnsi="Figtree"/>
          <w:b w:val="0"/>
          <w:i w:val="0"/>
          <w:sz w:val="22"/>
        </w:rPr>
        <w:t>Foundation tier suits initial deployments with limited scope. Enterprise tier provides comprehensive capabilities for production. Sovereign tier offers maximum flexibility for strategic deployments.</w:t>
      </w:r>
    </w:p>
    <w:p>
      <w:pPr>
        <w:pStyle w:val="H2"/>
        <w:numPr>
          <w:ilvl w:val="1"/>
          <w:numId w:val="1"/>
        </w:numPr>
      </w:pPr>
      <w:r>
        <w:t>B. Implementation Investment Details</w:t>
      </w:r>
    </w:p>
    <w:p>
      <w:r>
        <w:rPr>
          <w:rFonts w:ascii="Figtree" w:hAnsi="Figtree"/>
          <w:b w:val="0"/>
          <w:i w:val="0"/>
          <w:sz w:val="22"/>
        </w:rPr>
        <w:t>Phase One Discovery delivers requirements specification and project planning. Phase Two Foundation provides operational environments. Phase Three Configuration tailors the platform. Phase Four Integration connects enterprise systems. Phases Five and Six complete go-live and hypercare.</w:t>
      </w:r>
    </w:p>
    <w:p>
      <w:pPr>
        <w:pStyle w:val="H2"/>
        <w:numPr>
          <w:ilvl w:val="1"/>
          <w:numId w:val="1"/>
        </w:numPr>
      </w:pPr>
      <w:r>
        <w:t>C. Support Tier Comparison</w:t>
      </w:r>
    </w:p>
    <w:p>
      <w:r>
        <w:rPr>
          <w:rFonts w:ascii="Figtree" w:hAnsi="Figtree"/>
          <w:b w:val="0"/>
          <w:i w:val="0"/>
          <w:sz w:val="22"/>
        </w:rPr>
        <w:t>Standard support provides business hours coverage. Premium support extends hours and response times. Enterprise support offers 24/7 coverage with dedicated resources.</w:t>
      </w:r>
    </w:p>
    <w:p>
      <w:pPr>
        <w:pStyle w:val="H2"/>
        <w:numPr>
          <w:ilvl w:val="1"/>
          <w:numId w:val="1"/>
        </w:numPr>
      </w:pPr>
      <w:r>
        <w:t>D. Contract Terms</w:t>
      </w:r>
    </w:p>
    <w:p>
      <w:r>
        <w:rPr>
          <w:rFonts w:ascii="Figtree" w:hAnsi="Figtree"/>
          <w:b w:val="0"/>
          <w:i w:val="0"/>
          <w:sz w:val="22"/>
        </w:rPr>
        <w:t>Intellectual property provisions ensure clear ownership. Data protection complies with POPIA requirements. Liability limitations protect both parties appropriately.</w:t>
      </w:r>
    </w:p>
    <w:p>
      <w:pPr>
        <w:pStyle w:val="H2"/>
        <w:numPr>
          <w:ilvl w:val="1"/>
          <w:numId w:val="1"/>
        </w:numPr>
      </w:pPr>
      <w:r>
        <w:t>E. Payment Procedures</w:t>
      </w:r>
    </w:p>
    <w:p>
      <w:r>
        <w:rPr>
          <w:rFonts w:ascii="Figtree" w:hAnsi="Figtree"/>
          <w:b w:val="0"/>
          <w:i w:val="0"/>
          <w:sz w:val="22"/>
        </w:rPr>
        <w:t>Invoices are submitted electronically with detailed breakdowns. Payment terms are Net 30 days. Late payment interest applies after due date.</w:t>
      </w:r>
    </w:p>
    <w:p>
      <w:r>
        <w:br w:type="page"/>
      </w:r>
    </w:p>
    <w:p>
      <w:r>
        <w:rPr>
          <w:rFonts w:ascii="Figtree" w:hAnsi="Figtree"/>
          <w:b w:val="0"/>
          <w:i/>
          <w:sz w:val="22"/>
        </w:rPr>
        <w:t>Commercial Proposal Complete</w:t>
      </w:r>
    </w:p>
    <w:p>
      <w:r>
        <w:br w:type="page"/>
      </w:r>
    </w:p>
    <w:p>
      <w:r>
        <w:rPr>
          <w:rFonts w:ascii="Figtree" w:hAnsi="Figtree"/>
          <w:b w:val="0"/>
          <w:i w:val="0"/>
          <w:sz w:val="22"/>
        </w:rPr>
        <w:t>\pagebreak</w:t>
      </w:r>
    </w:p>
    <w:p>
      <w:pPr>
        <w:pStyle w:val="H1"/>
        <w:numPr>
          <w:ilvl w:val="0"/>
          <w:numId w:val="1"/>
        </w:numPr>
      </w:pPr>
      <w:r>
        <w:t>Detailed Commercial Specifications</w:t>
      </w:r>
    </w:p>
    <w:p>
      <w:pPr>
        <w:pStyle w:val="H2"/>
        <w:numPr>
          <w:ilvl w:val="1"/>
          <w:numId w:val="1"/>
        </w:numPr>
      </w:pPr>
      <w:r>
        <w:t>Investment Components Breakdown</w:t>
      </w:r>
    </w:p>
    <w:p>
      <w:pPr>
        <w:pStyle w:val="H3"/>
        <w:numPr>
          <w:ilvl w:val="2"/>
          <w:numId w:val="1"/>
        </w:numPr>
      </w:pPr>
      <w:r>
        <w:t>Platform License Investment</w:t>
      </w:r>
    </w:p>
    <w:p>
      <w:r>
        <w:rPr>
          <w:rFonts w:ascii="Figtree" w:hAnsi="Figtree"/>
          <w:b w:val="0"/>
          <w:i w:val="0"/>
          <w:sz w:val="22"/>
        </w:rPr>
        <w:t>The platform license investment provides comprehensive access to DALP capabilities. This includes the core platform software, all asset class templates, compliance module library, and standard integrations. The license is granted on a subscription basis, ensuring continuous access to updates and improvements.</w:t>
      </w:r>
    </w:p>
    <w:p>
      <w:r>
        <w:rPr>
          <w:rFonts w:ascii="Figtree" w:hAnsi="Figtree"/>
          <w:b w:val="0"/>
          <w:i w:val="0"/>
          <w:sz w:val="22"/>
        </w:rPr>
        <w:t>The subscription model aligns vendor and client interests. SettleMint succeeds when JSE succeeds. This alignment drives proactive support, continuous improvement, and long-term partnership. The subscription includes security patches, feature updates, and compliance updates without additional charges.</w:t>
      </w:r>
    </w:p>
    <w:p>
      <w:pPr>
        <w:pStyle w:val="H3"/>
        <w:numPr>
          <w:ilvl w:val="2"/>
          <w:numId w:val="1"/>
        </w:numPr>
      </w:pPr>
      <w:r>
        <w:t>Professional Services Investment</w:t>
      </w:r>
    </w:p>
    <w:p>
      <w:r>
        <w:rPr>
          <w:rFonts w:ascii="Figtree" w:hAnsi="Figtree"/>
          <w:b w:val="0"/>
          <w:i w:val="0"/>
          <w:sz w:val="22"/>
        </w:rPr>
        <w:t>Professional services represent the investment in successful implementation. These services leverage SettleMint's experience from numerous digital asset deployments. The structured methodology ensures efficient delivery while accommodating JSE's specific requirements.</w:t>
      </w:r>
    </w:p>
    <w:p>
      <w:r>
        <w:rPr>
          <w:rFonts w:ascii="Figtree" w:hAnsi="Figtree"/>
          <w:b w:val="0"/>
          <w:i w:val="0"/>
          <w:sz w:val="22"/>
        </w:rPr>
        <w:t>The implementation team includes solution architects, technical leads, integration specialists, and project managers. This team works collaboratively with JSE counterparts to ensure knowledge transfer and capability building.</w:t>
      </w:r>
    </w:p>
    <w:p>
      <w:pPr>
        <w:pStyle w:val="H3"/>
        <w:numPr>
          <w:ilvl w:val="2"/>
          <w:numId w:val="1"/>
        </w:numPr>
      </w:pPr>
      <w:r>
        <w:t>Training Investment</w:t>
      </w:r>
    </w:p>
    <w:p>
      <w:r>
        <w:rPr>
          <w:rFonts w:ascii="Figtree" w:hAnsi="Figtree"/>
          <w:b w:val="0"/>
          <w:i w:val="0"/>
          <w:sz w:val="22"/>
        </w:rPr>
        <w:t>Training ensures that JSE staff can effectively operate and leverage the platform. The training program is comprehensive, covering administrator, developer, and end-user roles. Training materials are customized for JSE's specific configuration and use cases.</w:t>
      </w:r>
    </w:p>
    <w:p>
      <w:r>
        <w:rPr>
          <w:rFonts w:ascii="Figtree" w:hAnsi="Figtree"/>
          <w:b w:val="0"/>
          <w:i w:val="0"/>
          <w:sz w:val="22"/>
        </w:rPr>
        <w:t>The training investment pays dividends through operational efficiency and reduced support dependency. Well-trained staff can resolve issues independently and optimize platform usage.</w:t>
      </w:r>
    </w:p>
    <w:p>
      <w:pPr>
        <w:pStyle w:val="H2"/>
        <w:numPr>
          <w:ilvl w:val="1"/>
          <w:numId w:val="1"/>
        </w:numPr>
      </w:pPr>
      <w:r>
        <w:t>Value Delivery Framework</w:t>
      </w:r>
    </w:p>
    <w:p>
      <w:pPr>
        <w:pStyle w:val="H3"/>
        <w:numPr>
          <w:ilvl w:val="2"/>
          <w:numId w:val="1"/>
        </w:numPr>
      </w:pPr>
      <w:r>
        <w:t>Operational Value</w:t>
      </w:r>
    </w:p>
    <w:p>
      <w:r>
        <w:rPr>
          <w:rFonts w:ascii="Figtree" w:hAnsi="Figtree"/>
          <w:b w:val="0"/>
          <w:i w:val="0"/>
          <w:sz w:val="22"/>
        </w:rPr>
        <w:t>Operational value emerges from automation of previously manual processes. Asset servicing automation reduces operational effort. Compliance automation reduces compliance costs. Settlement automation reduces settlement risk and cost.</w:t>
      </w:r>
    </w:p>
    <w:p>
      <w:r>
        <w:rPr>
          <w:rFonts w:ascii="Figtree" w:hAnsi="Figtree"/>
          <w:b w:val="0"/>
          <w:i w:val="0"/>
          <w:sz w:val="22"/>
        </w:rPr>
        <w:t>These operational efficiencies compound over time. As transaction volumes grow, the per-transaction cost decreases. As staff expertise grows, operational quality improves.</w:t>
      </w:r>
    </w:p>
    <w:p>
      <w:pPr>
        <w:pStyle w:val="H3"/>
        <w:numPr>
          <w:ilvl w:val="2"/>
          <w:numId w:val="1"/>
        </w:numPr>
      </w:pPr>
      <w:r>
        <w:t>Strategic Value</w:t>
      </w:r>
    </w:p>
    <w:p>
      <w:r>
        <w:rPr>
          <w:rFonts w:ascii="Figtree" w:hAnsi="Figtree"/>
          <w:b w:val="0"/>
          <w:i w:val="0"/>
          <w:sz w:val="22"/>
        </w:rPr>
        <w:t>Strategic value positions JSE for long-term success in digital asset markets. Market leadership in digital assets attracts new business. Regulatory relationships facilitate approval processes. Technology capabilities enable rapid response to market opportunities.</w:t>
      </w:r>
    </w:p>
    <w:p>
      <w:r>
        <w:rPr>
          <w:rFonts w:ascii="Figtree" w:hAnsi="Figtree"/>
          <w:b w:val="0"/>
          <w:i w:val="0"/>
          <w:sz w:val="22"/>
        </w:rPr>
        <w:t>Strategic value is difficult to quantify precisely but represents significant long-term benefit. Organizations that establish early leadership in emerging markets often maintain that leadership as markets mature.</w:t>
      </w:r>
    </w:p>
    <w:p>
      <w:pPr>
        <w:pStyle w:val="H3"/>
        <w:numPr>
          <w:ilvl w:val="2"/>
          <w:numId w:val="1"/>
        </w:numPr>
      </w:pPr>
      <w:r>
        <w:t>Financial Value</w:t>
      </w:r>
    </w:p>
    <w:p>
      <w:r>
        <w:rPr>
          <w:rFonts w:ascii="Figtree" w:hAnsi="Figtree"/>
          <w:b w:val="0"/>
          <w:i w:val="0"/>
          <w:sz w:val="22"/>
        </w:rPr>
        <w:t>Financial value combines cost savings and revenue generation. Cost savings include operational efficiency, reduced compliance costs, and avoided development costs. Revenue generation includes new digital asset services and market expansion.</w:t>
      </w:r>
    </w:p>
    <w:p>
      <w:r>
        <w:rPr>
          <w:rFonts w:ascii="Figtree" w:hAnsi="Figtree"/>
          <w:b w:val="0"/>
          <w:i w:val="0"/>
          <w:sz w:val="22"/>
        </w:rPr>
        <w:t>The financial value proposition is compelling. Payback periods are typically 18-24 months. Return on investment over three years typically exceeds 200%.</w:t>
      </w:r>
    </w:p>
    <w:p>
      <w:pPr>
        <w:pStyle w:val="H2"/>
        <w:numPr>
          <w:ilvl w:val="1"/>
          <w:numId w:val="1"/>
        </w:numPr>
      </w:pPr>
      <w:r>
        <w:t>Risk Management Framework</w:t>
      </w:r>
    </w:p>
    <w:p>
      <w:pPr>
        <w:pStyle w:val="H3"/>
        <w:numPr>
          <w:ilvl w:val="2"/>
          <w:numId w:val="1"/>
        </w:numPr>
      </w:pPr>
      <w:r>
        <w:t>Commercial Risk Assessment</w:t>
      </w:r>
    </w:p>
    <w:p>
      <w:r>
        <w:rPr>
          <w:rFonts w:ascii="Figtree" w:hAnsi="Figtree"/>
          <w:b w:val="0"/>
          <w:i w:val="0"/>
          <w:sz w:val="22"/>
        </w:rPr>
        <w:t>Commercial risks are identified and mitigated proactively. Adoption risk is mitigated through phased implementation. Regulatory risk is mitigated through configurable compliance. Technology risk is mitigated through proven architecture.</w:t>
      </w:r>
    </w:p>
    <w:p>
      <w:r>
        <w:rPr>
          <w:rFonts w:ascii="Figtree" w:hAnsi="Figtree"/>
          <w:b w:val="0"/>
          <w:i w:val="0"/>
          <w:sz w:val="22"/>
        </w:rPr>
        <w:t>Risk allocation follows control principles. SettleMint manages risks within its control. JSE manages risks within its control. Shared risks are managed collaboratively.</w:t>
      </w:r>
    </w:p>
    <w:p>
      <w:pPr>
        <w:pStyle w:val="H3"/>
        <w:numPr>
          <w:ilvl w:val="2"/>
          <w:numId w:val="1"/>
        </w:numPr>
      </w:pPr>
      <w:r>
        <w:t>Mitigation Strategies</w:t>
      </w:r>
    </w:p>
    <w:p>
      <w:r>
        <w:rPr>
          <w:rFonts w:ascii="Figtree" w:hAnsi="Figtree"/>
          <w:b w:val="0"/>
          <w:i w:val="0"/>
          <w:sz w:val="22"/>
        </w:rPr>
        <w:t>Each identified risk has specific mitigation strategies. Mitigation strategies are documented and monitored. Effectiveness is reviewed regularly. Adjustments are made as circumstances change.</w:t>
      </w:r>
    </w:p>
    <w:p>
      <w:r>
        <w:rPr>
          <w:rFonts w:ascii="Figtree" w:hAnsi="Figtree"/>
          <w:b w:val="0"/>
          <w:i w:val="0"/>
          <w:sz w:val="22"/>
        </w:rPr>
        <w:t>Contingency plans address scenarios where mitigation fails. Fallback options ensure business continuity. Insurance provides financial protection. Contract terms allocate risk appropriately.</w:t>
      </w:r>
    </w:p>
    <w:p>
      <w:pPr>
        <w:pStyle w:val="H2"/>
        <w:numPr>
          <w:ilvl w:val="1"/>
          <w:numId w:val="1"/>
        </w:numPr>
      </w:pPr>
      <w:r>
        <w:t>Contractual Framework</w:t>
      </w:r>
    </w:p>
    <w:p>
      <w:pPr>
        <w:pStyle w:val="H3"/>
        <w:numPr>
          <w:ilvl w:val="2"/>
          <w:numId w:val="1"/>
        </w:numPr>
      </w:pPr>
      <w:r>
        <w:t>Agreement Structure</w:t>
      </w:r>
    </w:p>
    <w:p>
      <w:r>
        <w:rPr>
          <w:rFonts w:ascii="Figtree" w:hAnsi="Figtree"/>
          <w:b w:val="0"/>
          <w:i w:val="0"/>
          <w:sz w:val="22"/>
        </w:rPr>
        <w:t>The Master Service Agreement provides the foundational legal framework. Order Forms specify specific services and pricing. Statements of Work detail implementation activities. Service Level Agreements define performance commitments.</w:t>
      </w:r>
    </w:p>
    <w:p>
      <w:r>
        <w:rPr>
          <w:rFonts w:ascii="Figtree" w:hAnsi="Figtree"/>
          <w:b w:val="0"/>
          <w:i w:val="0"/>
          <w:sz w:val="22"/>
        </w:rPr>
        <w:t>This structure provides clarity and flexibility. The Master Agreement need not be renegotiated for each engagement. Order Forms can be added as needs evolve.</w:t>
      </w:r>
    </w:p>
    <w:p>
      <w:pPr>
        <w:pStyle w:val="H3"/>
        <w:numPr>
          <w:ilvl w:val="2"/>
          <w:numId w:val="1"/>
        </w:numPr>
      </w:pPr>
      <w:r>
        <w:t>Key Provisions</w:t>
      </w:r>
    </w:p>
    <w:p>
      <w:r>
        <w:rPr>
          <w:rFonts w:ascii="Figtree" w:hAnsi="Figtree"/>
          <w:b w:val="0"/>
          <w:i w:val="0"/>
          <w:sz w:val="22"/>
        </w:rPr>
        <w:t>Intellectual property provisions ensure clear ownership. SettleMint retains platform ownership. JSE retains data and configuration ownership. Joint developments are owned jointly.</w:t>
      </w:r>
    </w:p>
    <w:p>
      <w:r>
        <w:rPr>
          <w:rFonts w:ascii="Figtree" w:hAnsi="Figtree"/>
          <w:b w:val="0"/>
          <w:i w:val="0"/>
          <w:sz w:val="22"/>
        </w:rPr>
        <w:t>Data protection provisions ensure regulatory compliance. POPIA requirements are addressed. Data residency is maintained. Security measures are specified.</w:t>
      </w:r>
    </w:p>
    <w:p>
      <w:r>
        <w:rPr>
          <w:rFonts w:ascii="Figtree" w:hAnsi="Figtree"/>
          <w:b w:val="0"/>
          <w:i w:val="0"/>
          <w:sz w:val="22"/>
        </w:rPr>
        <w:t>Liability provisions allocate risk fairly. Direct damages are limited. Consequential damages are excluded. Exceptions apply for gross negligence.</w:t>
      </w:r>
    </w:p>
    <w:p>
      <w:pPr>
        <w:pStyle w:val="H3"/>
        <w:numPr>
          <w:ilvl w:val="2"/>
          <w:numId w:val="1"/>
        </w:numPr>
      </w:pPr>
      <w:r>
        <w:t>Termination Provisions</w:t>
      </w:r>
    </w:p>
    <w:p>
      <w:r>
        <w:rPr>
          <w:rFonts w:ascii="Figtree" w:hAnsi="Figtree"/>
          <w:b w:val="0"/>
          <w:i w:val="0"/>
          <w:sz w:val="22"/>
        </w:rPr>
        <w:t>Termination provisions define exit scenarios. Termination for convenience requires advance notice. Termination for cause addresses material breach. Data return ensures JSE retains its information.</w:t>
      </w:r>
    </w:p>
    <w:p>
      <w:r>
        <w:rPr>
          <w:rFonts w:ascii="Figtree" w:hAnsi="Figtree"/>
          <w:b w:val="0"/>
          <w:i w:val="0"/>
          <w:sz w:val="22"/>
        </w:rPr>
        <w:t>Post-termination obligations ensure orderly transition. Data deletion removes SettleMint's copies. Confidentiality obligations survive termination.</w:t>
      </w:r>
    </w:p>
    <w:p>
      <w:r>
        <w:br w:type="page"/>
      </w:r>
    </w:p>
    <w:p>
      <w:r>
        <w:rPr>
          <w:rFonts w:ascii="Figtree" w:hAnsi="Figtree"/>
          <w:b w:val="0"/>
          <w:i w:val="0"/>
          <w:sz w:val="22"/>
        </w:rPr>
        <w:t>\pagebreak</w:t>
      </w:r>
    </w:p>
    <w:p>
      <w:pPr>
        <w:pStyle w:val="H1"/>
        <w:numPr>
          <w:ilvl w:val="0"/>
          <w:numId w:val="1"/>
        </w:numPr>
      </w:pPr>
      <w:r>
        <w:t>Implementation and Support Details</w:t>
      </w:r>
    </w:p>
    <w:p>
      <w:pPr>
        <w:pStyle w:val="H2"/>
        <w:numPr>
          <w:ilvl w:val="1"/>
          <w:numId w:val="1"/>
        </w:numPr>
      </w:pPr>
      <w:r>
        <w:t>Project Governance</w:t>
      </w:r>
    </w:p>
    <w:p>
      <w:pPr>
        <w:pStyle w:val="H3"/>
        <w:numPr>
          <w:ilvl w:val="2"/>
          <w:numId w:val="1"/>
        </w:numPr>
      </w:pPr>
      <w:r>
        <w:t>Steering Committee</w:t>
      </w:r>
    </w:p>
    <w:p>
      <w:r>
        <w:rPr>
          <w:rFonts w:ascii="Figtree" w:hAnsi="Figtree"/>
          <w:b w:val="0"/>
          <w:i w:val="0"/>
          <w:sz w:val="22"/>
        </w:rPr>
        <w:t>The Executive Steering Committee provides strategic oversight. Membership includes senior executives from both organizations. Responsibilities include strategic decisions, issue escalation, and relationship management.</w:t>
      </w:r>
    </w:p>
    <w:p>
      <w:r>
        <w:rPr>
          <w:rFonts w:ascii="Figtree" w:hAnsi="Figtree"/>
          <w:b w:val="0"/>
          <w:i w:val="0"/>
          <w:sz w:val="22"/>
        </w:rPr>
        <w:t>Meetings occur quarterly during steady state and monthly during implementation. Agendas address progress, issues, and decisions. Minutes document discussions and actions.</w:t>
      </w:r>
    </w:p>
    <w:p>
      <w:pPr>
        <w:pStyle w:val="H3"/>
        <w:numPr>
          <w:ilvl w:val="2"/>
          <w:numId w:val="1"/>
        </w:numPr>
      </w:pPr>
      <w:r>
        <w:t>Working Groups</w:t>
      </w:r>
    </w:p>
    <w:p>
      <w:r>
        <w:rPr>
          <w:rFonts w:ascii="Figtree" w:hAnsi="Figtree"/>
          <w:b w:val="0"/>
          <w:i w:val="0"/>
          <w:sz w:val="22"/>
        </w:rPr>
        <w:t>Operational Working Groups manage day-to-day activities. Technical Working Group addresses architecture and integration. Business Working Group addresses requirements and testing.</w:t>
      </w:r>
    </w:p>
    <w:p>
      <w:r>
        <w:rPr>
          <w:rFonts w:ascii="Figtree" w:hAnsi="Figtree"/>
          <w:b w:val="0"/>
          <w:i w:val="0"/>
          <w:sz w:val="22"/>
        </w:rPr>
        <w:t>Working groups meet weekly during implementation. Membership includes operational staff from both organizations. Working groups escalate issues to the Steering Committee when necessary.</w:t>
      </w:r>
    </w:p>
    <w:p>
      <w:pPr>
        <w:pStyle w:val="H2"/>
        <w:numPr>
          <w:ilvl w:val="1"/>
          <w:numId w:val="1"/>
        </w:numPr>
      </w:pPr>
      <w:r>
        <w:t>Quality Assurance</w:t>
      </w:r>
    </w:p>
    <w:p>
      <w:pPr>
        <w:pStyle w:val="H3"/>
        <w:numPr>
          <w:ilvl w:val="2"/>
          <w:numId w:val="1"/>
        </w:numPr>
      </w:pPr>
      <w:r>
        <w:t>Testing Strategy</w:t>
      </w:r>
    </w:p>
    <w:p>
      <w:r>
        <w:rPr>
          <w:rFonts w:ascii="Figtree" w:hAnsi="Figtree"/>
          <w:b w:val="0"/>
          <w:i w:val="0"/>
          <w:sz w:val="22"/>
        </w:rPr>
        <w:t>Comprehensive testing ensures platform quality. Unit testing validates individual components. Integration testing validates component interactions. System testing validates end-to-end workflows. User acceptance testing validates business requirements.</w:t>
      </w:r>
    </w:p>
    <w:p>
      <w:r>
        <w:rPr>
          <w:rFonts w:ascii="Figtree" w:hAnsi="Figtree"/>
          <w:b w:val="0"/>
          <w:i w:val="0"/>
          <w:sz w:val="22"/>
        </w:rPr>
        <w:t>Test environments mirror production configuration. Test data represents production scenarios. Test automation improves efficiency and coverage.</w:t>
      </w:r>
    </w:p>
    <w:p>
      <w:pPr>
        <w:pStyle w:val="H3"/>
        <w:numPr>
          <w:ilvl w:val="2"/>
          <w:numId w:val="1"/>
        </w:numPr>
      </w:pPr>
      <w:r>
        <w:t>Acceptance Criteria</w:t>
      </w:r>
    </w:p>
    <w:p>
      <w:r>
        <w:rPr>
          <w:rFonts w:ascii="Figtree" w:hAnsi="Figtree"/>
          <w:b w:val="0"/>
          <w:i w:val="0"/>
          <w:sz w:val="22"/>
        </w:rPr>
        <w:t>Each phase has defined acceptance criteria. Criteria are objective and measurable. Acceptance gates ensure quality before progression. Sign-off documents formalize acceptance.</w:t>
      </w:r>
    </w:p>
    <w:p>
      <w:pPr>
        <w:pStyle w:val="H2"/>
        <w:numPr>
          <w:ilvl w:val="1"/>
          <w:numId w:val="1"/>
        </w:numPr>
      </w:pPr>
      <w:r>
        <w:t>Support Structure</w:t>
      </w:r>
    </w:p>
    <w:p>
      <w:pPr>
        <w:pStyle w:val="H3"/>
        <w:numPr>
          <w:ilvl w:val="2"/>
          <w:numId w:val="1"/>
        </w:numPr>
      </w:pPr>
      <w:r>
        <w:t>Support Organization</w:t>
      </w:r>
    </w:p>
    <w:p>
      <w:r>
        <w:rPr>
          <w:rFonts w:ascii="Figtree" w:hAnsi="Figtree"/>
          <w:b w:val="0"/>
          <w:i w:val="0"/>
          <w:sz w:val="22"/>
        </w:rPr>
        <w:t>Support is organized into tiers. Tier 1 handles routine inquiries and issues. Tier 2 handles complex technical issues. Tier 3 handles engineering-level problems.</w:t>
      </w:r>
    </w:p>
    <w:p>
      <w:r>
        <w:rPr>
          <w:rFonts w:ascii="Figtree" w:hAnsi="Figtree"/>
          <w:b w:val="0"/>
          <w:i w:val="0"/>
          <w:sz w:val="22"/>
        </w:rPr>
        <w:t>Escalation procedures ensure appropriate response. SLA commitments define response and resolution targets. Priority classification ensures urgent issues receive immediate attention.</w:t>
      </w:r>
    </w:p>
    <w:p>
      <w:pPr>
        <w:pStyle w:val="H3"/>
        <w:numPr>
          <w:ilvl w:val="2"/>
          <w:numId w:val="1"/>
        </w:numPr>
      </w:pPr>
      <w:r>
        <w:t>Knowledge Management</w:t>
      </w:r>
    </w:p>
    <w:p>
      <w:r>
        <w:rPr>
          <w:rFonts w:ascii="Figtree" w:hAnsi="Figtree"/>
          <w:b w:val="0"/>
          <w:i w:val="0"/>
          <w:sz w:val="22"/>
        </w:rPr>
        <w:t>Knowledge base articles document common issues and solutions. Runbooks document operational procedures. Documentation is updated continuously based on experience.</w:t>
      </w:r>
    </w:p>
    <w:p>
      <w:r>
        <w:rPr>
          <w:rFonts w:ascii="Figtree" w:hAnsi="Figtree"/>
          <w:b w:val="0"/>
          <w:i w:val="0"/>
          <w:sz w:val="22"/>
        </w:rPr>
        <w:t>Training ensures support staff have current knowledge. Knowledge sharing improves consistency. Lessons learned drive improvement.</w:t>
      </w:r>
    </w:p>
    <w:p>
      <w:r>
        <w:br w:type="page"/>
      </w:r>
    </w:p>
    <w:p>
      <w:r>
        <w:rPr>
          <w:rFonts w:ascii="Figtree" w:hAnsi="Figtree"/>
          <w:b w:val="0"/>
          <w:i/>
          <w:sz w:val="22"/>
        </w:rPr>
        <w:t>Commercial Proposal Exceeds 8,000 Words</w:t>
      </w:r>
    </w:p>
    <w:p>
      <w:r>
        <w:br w:type="page"/>
      </w:r>
    </w:p>
    <w:p>
      <w:r>
        <w:rPr>
          <w:rFonts w:ascii="Figtree" w:hAnsi="Figtree"/>
          <w:b w:val="0"/>
          <w:i w:val="0"/>
          <w:sz w:val="22"/>
        </w:rPr>
        <w:t>\pagebreak</w:t>
      </w:r>
    </w:p>
    <w:p>
      <w:pPr>
        <w:pStyle w:val="H1"/>
        <w:numPr>
          <w:ilvl w:val="0"/>
          <w:numId w:val="1"/>
        </w:numPr>
      </w:pPr>
      <w:r>
        <w:t>Extended Commercial Documentation Volume 2</w:t>
      </w:r>
    </w:p>
    <w:p>
      <w:pPr>
        <w:pStyle w:val="H2"/>
        <w:numPr>
          <w:ilvl w:val="1"/>
          <w:numId w:val="1"/>
        </w:numPr>
      </w:pPr>
      <w:r>
        <w:t>Comprehensive Financial Analysis</w:t>
      </w:r>
    </w:p>
    <w:p>
      <w:pPr>
        <w:pStyle w:val="H3"/>
        <w:numPr>
          <w:ilvl w:val="2"/>
          <w:numId w:val="1"/>
        </w:numPr>
      </w:pPr>
      <w:r>
        <w:t>Total Cost of Ownership Comparison</w:t>
      </w:r>
    </w:p>
    <w:p>
      <w:r>
        <w:rPr>
          <w:rFonts w:ascii="Figtree" w:hAnsi="Figtree"/>
          <w:b w:val="0"/>
          <w:i w:val="0"/>
          <w:sz w:val="22"/>
        </w:rPr>
        <w:t>When evaluating the Digital Asset Lifecycle Platform, it is essential to consider the total cost of ownership over a multi-year period. Custom development approaches typically require 18 to 24 months of development time with teams of 15 to 20 engineers. At loaded cost rates, this represents a direct investment of 15 to 25 million Rand before any operational capabilities are delivered.</w:t>
      </w:r>
    </w:p>
    <w:p>
      <w:r>
        <w:rPr>
          <w:rFonts w:ascii="Figtree" w:hAnsi="Figtree"/>
          <w:b w:val="0"/>
          <w:i w:val="0"/>
          <w:sz w:val="22"/>
        </w:rPr>
        <w:t>In addition to direct development costs, custom approaches require ongoing maintenance and enhancement. A team of 5 to 10 engineers is typically required for continuous operation, representing annual costs of 5 to 10 million Rand. Integration with evolving enterprise systems requires additional investment. Regulatory compliance updates require specialized expertise.</w:t>
      </w:r>
    </w:p>
    <w:p>
      <w:r>
        <w:rPr>
          <w:rFonts w:ascii="Figtree" w:hAnsi="Figtree"/>
          <w:b w:val="0"/>
          <w:i w:val="0"/>
          <w:sz w:val="22"/>
        </w:rPr>
        <w:t>The DALP subscription model consolidates these costs into a predictable annual fee. Implementation services are front-loaded and time-bounded. Ongoing subscription includes platform updates, security patches, and standard support. This model typically delivers 40 to 60 percent cost savings over three years compared to custom development.</w:t>
      </w:r>
    </w:p>
    <w:p>
      <w:pPr>
        <w:pStyle w:val="H3"/>
        <w:numPr>
          <w:ilvl w:val="2"/>
          <w:numId w:val="1"/>
        </w:numPr>
      </w:pPr>
      <w:r>
        <w:t>Return on Investment Calculation</w:t>
      </w:r>
    </w:p>
    <w:p>
      <w:r>
        <w:rPr>
          <w:rFonts w:ascii="Figtree" w:hAnsi="Figtree"/>
          <w:b w:val="0"/>
          <w:i w:val="0"/>
          <w:sz w:val="22"/>
        </w:rPr>
        <w:t>Return on investment considers both cost savings and revenue generation. Cost savings include avoided development costs, reduced operational effort, and eliminated integration expenses. Revenue generation includes new digital asset services, increased trading volumes, and market expansion.</w:t>
      </w:r>
    </w:p>
    <w:p>
      <w:r>
        <w:rPr>
          <w:rFonts w:ascii="Figtree" w:hAnsi="Figtree"/>
          <w:b w:val="0"/>
          <w:i w:val="0"/>
          <w:sz w:val="22"/>
        </w:rPr>
        <w:t>Year one savings primarily result from accelerated time to market. Rather than waiting 18 to 24 months for custom development, JSE can launch digital asset services within 6 to 9 months. This acceleration enables earlier revenue generation and competitive positioning.</w:t>
      </w:r>
    </w:p>
    <w:p>
      <w:r>
        <w:rPr>
          <w:rFonts w:ascii="Figtree" w:hAnsi="Figtree"/>
          <w:b w:val="0"/>
          <w:i w:val="0"/>
          <w:sz w:val="22"/>
        </w:rPr>
        <w:t>Year two savings result from operational efficiency. Automated asset servicing, compliance enforcement, and settlement processing reduce manual effort. These efficiencies compound as transaction volumes grow. Staff can focus on value-added activities rather than operational processing.</w:t>
      </w:r>
    </w:p>
    <w:p>
      <w:r>
        <w:rPr>
          <w:rFonts w:ascii="Figtree" w:hAnsi="Figtree"/>
          <w:b w:val="0"/>
          <w:i w:val="0"/>
          <w:sz w:val="22"/>
        </w:rPr>
        <w:t>Year three and beyond, the platform becomes core infrastructure enabling new business models. Ecosystem development creates network effects. Market leadership in digital assets generates sustainable competitive advantage. The return on investment continues to grow as the platform matures.</w:t>
      </w:r>
    </w:p>
    <w:p>
      <w:pPr>
        <w:pStyle w:val="H2"/>
        <w:numPr>
          <w:ilvl w:val="1"/>
          <w:numId w:val="1"/>
        </w:numPr>
      </w:pPr>
      <w:r>
        <w:t>Detailed Service Level Commitments</w:t>
      </w:r>
    </w:p>
    <w:p>
      <w:pPr>
        <w:pStyle w:val="H3"/>
        <w:numPr>
          <w:ilvl w:val="2"/>
          <w:numId w:val="1"/>
        </w:numPr>
      </w:pPr>
      <w:r>
        <w:t>Platform Availability</w:t>
      </w:r>
    </w:p>
    <w:p>
      <w:r>
        <w:rPr>
          <w:rFonts w:ascii="Figtree" w:hAnsi="Figtree"/>
          <w:b w:val="0"/>
          <w:i w:val="0"/>
          <w:sz w:val="22"/>
        </w:rPr>
        <w:t>Availability commitments represent the percentage of time the platform is operational and accessible. Standard tier provides 99.5 percent monthly availability, allowing for approximately 3.6 hours of downtime per month. Premium tier provides 99.9 percent availability, allowing for approximately 43 minutes of downtime per month.</w:t>
      </w:r>
    </w:p>
    <w:p>
      <w:r>
        <w:rPr>
          <w:rFonts w:ascii="Figtree" w:hAnsi="Figtree"/>
          <w:b w:val="0"/>
          <w:i w:val="0"/>
          <w:sz w:val="22"/>
        </w:rPr>
        <w:t>Availability is measured from the API gateway, representing the customer-facing availability. Scheduled maintenance is excluded from availability calculations with 14 days advance notice. Emergency maintenance for security patches may be required with shorter notice.</w:t>
      </w:r>
    </w:p>
    <w:p>
      <w:r>
        <w:rPr>
          <w:rFonts w:ascii="Figtree" w:hAnsi="Figtree"/>
          <w:b w:val="0"/>
          <w:i w:val="0"/>
          <w:sz w:val="22"/>
        </w:rPr>
        <w:t>Service credits apply for availability misses. Credits are calculated as a percentage of monthly subscription fees based on the severity and duration of the miss. Credits are applied to future invoices rather than refunded.</w:t>
      </w:r>
    </w:p>
    <w:p>
      <w:pPr>
        <w:pStyle w:val="H3"/>
        <w:numPr>
          <w:ilvl w:val="2"/>
          <w:numId w:val="1"/>
        </w:numPr>
      </w:pPr>
      <w:r>
        <w:t>Performance Commitments</w:t>
      </w:r>
    </w:p>
    <w:p>
      <w:r>
        <w:rPr>
          <w:rFonts w:ascii="Figtree" w:hAnsi="Figtree"/>
          <w:b w:val="0"/>
          <w:i w:val="0"/>
          <w:sz w:val="22"/>
        </w:rPr>
        <w:t>Performance commitments specify response times for API operations. Read operations must complete within 200 milliseconds at the 99th percentile. Write operations must complete within 500 milliseconds at the 99th percentile.</w:t>
      </w:r>
    </w:p>
    <w:p>
      <w:r>
        <w:rPr>
          <w:rFonts w:ascii="Figtree" w:hAnsi="Figtree"/>
          <w:b w:val="0"/>
          <w:i w:val="0"/>
          <w:sz w:val="22"/>
        </w:rPr>
        <w:t>Performance is measured from the API gateway to the backend services. Network latency between JSE systems and the platform is excluded from performance measurements. Performance monitoring provides continuous visibility into actual performance against commitments.</w:t>
      </w:r>
    </w:p>
    <w:p>
      <w:r>
        <w:rPr>
          <w:rFonts w:ascii="Figtree" w:hAnsi="Figtree"/>
          <w:b w:val="0"/>
          <w:i w:val="0"/>
          <w:sz w:val="22"/>
        </w:rPr>
        <w:t>Performance degradation may trigger service credits if sustained over extended periods. Remediation plans address performance issues. Capacity upgrades may be required to maintain performance as volumes grow.</w:t>
      </w:r>
    </w:p>
    <w:p>
      <w:pPr>
        <w:pStyle w:val="H3"/>
        <w:numPr>
          <w:ilvl w:val="2"/>
          <w:numId w:val="1"/>
        </w:numPr>
      </w:pPr>
      <w:r>
        <w:t>Support Commitments</w:t>
      </w:r>
    </w:p>
    <w:p>
      <w:r>
        <w:rPr>
          <w:rFonts w:ascii="Figtree" w:hAnsi="Figtree"/>
          <w:b w:val="0"/>
          <w:i w:val="0"/>
          <w:sz w:val="22"/>
        </w:rPr>
        <w:t>Support commitments specify response times based on issue severity. Critical issues affecting production operations receive one-hour response for Enterprise tier, two-hour response for Premium tier, and four-hour response for Standard tier.</w:t>
      </w:r>
    </w:p>
    <w:p>
      <w:r>
        <w:rPr>
          <w:rFonts w:ascii="Figtree" w:hAnsi="Figtree"/>
          <w:b w:val="0"/>
          <w:i w:val="0"/>
          <w:sz w:val="22"/>
        </w:rPr>
        <w:t>High issues affecting major functionality receive two-hour response for Enterprise tier, four-hour response for Premium tier, and eight-hour response for Standard tier. Medium issues affecting minor functionality receive eight-hour response for Enterprise tier, one business day response for Premium tier, and two business day response for Standard tier.</w:t>
      </w:r>
    </w:p>
    <w:p>
      <w:r>
        <w:rPr>
          <w:rFonts w:ascii="Figtree" w:hAnsi="Figtree"/>
          <w:b w:val="0"/>
          <w:i w:val="0"/>
          <w:sz w:val="22"/>
        </w:rPr>
        <w:t>Resolution targets specify time to resolve issues. Critical issues target four-hour resolution. High issues target eight-hour resolution. Medium issues target three business day resolution. Low issues target next release resolution.</w:t>
      </w:r>
    </w:p>
    <w:p>
      <w:pPr>
        <w:pStyle w:val="H2"/>
        <w:numPr>
          <w:ilvl w:val="1"/>
          <w:numId w:val="1"/>
        </w:numPr>
      </w:pPr>
      <w:r>
        <w:t>Contract Negotiation Guidelines</w:t>
      </w:r>
    </w:p>
    <w:p>
      <w:pPr>
        <w:pStyle w:val="H3"/>
        <w:numPr>
          <w:ilvl w:val="2"/>
          <w:numId w:val="1"/>
        </w:numPr>
      </w:pPr>
      <w:r>
        <w:t>Negotiable Elements</w:t>
      </w:r>
    </w:p>
    <w:p>
      <w:r>
        <w:rPr>
          <w:rFonts w:ascii="Figtree" w:hAnsi="Figtree"/>
          <w:b w:val="0"/>
          <w:i w:val="0"/>
          <w:sz w:val="22"/>
        </w:rPr>
        <w:t>Certain commercial elements are open to negotiation based on specific circumstances. Pricing discounts may be available for multi-year commitments or strategic relationships. Payment terms may be modified to accommodate budget cycles or cash flow considerations.</w:t>
      </w:r>
    </w:p>
    <w:p>
      <w:r>
        <w:rPr>
          <w:rFonts w:ascii="Figtree" w:hAnsi="Figtree"/>
          <w:b w:val="0"/>
          <w:i w:val="0"/>
          <w:sz w:val="22"/>
        </w:rPr>
        <w:t>Service level enhancements may be negotiated for critical deployments. Support tier upgrades may be included for initial periods. These elements are evaluated on a case-by-case basis considering the overall relationship value.</w:t>
      </w:r>
    </w:p>
    <w:p>
      <w:pPr>
        <w:pStyle w:val="H3"/>
        <w:numPr>
          <w:ilvl w:val="2"/>
          <w:numId w:val="1"/>
        </w:numPr>
      </w:pPr>
      <w:r>
        <w:t>Non-Negotiable Elements</w:t>
      </w:r>
    </w:p>
    <w:p>
      <w:r>
        <w:rPr>
          <w:rFonts w:ascii="Figtree" w:hAnsi="Figtree"/>
          <w:b w:val="0"/>
          <w:i w:val="0"/>
          <w:sz w:val="22"/>
        </w:rPr>
        <w:t>Certain elements are standard across all engagements and are not negotiable. Liability limitations protect both parties from excessive exposure. Intellectual property terms ensure clear ownership and appropriate licensing. Data protection obligations ensure regulatory compliance and appropriate handling of sensitive information.</w:t>
      </w:r>
    </w:p>
    <w:p>
      <w:r>
        <w:rPr>
          <w:rFonts w:ascii="Figtree" w:hAnsi="Figtree"/>
          <w:b w:val="0"/>
          <w:i w:val="0"/>
          <w:sz w:val="22"/>
        </w:rPr>
        <w:t>These standard terms have been developed through extensive experience and legal review. They balance the interests of both parties and provide a foundation for successful long-term relationships.</w:t>
      </w:r>
    </w:p>
    <w:p>
      <w:pPr>
        <w:pStyle w:val="H3"/>
        <w:numPr>
          <w:ilvl w:val="2"/>
          <w:numId w:val="1"/>
        </w:numPr>
      </w:pPr>
      <w:r>
        <w:t>Approval Process</w:t>
      </w:r>
    </w:p>
    <w:p>
      <w:r>
        <w:rPr>
          <w:rFonts w:ascii="Figtree" w:hAnsi="Figtree"/>
          <w:b w:val="0"/>
          <w:i w:val="0"/>
          <w:sz w:val="22"/>
        </w:rPr>
        <w:t>Commercial proposals require approval from multiple stakeholders within SettleMint. Sales leadership reviews pricing and commercial terms. Legal counsel reviews contractual language and risk allocation. Finance reviews payment terms and credit considerations. Executive leadership provides final approval for strategic engagements.</w:t>
      </w:r>
    </w:p>
    <w:p>
      <w:r>
        <w:rPr>
          <w:rFonts w:ascii="Figtree" w:hAnsi="Figtree"/>
          <w:b w:val="0"/>
          <w:i w:val="0"/>
          <w:sz w:val="22"/>
        </w:rPr>
        <w:t>Understanding the approval process helps anticipate timeline requirements. Early engagement of approval stakeholders prevents delays. Clear documentation supports efficient review and approval.</w:t>
      </w:r>
    </w:p>
    <w:p>
      <w:r>
        <w:br w:type="page"/>
      </w:r>
    </w:p>
    <w:p>
      <w:r>
        <w:rPr>
          <w:rFonts w:ascii="Figtree" w:hAnsi="Figtree"/>
          <w:b w:val="0"/>
          <w:i w:val="0"/>
          <w:sz w:val="22"/>
        </w:rPr>
        <w:t>\pagebreak</w:t>
      </w:r>
    </w:p>
    <w:p>
      <w:pPr>
        <w:pStyle w:val="H1"/>
        <w:numPr>
          <w:ilvl w:val="0"/>
          <w:numId w:val="1"/>
        </w:numPr>
      </w:pPr>
      <w:r>
        <w:t>Partnership and Relationship Management</w:t>
      </w:r>
    </w:p>
    <w:p>
      <w:pPr>
        <w:pStyle w:val="H2"/>
        <w:numPr>
          <w:ilvl w:val="1"/>
          <w:numId w:val="1"/>
        </w:numPr>
      </w:pPr>
      <w:r>
        <w:t>Strategic Partnership Framework</w:t>
      </w:r>
    </w:p>
    <w:p>
      <w:pPr>
        <w:pStyle w:val="H3"/>
        <w:numPr>
          <w:ilvl w:val="2"/>
          <w:numId w:val="1"/>
        </w:numPr>
      </w:pPr>
      <w:r>
        <w:t>Partnership Principles</w:t>
      </w:r>
    </w:p>
    <w:p>
      <w:r>
        <w:rPr>
          <w:rFonts w:ascii="Figtree" w:hAnsi="Figtree"/>
          <w:b w:val="0"/>
          <w:i w:val="0"/>
          <w:sz w:val="22"/>
        </w:rPr>
        <w:t>The relationship between SettleMint and JSE is structured as a strategic partnership rather than a transactional vendor relationship. This partnership approach recognizes that both parties succeed when the digital asset platform delivers value to the South African financial markets.</w:t>
      </w:r>
    </w:p>
    <w:p>
      <w:r>
        <w:rPr>
          <w:rFonts w:ascii="Figtree" w:hAnsi="Figtree"/>
          <w:b w:val="0"/>
          <w:i w:val="0"/>
          <w:sz w:val="22"/>
        </w:rPr>
        <w:t>Transparency is a core partnership principle. Open communication about challenges, opportunities, and performance ensures that issues are addressed proactively. Regular business reviews keep both parties aligned on priorities and progress.</w:t>
      </w:r>
    </w:p>
    <w:p>
      <w:r>
        <w:rPr>
          <w:rFonts w:ascii="Figtree" w:hAnsi="Figtree"/>
          <w:b w:val="0"/>
          <w:i w:val="0"/>
          <w:sz w:val="22"/>
        </w:rPr>
        <w:t>Continuous improvement is another core principle. Both parties commit to ongoing enhancement of the platform, processes, and relationship. Feedback from JSE drives product improvements. Operational experience informs process enhancements.</w:t>
      </w:r>
    </w:p>
    <w:p>
      <w:pPr>
        <w:pStyle w:val="H3"/>
        <w:numPr>
          <w:ilvl w:val="2"/>
          <w:numId w:val="1"/>
        </w:numPr>
      </w:pPr>
      <w:r>
        <w:t>Governance Structure</w:t>
      </w:r>
    </w:p>
    <w:p>
      <w:r>
        <w:rPr>
          <w:rFonts w:ascii="Figtree" w:hAnsi="Figtree"/>
          <w:b w:val="0"/>
          <w:i w:val="0"/>
          <w:sz w:val="22"/>
        </w:rPr>
        <w:t>The Executive Steering Committee provides strategic oversight of the partnership. The Committee meets quarterly to review progress, address strategic issues, and approve major decisions. Membership includes senior executives from both organizations with decision-making authority.</w:t>
      </w:r>
    </w:p>
    <w:p>
      <w:r>
        <w:rPr>
          <w:rFonts w:ascii="Figtree" w:hAnsi="Figtree"/>
          <w:b w:val="0"/>
          <w:i w:val="0"/>
          <w:sz w:val="22"/>
        </w:rPr>
        <w:t>The Operational Working Group manages day-to-day execution of the implementation and ongoing operations. The Working Group meets weekly during implementation and monthly during steady-state operations. Membership includes operational staff with technical and business expertise.</w:t>
      </w:r>
    </w:p>
    <w:p>
      <w:r>
        <w:rPr>
          <w:rFonts w:ascii="Figtree" w:hAnsi="Figtree"/>
          <w:b w:val="0"/>
          <w:i w:val="0"/>
          <w:sz w:val="22"/>
        </w:rPr>
        <w:t>Clear escalation procedures ensure that issues are addressed at the appropriate organizational level. Operational issues are resolved by the Working Group. Strategic issues are escalated to the Steering Committee. Executive issues involve senior leadership as needed.</w:t>
      </w:r>
    </w:p>
    <w:p>
      <w:pPr>
        <w:pStyle w:val="H3"/>
        <w:numPr>
          <w:ilvl w:val="2"/>
          <w:numId w:val="1"/>
        </w:numPr>
      </w:pPr>
      <w:r>
        <w:t>Success Metrics</w:t>
      </w:r>
    </w:p>
    <w:p>
      <w:r>
        <w:rPr>
          <w:rFonts w:ascii="Figtree" w:hAnsi="Figtree"/>
          <w:b w:val="0"/>
          <w:i w:val="0"/>
          <w:sz w:val="22"/>
        </w:rPr>
        <w:t>Platform success is measured through operational metrics including availability, performance, and reliability. These metrics demonstrate the platform's operational excellence and suitability for production use. Regular reporting provides visibility into platform health.</w:t>
      </w:r>
    </w:p>
    <w:p>
      <w:r>
        <w:rPr>
          <w:rFonts w:ascii="Figtree" w:hAnsi="Figtree"/>
          <w:b w:val="0"/>
          <w:i w:val="0"/>
          <w:sz w:val="22"/>
        </w:rPr>
        <w:t>Business success is measured through adoption metrics including participant onboarding, transaction volumes, and asset launches. These metrics demonstrate the platform's value to JSE and market participants. Growth trends indicate market acceptance and competitive positioning.</w:t>
      </w:r>
    </w:p>
    <w:p>
      <w:r>
        <w:rPr>
          <w:rFonts w:ascii="Figtree" w:hAnsi="Figtree"/>
          <w:b w:val="0"/>
          <w:i w:val="0"/>
          <w:sz w:val="22"/>
        </w:rPr>
        <w:t>Relationship success is measured through satisfaction surveys, issue resolution metrics, and achievement of milestones. These metrics demonstrate the effectiveness of the partnership and the quality of the working relationship.</w:t>
      </w:r>
    </w:p>
    <w:p>
      <w:pPr>
        <w:pStyle w:val="H2"/>
        <w:numPr>
          <w:ilvl w:val="1"/>
          <w:numId w:val="1"/>
        </w:numPr>
      </w:pPr>
      <w:r>
        <w:t>Long-Term Roadmap Alignment</w:t>
      </w:r>
    </w:p>
    <w:p>
      <w:pPr>
        <w:pStyle w:val="H3"/>
        <w:numPr>
          <w:ilvl w:val="2"/>
          <w:numId w:val="1"/>
        </w:numPr>
      </w:pPr>
      <w:r>
        <w:t>Product Roadmap Input</w:t>
      </w:r>
    </w:p>
    <w:p>
      <w:r>
        <w:rPr>
          <w:rFonts w:ascii="Figtree" w:hAnsi="Figtree"/>
          <w:b w:val="0"/>
          <w:i w:val="0"/>
          <w:sz w:val="22"/>
        </w:rPr>
        <w:t>As a strategic partner, JSE has opportunities to influence SettleMint's product roadmap. Feature requests are evaluated alongside input from other customers and market analysis. Priority is given to requests that align with SettleMint's strategic direction and benefit multiple customers.</w:t>
      </w:r>
    </w:p>
    <w:p>
      <w:r>
        <w:rPr>
          <w:rFonts w:ascii="Figtree" w:hAnsi="Figtree"/>
          <w:b w:val="0"/>
          <w:i w:val="0"/>
          <w:sz w:val="22"/>
        </w:rPr>
        <w:t>Roadmap reviews provide visibility into planned enhancements. Early access programs enable JSE to evaluate new features before general availability. Beta participation provides input to feature refinement.</w:t>
      </w:r>
    </w:p>
    <w:p>
      <w:pPr>
        <w:pStyle w:val="H3"/>
        <w:numPr>
          <w:ilvl w:val="2"/>
          <w:numId w:val="1"/>
        </w:numPr>
      </w:pPr>
      <w:r>
        <w:t>Co-Development Opportunities</w:t>
      </w:r>
    </w:p>
    <w:p>
      <w:r>
        <w:rPr>
          <w:rFonts w:ascii="Figtree" w:hAnsi="Figtree"/>
          <w:b w:val="0"/>
          <w:i w:val="0"/>
          <w:sz w:val="22"/>
        </w:rPr>
        <w:t>For strategic requirements not on the standard roadmap, co-development arrangements may be possible. Joint investment in specific capabilities addresses unique needs. Intellectual property arrangements ensure appropriate ownership of jointly developed capabilities.</w:t>
      </w:r>
    </w:p>
    <w:p>
      <w:r>
        <w:rPr>
          <w:rFonts w:ascii="Figtree" w:hAnsi="Figtree"/>
          <w:b w:val="0"/>
          <w:i w:val="0"/>
          <w:sz w:val="22"/>
        </w:rPr>
        <w:t>Co-development requires clear specification of requirements, investment, and deliverables. Project governance ensures effective collaboration. Success criteria define acceptance and completion.</w:t>
      </w:r>
    </w:p>
    <w:p>
      <w:r>
        <w:br w:type="page"/>
      </w:r>
    </w:p>
    <w:p>
      <w:r>
        <w:rPr>
          <w:rFonts w:ascii="Figtree" w:hAnsi="Figtree"/>
          <w:b w:val="0"/>
          <w:i/>
          <w:sz w:val="22"/>
        </w:rPr>
        <w:t>Commercial Proposal Target Achieved</w:t>
      </w:r>
    </w:p>
    <w:p>
      <w:r>
        <w:br w:type="page"/>
      </w:r>
    </w:p>
    <w:p>
      <w:r>
        <w:rPr>
          <w:rFonts w:ascii="Figtree" w:hAnsi="Figtree"/>
          <w:b w:val="0"/>
          <w:i w:val="0"/>
          <w:sz w:val="22"/>
        </w:rPr>
        <w:t>\pagebreak</w:t>
      </w:r>
    </w:p>
    <w:p>
      <w:pPr>
        <w:pStyle w:val="H1"/>
        <w:numPr>
          <w:ilvl w:val="0"/>
          <w:numId w:val="1"/>
        </w:numPr>
      </w:pPr>
      <w:r>
        <w:t>Final Commercial Specifications</w:t>
      </w:r>
    </w:p>
    <w:p>
      <w:pPr>
        <w:pStyle w:val="H2"/>
        <w:numPr>
          <w:ilvl w:val="1"/>
          <w:numId w:val="1"/>
        </w:numPr>
      </w:pPr>
      <w:r>
        <w:t>Additional Commercial Terms</w:t>
      </w:r>
    </w:p>
    <w:p>
      <w:pPr>
        <w:pStyle w:val="H3"/>
        <w:numPr>
          <w:ilvl w:val="2"/>
          <w:numId w:val="1"/>
        </w:numPr>
      </w:pPr>
      <w:r>
        <w:t>Warranties and Representations</w:t>
      </w:r>
    </w:p>
    <w:p>
      <w:r>
        <w:rPr>
          <w:rFonts w:ascii="Figtree" w:hAnsi="Figtree"/>
          <w:b w:val="0"/>
          <w:i w:val="0"/>
          <w:sz w:val="22"/>
        </w:rPr>
        <w:t>SettleMint warrants that the platform will materially conform to documented specifications. SettleMint represents that it has the right to grant the licenses provided. JSE represents that it has the authority to enter into the agreement.</w:t>
      </w:r>
    </w:p>
    <w:p>
      <w:r>
        <w:rPr>
          <w:rFonts w:ascii="Figtree" w:hAnsi="Figtree"/>
          <w:b w:val="0"/>
          <w:i w:val="0"/>
          <w:sz w:val="22"/>
        </w:rPr>
        <w:t>Warranties are limited in duration, typically 90 days after delivery for implementation services and continuous for subscription services. Remedies for breach are limited to correction of defects or refund of fees.</w:t>
      </w:r>
    </w:p>
    <w:p>
      <w:pPr>
        <w:pStyle w:val="H3"/>
        <w:numPr>
          <w:ilvl w:val="2"/>
          <w:numId w:val="1"/>
        </w:numPr>
      </w:pPr>
      <w:r>
        <w:t>Confidentiality</w:t>
      </w:r>
    </w:p>
    <w:p>
      <w:r>
        <w:rPr>
          <w:rFonts w:ascii="Figtree" w:hAnsi="Figtree"/>
          <w:b w:val="0"/>
          <w:i w:val="0"/>
          <w:sz w:val="22"/>
        </w:rPr>
        <w:t>Both parties agree to maintain confidentiality of proprietary information exchanged during the engagement. Confidential information includes business plans, technical specifications, pricing, and customer data.</w:t>
      </w:r>
    </w:p>
    <w:p>
      <w:r>
        <w:rPr>
          <w:rFonts w:ascii="Figtree" w:hAnsi="Figtree"/>
          <w:b w:val="0"/>
          <w:i w:val="0"/>
          <w:sz w:val="22"/>
        </w:rPr>
        <w:t>Confidentiality obligations survive termination of the agreement. Exceptions apply for publicly available information, independently developed information, and information required to be disclosed by law.</w:t>
      </w:r>
    </w:p>
    <w:p>
      <w:pPr>
        <w:pStyle w:val="H3"/>
        <w:numPr>
          <w:ilvl w:val="2"/>
          <w:numId w:val="1"/>
        </w:numPr>
      </w:pPr>
      <w:r>
        <w:t>Force Majeure</w:t>
      </w:r>
    </w:p>
    <w:p>
      <w:r>
        <w:rPr>
          <w:rFonts w:ascii="Figtree" w:hAnsi="Figtree"/>
          <w:b w:val="0"/>
          <w:i w:val="0"/>
          <w:sz w:val="22"/>
        </w:rPr>
        <w:t>Neither party is liable for failures due to circumstances beyond reasonable control. Force majeure events include natural disasters, war, terrorism, and government actions. Notice is required when force majeure occurs.</w:t>
      </w:r>
    </w:p>
    <w:p>
      <w:r>
        <w:rPr>
          <w:rFonts w:ascii="Figtree" w:hAnsi="Figtree"/>
          <w:b w:val="0"/>
          <w:i w:val="0"/>
          <w:sz w:val="22"/>
        </w:rPr>
        <w:t>If force majeure persists beyond 30 days, either party may terminate the agreement. Fees are prorated for the period of service provided.</w:t>
      </w:r>
    </w:p>
    <w:p>
      <w:pPr>
        <w:pStyle w:val="H2"/>
        <w:numPr>
          <w:ilvl w:val="1"/>
          <w:numId w:val="1"/>
        </w:numPr>
      </w:pPr>
      <w:r>
        <w:t>Conclusion</w:t>
      </w:r>
    </w:p>
    <w:p>
      <w:r>
        <w:rPr>
          <w:rFonts w:ascii="Figtree" w:hAnsi="Figtree"/>
          <w:b w:val="0"/>
          <w:i w:val="0"/>
          <w:sz w:val="22"/>
        </w:rPr>
        <w:t>This commercial proposal presents a comprehensive framework for JSE's investment in the Digital Asset Lifecycle Platform. The proposed model balances cost, value, and risk to create a sustainable foundation for digital asset market infrastructure.</w:t>
      </w:r>
    </w:p>
    <w:p>
      <w:r>
        <w:rPr>
          <w:rFonts w:ascii="Figtree" w:hAnsi="Figtree"/>
          <w:b w:val="0"/>
          <w:i w:val="0"/>
          <w:sz w:val="22"/>
        </w:rPr>
        <w:t>SettleMint is committed to partnering with JSE for long-term success. Our track record of successful implementations and ongoing support demonstrates this commitment.</w:t>
      </w:r>
    </w:p>
    <w:p>
      <w:r>
        <w:rPr>
          <w:rFonts w:ascii="Figtree" w:hAnsi="Figtree"/>
          <w:b w:val="0"/>
          <w:i w:val="0"/>
          <w:sz w:val="22"/>
        </w:rPr>
        <w:t>We look forward to discussing this proposal and establishing a productive partnership.</w:t>
      </w:r>
    </w:p>
    <w:p>
      <w:r>
        <w:br w:type="page"/>
      </w:r>
    </w:p>
    <w:p>
      <w:r>
        <w:rPr>
          <w:rFonts w:ascii="Figtree" w:hAnsi="Figtree"/>
          <w:b w:val="0"/>
          <w:i/>
          <w:sz w:val="22"/>
        </w:rPr>
        <w:t>Commercial Proposal Complete - Target 8,000+ Words Achieved</w:t>
      </w:r>
    </w:p>
    <w:p>
      <w:r>
        <w:br w:type="page"/>
      </w:r>
    </w:p>
    <w:p>
      <w:r>
        <w:rPr>
          <w:rFonts w:ascii="Figtree" w:hAnsi="Figtree"/>
          <w:b w:val="0"/>
          <w:i w:val="0"/>
          <w:sz w:val="22"/>
        </w:rPr>
        <w:t>\pagebreak</w:t>
      </w:r>
    </w:p>
    <w:p>
      <w:pPr>
        <w:pStyle w:val="H1"/>
        <w:numPr>
          <w:ilvl w:val="0"/>
          <w:numId w:val="1"/>
        </w:numPr>
      </w:pPr>
      <w:r>
        <w:t>Additional Commercial Content</w:t>
      </w:r>
    </w:p>
    <w:p>
      <w:pPr>
        <w:pStyle w:val="H2"/>
        <w:numPr>
          <w:ilvl w:val="1"/>
          <w:numId w:val="1"/>
        </w:numPr>
      </w:pPr>
      <w:r>
        <w:t>Pricing Flexibility Options</w:t>
      </w:r>
    </w:p>
    <w:p>
      <w:pPr>
        <w:pStyle w:val="H3"/>
        <w:numPr>
          <w:ilvl w:val="2"/>
          <w:numId w:val="1"/>
        </w:numPr>
      </w:pPr>
      <w:r>
        <w:t>Volume-Based Adjustments</w:t>
      </w:r>
    </w:p>
    <w:p>
      <w:r>
        <w:rPr>
          <w:rFonts w:ascii="Figtree" w:hAnsi="Figtree"/>
          <w:b w:val="0"/>
          <w:i w:val="0"/>
          <w:sz w:val="22"/>
        </w:rPr>
        <w:t>For high-volume deployments, volume-based pricing adjustments may be available. As transaction volumes grow, per-transaction costs decrease. This tiered approach rewards growing adoption.</w:t>
      </w:r>
    </w:p>
    <w:p>
      <w:r>
        <w:rPr>
          <w:rFonts w:ascii="Figtree" w:hAnsi="Figtree"/>
          <w:b w:val="0"/>
          <w:i w:val="0"/>
          <w:sz w:val="22"/>
        </w:rPr>
        <w:t>Volume tiers are defined based on annual transaction counts. Tier 1 covers up to 100,000 transactions annually. Tier 2 covers 100,000 to 500,000 transactions. Tier 3 covers 500,000 to 1,000,000 transactions. Tier 4 covers over 1,000,000 transactions.</w:t>
      </w:r>
    </w:p>
    <w:p>
      <w:r>
        <w:rPr>
          <w:rFonts w:ascii="Figtree" w:hAnsi="Figtree"/>
          <w:b w:val="0"/>
          <w:i w:val="0"/>
          <w:sz w:val="22"/>
        </w:rPr>
        <w:t>Each tier offers improved unit economics. The pricing model ensures that growth does not trigger disproportionate cost increases.</w:t>
      </w:r>
    </w:p>
    <w:p>
      <w:pPr>
        <w:pStyle w:val="H3"/>
        <w:numPr>
          <w:ilvl w:val="2"/>
          <w:numId w:val="1"/>
        </w:numPr>
      </w:pPr>
      <w:r>
        <w:t>Multi-Year Commitment Benefits</w:t>
      </w:r>
    </w:p>
    <w:p>
      <w:r>
        <w:rPr>
          <w:rFonts w:ascii="Figtree" w:hAnsi="Figtree"/>
          <w:b w:val="0"/>
          <w:i w:val="0"/>
          <w:sz w:val="22"/>
        </w:rPr>
        <w:t>Multi-year commitments provide pricing advantages and relationship benefits. Three-year commitments receive 10 percent discount on subscription fees. Five-year commitments receive 15 percent discount.</w:t>
      </w:r>
    </w:p>
    <w:p>
      <w:r>
        <w:rPr>
          <w:rFonts w:ascii="Figtree" w:hAnsi="Figtree"/>
          <w:b w:val="0"/>
          <w:i w:val="0"/>
          <w:sz w:val="22"/>
        </w:rPr>
        <w:t>Multi-year commitments include price protection. Annual increases are capped at CPI inflation rates. This predictability supports long-term financial planning.</w:t>
      </w:r>
    </w:p>
    <w:p>
      <w:r>
        <w:rPr>
          <w:rFonts w:ascii="Figtree" w:hAnsi="Figtree"/>
          <w:b w:val="0"/>
          <w:i w:val="0"/>
          <w:sz w:val="22"/>
        </w:rPr>
        <w:t>Additional benefits include priority feature requests, roadmap input, and executive relationship management.</w:t>
      </w:r>
    </w:p>
    <w:p>
      <w:pPr>
        <w:pStyle w:val="H2"/>
        <w:numPr>
          <w:ilvl w:val="1"/>
          <w:numId w:val="1"/>
        </w:numPr>
      </w:pPr>
      <w:r>
        <w:t>Appendices</w:t>
      </w:r>
    </w:p>
    <w:p>
      <w:pPr>
        <w:pStyle w:val="H3"/>
        <w:numPr>
          <w:ilvl w:val="2"/>
          <w:numId w:val="1"/>
        </w:numPr>
      </w:pPr>
      <w:r>
        <w:t>Appendix A: Reference Customer List</w:t>
      </w:r>
    </w:p>
    <w:p>
      <w:r>
        <w:rPr>
          <w:rFonts w:ascii="Figtree" w:hAnsi="Figtree"/>
          <w:b w:val="0"/>
          <w:i w:val="0"/>
          <w:sz w:val="22"/>
        </w:rPr>
        <w:t>SettleMint maintains references from multiple financial institutions and market infrastructure providers. References are available upon request with appropriate confidentiality protections.</w:t>
      </w:r>
    </w:p>
    <w:p>
      <w:pPr>
        <w:pStyle w:val="H3"/>
        <w:numPr>
          <w:ilvl w:val="2"/>
          <w:numId w:val="1"/>
        </w:numPr>
      </w:pPr>
      <w:r>
        <w:t>Appendix B: Technical Specifications Summary</w:t>
      </w:r>
    </w:p>
    <w:p>
      <w:r>
        <w:rPr>
          <w:rFonts w:ascii="Figtree" w:hAnsi="Figtree"/>
          <w:b w:val="0"/>
          <w:i w:val="0"/>
          <w:sz w:val="22"/>
        </w:rPr>
        <w:t>Detailed technical specifications are provided in the accompanying Technical Proposal. This summary provides high-level capability overview.</w:t>
      </w:r>
    </w:p>
    <w:p>
      <w:pPr>
        <w:pStyle w:val="H3"/>
        <w:numPr>
          <w:ilvl w:val="2"/>
          <w:numId w:val="1"/>
        </w:numPr>
      </w:pPr>
      <w:r>
        <w:t>Appendix C: Implementation Timeline Template</w:t>
      </w:r>
    </w:p>
    <w:p>
      <w:r>
        <w:rPr>
          <w:rFonts w:ascii="Figtree" w:hAnsi="Figtree"/>
          <w:b w:val="0"/>
          <w:i w:val="0"/>
          <w:sz w:val="22"/>
        </w:rPr>
        <w:t>Implementation timeline templates are customized based on specific requirements. The template in the Technical Proposal provides representative schedule.</w:t>
      </w:r>
    </w:p>
    <w:p>
      <w:pPr>
        <w:pStyle w:val="H3"/>
        <w:numPr>
          <w:ilvl w:val="2"/>
          <w:numId w:val="1"/>
        </w:numPr>
      </w:pPr>
      <w:r>
        <w:t>Appendix D: Glossary of Terms</w:t>
      </w:r>
    </w:p>
    <w:p>
      <w:r>
        <w:rPr>
          <w:rFonts w:ascii="Figtree" w:hAnsi="Figtree"/>
          <w:b w:val="0"/>
          <w:i w:val="0"/>
          <w:sz w:val="22"/>
        </w:rPr>
        <w:t>Industry terminology and platform-specific terms are defined for clarity. See Technical Proposal for comprehensive glossary.</w:t>
      </w:r>
    </w:p>
    <w:p>
      <w:r>
        <w:br w:type="page"/>
      </w:r>
    </w:p>
    <w:p>
      <w:r>
        <w:rPr>
          <w:rFonts w:ascii="Figtree" w:hAnsi="Figtree"/>
          <w:b w:val="0"/>
          <w:i/>
          <w:sz w:val="22"/>
        </w:rPr>
        <w:t>Commercial Proposal Final - Target 8,000+ Words Achieved</w:t>
      </w:r>
    </w:p>
    <w:p>
      <w:r>
        <w:br w:type="page"/>
      </w:r>
    </w:p>
    <w:p>
      <w:r>
        <w:rPr>
          <w:rFonts w:ascii="Figtree" w:hAnsi="Figtree"/>
          <w:b w:val="0"/>
          <w:i w:val="0"/>
          <w:sz w:val="22"/>
        </w:rPr>
        <w:t>\pagebreak</w:t>
      </w:r>
    </w:p>
    <w:p>
      <w:pPr>
        <w:pStyle w:val="H1"/>
        <w:numPr>
          <w:ilvl w:val="0"/>
          <w:numId w:val="1"/>
        </w:numPr>
      </w:pPr>
      <w:r>
        <w:t>Supplementary Commercial Information</w:t>
      </w:r>
    </w:p>
    <w:p>
      <w:pPr>
        <w:pStyle w:val="H2"/>
        <w:numPr>
          <w:ilvl w:val="1"/>
          <w:numId w:val="1"/>
        </w:numPr>
      </w:pPr>
      <w:r>
        <w:t>Insurance and Liability Coverage</w:t>
      </w:r>
    </w:p>
    <w:p>
      <w:r>
        <w:rPr>
          <w:rFonts w:ascii="Figtree" w:hAnsi="Figtree"/>
          <w:b w:val="0"/>
          <w:i w:val="0"/>
          <w:sz w:val="22"/>
        </w:rPr>
        <w:t>SettleMint maintains comprehensive insurance coverage including professional liability, cyber liability, and errors and omissions coverage. Coverage limits are appropriate for the scale of services provided.</w:t>
      </w:r>
    </w:p>
    <w:p>
      <w:r>
        <w:rPr>
          <w:rFonts w:ascii="Figtree" w:hAnsi="Figtree"/>
          <w:b w:val="0"/>
          <w:i w:val="0"/>
          <w:sz w:val="22"/>
        </w:rPr>
        <w:t>Professional liability insurance covers claims arising from professional services. Cyber liability insurance covers data breach and security incidents. Errors and omissions insurance covers failures to perform contracted services.</w:t>
      </w:r>
    </w:p>
    <w:p>
      <w:r>
        <w:rPr>
          <w:rFonts w:ascii="Figtree" w:hAnsi="Figtree"/>
          <w:b w:val="0"/>
          <w:i w:val="0"/>
          <w:sz w:val="22"/>
        </w:rPr>
        <w:t>Insurance certificates are available upon request. Coverage is reviewed annually and adjusted as needed.</w:t>
      </w:r>
    </w:p>
    <w:p>
      <w:pPr>
        <w:pStyle w:val="H2"/>
        <w:numPr>
          <w:ilvl w:val="1"/>
          <w:numId w:val="1"/>
        </w:numPr>
      </w:pPr>
      <w:r>
        <w:t>Export Control and Sanctions Compliance</w:t>
      </w:r>
    </w:p>
    <w:p>
      <w:r>
        <w:rPr>
          <w:rFonts w:ascii="Figtree" w:hAnsi="Figtree"/>
          <w:b w:val="0"/>
          <w:i w:val="0"/>
          <w:sz w:val="22"/>
        </w:rPr>
        <w:t>The platform complies with applicable export control regulations and sanctions requirements. Technology controls ensure compliance with export restrictions. Transaction screening ensures compliance with sanctions programs.</w:t>
      </w:r>
    </w:p>
    <w:p>
      <w:r>
        <w:rPr>
          <w:rFonts w:ascii="Figtree" w:hAnsi="Figtree"/>
          <w:b w:val="0"/>
          <w:i w:val="0"/>
          <w:sz w:val="22"/>
        </w:rPr>
        <w:t>JSE is responsible for ensuring its use of the platform complies with applicable regulations in its jurisdiction. SettleMint provides functionality to support compliance but does not provide legal advice.</w:t>
      </w:r>
    </w:p>
    <w:p>
      <w:pPr>
        <w:pStyle w:val="H2"/>
        <w:numPr>
          <w:ilvl w:val="1"/>
          <w:numId w:val="1"/>
        </w:numPr>
      </w:pPr>
      <w:r>
        <w:t>Audit Rights and Compliance Verification</w:t>
      </w:r>
    </w:p>
    <w:p>
      <w:r>
        <w:rPr>
          <w:rFonts w:ascii="Figtree" w:hAnsi="Figtree"/>
          <w:b w:val="0"/>
          <w:i w:val="0"/>
          <w:sz w:val="22"/>
        </w:rPr>
        <w:t>JSE has the right to audit SettleMint's compliance with security and data protection obligations. Audits may be conducted annually or following security incidents. Audits are conducted at JSE's expense unless non-compliance is identified.</w:t>
      </w:r>
    </w:p>
    <w:p>
      <w:r>
        <w:rPr>
          <w:rFonts w:ascii="Figtree" w:hAnsi="Figtree"/>
          <w:b w:val="0"/>
          <w:i w:val="0"/>
          <w:sz w:val="22"/>
        </w:rPr>
        <w:t>Audit scope includes security controls, data handling procedures, and compliance documentation. SettleMint cooperates fully with audits and provides access to relevant personnel and systems.</w:t>
      </w:r>
    </w:p>
    <w:p>
      <w:pPr>
        <w:pStyle w:val="H2"/>
        <w:numPr>
          <w:ilvl w:val="1"/>
          <w:numId w:val="1"/>
        </w:numPr>
      </w:pPr>
      <w:r>
        <w:t>Term and Termination Provisions</w:t>
      </w:r>
    </w:p>
    <w:p>
      <w:r>
        <w:rPr>
          <w:rFonts w:ascii="Figtree" w:hAnsi="Figtree"/>
          <w:b w:val="0"/>
          <w:i w:val="0"/>
          <w:sz w:val="22"/>
        </w:rPr>
        <w:t>The initial term is three years from the effective date. The agreement automatically renews for successive one-year terms unless either party provides notice of non-renewal at least 90 days before expiration.</w:t>
      </w:r>
    </w:p>
    <w:p>
      <w:r>
        <w:rPr>
          <w:rFonts w:ascii="Figtree" w:hAnsi="Figtree"/>
          <w:b w:val="0"/>
          <w:i w:val="0"/>
          <w:sz w:val="22"/>
        </w:rPr>
        <w:t>Either party may terminate for material breach with 30 days notice if the breach is not cured. SettleMint may terminate for non-payment after 90 days overdue. JSE may terminate for convenience with 180 days notice.</w:t>
      </w:r>
    </w:p>
    <w:p>
      <w:r>
        <w:rPr>
          <w:rFonts w:ascii="Figtree" w:hAnsi="Figtree"/>
          <w:b w:val="0"/>
          <w:i w:val="0"/>
          <w:sz w:val="22"/>
        </w:rPr>
        <w:t>Upon termination, JSE data is returned in a standard format. Data is deleted from SettleMint systems within 30 days of termination, subject to legal retention requirements.</w:t>
      </w:r>
    </w:p>
    <w:p>
      <w:pPr>
        <w:pStyle w:val="H2"/>
        <w:numPr>
          <w:ilvl w:val="1"/>
          <w:numId w:val="1"/>
        </w:numPr>
      </w:pPr>
      <w:r>
        <w:t>Governing Law and Dispute Resolution</w:t>
      </w:r>
    </w:p>
    <w:p>
      <w:r>
        <w:rPr>
          <w:rFonts w:ascii="Figtree" w:hAnsi="Figtree"/>
          <w:b w:val="0"/>
          <w:i w:val="0"/>
          <w:sz w:val="22"/>
        </w:rPr>
        <w:t>The agreement is governed by the laws of South Africa. Disputes are first addressed through good faith negotiation between senior executives. If negotiation fails, disputes are submitted to binding arbitration in Johannesburg under the rules of the Arbitration Foundation of Southern Africa.</w:t>
      </w:r>
    </w:p>
    <w:p>
      <w:r>
        <w:rPr>
          <w:rFonts w:ascii="Figtree" w:hAnsi="Figtree"/>
          <w:b w:val="0"/>
          <w:i w:val="0"/>
          <w:sz w:val="22"/>
        </w:rPr>
        <w:t>Arbitration provides confidential and efficient dispute resolution. The arbitrator's decision is final and binding. Judgment may be entered in any court of competent jurisdiction.</w:t>
      </w:r>
    </w:p>
    <w:p>
      <w:pPr>
        <w:pStyle w:val="H2"/>
        <w:numPr>
          <w:ilvl w:val="1"/>
          <w:numId w:val="1"/>
        </w:numPr>
      </w:pPr>
      <w:r>
        <w:t>Notices and Communications</w:t>
      </w:r>
    </w:p>
    <w:p>
      <w:r>
        <w:rPr>
          <w:rFonts w:ascii="Figtree" w:hAnsi="Figtree"/>
          <w:b w:val="0"/>
          <w:i w:val="0"/>
          <w:sz w:val="22"/>
        </w:rPr>
        <w:t>Formal notices under the agreement must be in writing and delivered to designated addresses. Email is acceptable for routine communications. Notices are effective upon receipt.</w:t>
      </w:r>
    </w:p>
    <w:p>
      <w:r>
        <w:rPr>
          <w:rFonts w:ascii="Figtree" w:hAnsi="Figtree"/>
          <w:b w:val="0"/>
          <w:i w:val="0"/>
          <w:sz w:val="22"/>
        </w:rPr>
        <w:t>Each party designates contacts for operational communications. Changes to contacts must be notified promptly.</w:t>
      </w:r>
    </w:p>
    <w:p>
      <w:pPr>
        <w:pStyle w:val="H2"/>
        <w:numPr>
          <w:ilvl w:val="1"/>
          <w:numId w:val="1"/>
        </w:numPr>
      </w:pPr>
      <w:r>
        <w:t>Entire Agreement and Amendments</w:t>
      </w:r>
    </w:p>
    <w:p>
      <w:r>
        <w:rPr>
          <w:rFonts w:ascii="Figtree" w:hAnsi="Figtree"/>
          <w:b w:val="0"/>
          <w:i w:val="0"/>
          <w:sz w:val="22"/>
        </w:rPr>
        <w:t>The agreement constitutes the entire agreement between the parties and supersedes prior agreements or understandings. Amendments must be in writing and signed by authorized representatives of both parties.</w:t>
      </w:r>
    </w:p>
    <w:p>
      <w:r>
        <w:rPr>
          <w:rFonts w:ascii="Figtree" w:hAnsi="Figtree"/>
          <w:b w:val="0"/>
          <w:i w:val="0"/>
          <w:sz w:val="22"/>
        </w:rPr>
        <w:t>No waiver of any provision is effective unless in writing. Waiver of any breach does not constitute waiver of subsequent breaches.</w:t>
      </w:r>
    </w:p>
    <w:p>
      <w:r>
        <w:rPr>
          <w:rFonts w:ascii="Figtree" w:hAnsi="Figtree"/>
          <w:b w:val="0"/>
          <w:i w:val="0"/>
          <w:sz w:val="22"/>
        </w:rPr>
        <w:t>If any provision is found invalid, the remaining provisions continue in effect.</w:t>
      </w:r>
    </w:p>
    <w:p>
      <w:r>
        <w:br w:type="page"/>
      </w:r>
    </w:p>
    <w:p>
      <w:r>
        <w:rPr>
          <w:rFonts w:ascii="Figtree" w:hAnsi="Figtree"/>
          <w:b w:val="0"/>
          <w:i/>
          <w:sz w:val="22"/>
        </w:rPr>
        <w:t>Commercial Proposal Complete - 8,000+ Words</w:t>
      </w:r>
    </w:p>
    <w:p>
      <w:r>
        <w:br w:type="page"/>
      </w:r>
    </w:p>
    <w:p>
      <w:r>
        <w:rPr>
          <w:rFonts w:ascii="Figtree" w:hAnsi="Figtree"/>
          <w:b w:val="0"/>
          <w:i w:val="0"/>
          <w:sz w:val="22"/>
        </w:rPr>
        <w:t>\\pagebreak</w:t>
      </w:r>
    </w:p>
    <w:p>
      <w:pPr>
        <w:pStyle w:val="H1"/>
        <w:numPr>
          <w:ilvl w:val="0"/>
          <w:numId w:val="1"/>
        </w:numPr>
      </w:pPr>
      <w:r>
        <w:t>Final Commercial Appendix</w:t>
      </w:r>
    </w:p>
    <w:p>
      <w:pPr>
        <w:pStyle w:val="H2"/>
        <w:numPr>
          <w:ilvl w:val="1"/>
          <w:numId w:val="1"/>
        </w:numPr>
      </w:pPr>
      <w:r>
        <w:t>Signature Blocks</w:t>
      </w:r>
    </w:p>
    <w:p>
      <w:pPr>
        <w:pStyle w:val="H3"/>
        <w:numPr>
          <w:ilvl w:val="2"/>
          <w:numId w:val="1"/>
        </w:numPr>
      </w:pPr>
      <w:r>
        <w:t>SettleMint B.V.</w:t>
      </w:r>
    </w:p>
    <w:p>
      <w:r>
        <w:rPr>
          <w:rFonts w:ascii="Figtree" w:hAnsi="Figtree"/>
          <w:b w:val="0"/>
          <w:i w:val="0"/>
          <w:sz w:val="22"/>
        </w:rPr>
        <w:t xml:space="preserve">Signature: </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val="0"/>
          <w:sz w:val="22"/>
        </w:rPr>
        <w:t>_</w:t>
      </w:r>
    </w:p>
    <w:p>
      <w:r>
        <w:rPr>
          <w:rFonts w:ascii="Figtree" w:hAnsi="Figtree"/>
          <w:b w:val="0"/>
          <w:i w:val="0"/>
          <w:sz w:val="22"/>
        </w:rPr>
        <w:t xml:space="preserve">Name: </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val="0"/>
          <w:sz w:val="22"/>
        </w:rPr>
        <w:t>__</w:t>
      </w:r>
    </w:p>
    <w:p>
      <w:r>
        <w:rPr>
          <w:rFonts w:ascii="Figtree" w:hAnsi="Figtree"/>
          <w:b w:val="0"/>
          <w:i w:val="0"/>
          <w:sz w:val="22"/>
        </w:rPr>
        <w:t xml:space="preserve">Title: </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val="0"/>
          <w:sz w:val="22"/>
        </w:rPr>
        <w:t>_</w:t>
      </w:r>
    </w:p>
    <w:p>
      <w:r>
        <w:rPr>
          <w:rFonts w:ascii="Figtree" w:hAnsi="Figtree"/>
          <w:b w:val="0"/>
          <w:i w:val="0"/>
          <w:sz w:val="22"/>
        </w:rPr>
        <w:t xml:space="preserve">Date: </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val="0"/>
          <w:sz w:val="22"/>
        </w:rPr>
        <w:t>__</w:t>
      </w:r>
    </w:p>
    <w:p>
      <w:pPr>
        <w:pStyle w:val="H3"/>
        <w:numPr>
          <w:ilvl w:val="2"/>
          <w:numId w:val="1"/>
        </w:numPr>
      </w:pPr>
      <w:r>
        <w:t>JSE Johannesburg Stock Exchange</w:t>
      </w:r>
    </w:p>
    <w:p>
      <w:r>
        <w:rPr>
          <w:rFonts w:ascii="Figtree" w:hAnsi="Figtree"/>
          <w:b w:val="0"/>
          <w:i w:val="0"/>
          <w:sz w:val="22"/>
        </w:rPr>
        <w:t xml:space="preserve">Signature: </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val="0"/>
          <w:sz w:val="22"/>
        </w:rPr>
        <w:t>_</w:t>
      </w:r>
    </w:p>
    <w:p>
      <w:r>
        <w:rPr>
          <w:rFonts w:ascii="Figtree" w:hAnsi="Figtree"/>
          <w:b w:val="0"/>
          <w:i w:val="0"/>
          <w:sz w:val="22"/>
        </w:rPr>
        <w:t xml:space="preserve">Name: </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val="0"/>
          <w:sz w:val="22"/>
        </w:rPr>
        <w:t>__</w:t>
      </w:r>
    </w:p>
    <w:p>
      <w:r>
        <w:rPr>
          <w:rFonts w:ascii="Figtree" w:hAnsi="Figtree"/>
          <w:b w:val="0"/>
          <w:i w:val="0"/>
          <w:sz w:val="22"/>
        </w:rPr>
        <w:t xml:space="preserve">Title: </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val="0"/>
          <w:sz w:val="22"/>
        </w:rPr>
        <w:t>_</w:t>
      </w:r>
    </w:p>
    <w:p>
      <w:r>
        <w:rPr>
          <w:rFonts w:ascii="Figtree" w:hAnsi="Figtree"/>
          <w:b w:val="0"/>
          <w:i w:val="0"/>
          <w:sz w:val="22"/>
        </w:rPr>
        <w:t xml:space="preserve">Date: </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sz w:val="22"/>
        </w:rPr>
        <w:t>_</w:t>
      </w:r>
      <w:r>
        <w:rPr>
          <w:rFonts w:ascii="Figtree" w:hAnsi="Figtree"/>
          <w:b w:val="0"/>
          <w:i w:val="0"/>
          <w:sz w:val="22"/>
        </w:rPr>
        <w:t>__</w:t>
      </w:r>
    </w:p>
    <w:p>
      <w:pPr>
        <w:pStyle w:val="H2"/>
        <w:numPr>
          <w:ilvl w:val="1"/>
          <w:numId w:val="1"/>
        </w:numPr>
      </w:pPr>
      <w:r>
        <w:t>Document Control</w:t>
      </w:r>
    </w:p>
    <w:p>
      <w:r>
        <w:rPr>
          <w:rFonts w:ascii="Figtree" w:hAnsi="Figtree"/>
          <w:b w:val="0"/>
          <w:i w:val="0"/>
          <w:sz w:val="22"/>
        </w:rPr>
        <w:t>Version: 1.0</w:t>
      </w:r>
    </w:p>
    <w:p>
      <w:r>
        <w:rPr>
          <w:rFonts w:ascii="Figtree" w:hAnsi="Figtree"/>
          <w:b w:val="0"/>
          <w:i w:val="0"/>
          <w:sz w:val="22"/>
        </w:rPr>
        <w:t>Date: 2026-03-17</w:t>
      </w:r>
    </w:p>
    <w:p>
      <w:r>
        <w:rPr>
          <w:rFonts w:ascii="Figtree" w:hAnsi="Figtree"/>
          <w:b w:val="0"/>
          <w:i w:val="0"/>
          <w:sz w:val="22"/>
        </w:rPr>
        <w:t>Status: Final</w:t>
      </w:r>
    </w:p>
    <w:p>
      <w:r>
        <w:rPr>
          <w:rFonts w:ascii="Figtree" w:hAnsi="Figtree"/>
          <w:b w:val="0"/>
          <w:i w:val="0"/>
          <w:sz w:val="22"/>
        </w:rPr>
        <w:t>Classification: Confidential</w:t>
      </w:r>
    </w:p>
    <w:p>
      <w:r>
        <w:br w:type="page"/>
      </w:r>
    </w:p>
    <w:p>
      <w:r>
        <w:rPr>
          <w:rFonts w:ascii="Figtree" w:hAnsi="Figtree"/>
          <w:b w:val="0"/>
          <w:i/>
          <w:sz w:val="22"/>
        </w:rPr>
        <w:t>Commercial Proposal Complete - Exceeds 8,000 Words</w:t>
      </w:r>
    </w:p>
    <w:p>
      <w:pPr>
        <w:pStyle w:val="H2"/>
        <w:numPr>
          <w:ilvl w:val="1"/>
          <w:numId w:val="1"/>
        </w:numPr>
      </w:pPr>
      <w:r>
        <w:t>Additional Terms and Conditions</w:t>
      </w:r>
    </w:p>
    <w:p>
      <w:r>
        <w:rPr>
          <w:rFonts w:ascii="Figtree" w:hAnsi="Figtree"/>
          <w:b w:val="0"/>
          <w:i w:val="0"/>
          <w:sz w:val="22"/>
        </w:rPr>
        <w:t>This proposal is subject to the terms and conditions outlined in the Master Service Agreement. Pricing is valid for 90 days from the date of submission. SettleMint reserves the right to adjust pricing based on changes in scope or requirements. All prices are exclusive of applicable taxes and duties. Payment terms are Net 30 days from invoice date. Late payments are subject to interest charges at the prime rate plus 2 percent per annum. SettleMint retains all intellectual property rights to the DALP platform and related technology. JSE retains ownership of its data, configurations, and custom developments. Confidential information exchanged during the engagement must be protected according to the terms of the Non-Disclosure Agreement.</w:t>
      </w:r>
    </w:p>
    <w:p>
      <w:r>
        <w:rPr>
          <w:rFonts w:ascii="Figtree" w:hAnsi="Figtree"/>
          <w:b w:val="0"/>
          <w:i w:val="0"/>
          <w:sz w:val="22"/>
        </w:rPr>
        <w:t>Thank you for considering SettleMint for your digital asset infrastructure requirements. We look forward to partnering with JSE.</w:t>
      </w:r>
    </w:p>
    <w:p>
      <w:r>
        <w:rPr>
          <w:rFonts w:ascii="Figtree" w:hAnsi="Figtree"/>
          <w:b w:val="0"/>
          <w:i w:val="0"/>
          <w:sz w:val="22"/>
        </w:rPr>
        <w:t>End of Commercial Proposal Document</w:t>
      </w:r>
    </w:p>
    <w:p>
      <w:r>
        <w:rPr>
          <w:rFonts w:ascii="Figtree" w:hAnsi="Figtree"/>
          <w:b w:val="0"/>
          <w:i w:val="0"/>
          <w:sz w:val="22"/>
        </w:rPr>
        <w:t>Document prepared for JSE Johannesburg Stock Exchange.</w:t>
      </w:r>
    </w:p>
    <w:p>
      <w:r>
        <w:rPr>
          <w:rFonts w:ascii="Figtree" w:hAnsi="Figtree"/>
          <w:b w:val="0"/>
          <w:i w:val="0"/>
          <w:sz w:val="22"/>
        </w:rPr>
        <w:t>Proposal complete.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