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Digital Riyal Pilot Orchestration and Control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Commercial Recommendation</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Strategic Value vs Cost-of-Inaction</w:t>
          </w:r>
          <w:r>
            <w:tab/>
          </w:r>
          <w:r>
            <w:t xml:space="preserve">10</w:t>
          </w:r>
        </w:p>
        <w:p>
          <w:pPr>
            <w:pStyle w:val="TOC2"/>
            <w:tabs>
              <w:tab w:val="right" w:leader="dot" w:pos="9072"/>
            </w:tabs>
          </w:pPr>
          <w:r>
            <w:t xml:space="preserve">2.2 Why DALP Changes CBDC Economics</w:t>
          </w:r>
          <w:r>
            <w:tab/>
          </w:r>
          <w:r>
            <w:t xml:space="preserve">11</w:t>
          </w:r>
        </w:p>
        <w:p>
          <w:pPr>
            <w:pStyle w:val="TOC2"/>
            <w:tabs>
              <w:tab w:val="right" w:leader="dot" w:pos="9072"/>
            </w:tabs>
          </w:pPr>
          <w:r>
            <w:t xml:space="preserve">2.3 ROI Framework</w:t>
          </w:r>
          <w:r>
            <w:tab/>
          </w:r>
          <w:r>
            <w:t xml:space="preserve">12</w:t>
          </w:r>
        </w:p>
        <w:p>
          <w:pPr>
            <w:pStyle w:val="TOC1"/>
            <w:tabs>
              <w:tab w:val="right" w:leader="dot" w:pos="9072"/>
            </w:tabs>
          </w:pPr>
          <w:r>
            <w:t xml:space="preserve">3. Licensing Model</w:t>
          </w:r>
          <w:r>
            <w:tab/>
          </w:r>
          <w:r>
            <w:t xml:space="preserve">13</w:t>
          </w:r>
        </w:p>
        <w:p>
          <w:pPr>
            <w:pStyle w:val="TOC2"/>
            <w:tabs>
              <w:tab w:val="right" w:leader="dot" w:pos="9072"/>
            </w:tabs>
          </w:pPr>
          <w:r>
            <w:t xml:space="preserve">3.1 SAMA Licensing Philosophy</w:t>
          </w:r>
          <w:r>
            <w:tab/>
          </w:r>
          <w:r>
            <w:t xml:space="preserve">14</w:t>
          </w:r>
        </w:p>
        <w:p>
          <w:pPr>
            <w:pStyle w:val="TOC2"/>
            <w:tabs>
              <w:tab w:val="right" w:leader="dot" w:pos="9072"/>
            </w:tabs>
          </w:pPr>
          <w:r>
            <w:t xml:space="preserve">3.2 Sovereign Tier — What's Included</w:t>
          </w:r>
          <w:r>
            <w:tab/>
          </w:r>
          <w:r>
            <w:t xml:space="preserve">15</w:t>
          </w:r>
        </w:p>
        <w:p>
          <w:pPr>
            <w:pStyle w:val="TOC2"/>
            <w:tabs>
              <w:tab w:val="right" w:leader="dot" w:pos="9072"/>
            </w:tabs>
          </w:pPr>
          <w:r>
            <w:t xml:space="preserve">3.3 Platform Tiers</w:t>
          </w:r>
          <w:r>
            <w:tab/>
          </w:r>
          <w:r>
            <w:t xml:space="preserve">16</w:t>
          </w:r>
        </w:p>
        <w:p>
          <w:pPr>
            <w:pStyle w:val="TOC1"/>
            <w:tabs>
              <w:tab w:val="right" w:leader="dot" w:pos="9072"/>
            </w:tabs>
          </w:pPr>
          <w:r>
            <w:t xml:space="preserve">4. Deployment Options and Pricing</w:t>
          </w:r>
          <w:r>
            <w:tab/>
          </w:r>
          <w:r>
            <w:t xml:space="preserve">17</w:t>
          </w:r>
        </w:p>
        <w:p>
          <w:pPr>
            <w:pStyle w:val="TOC2"/>
            <w:tabs>
              <w:tab w:val="right" w:leader="dot" w:pos="9072"/>
            </w:tabs>
          </w:pPr>
          <w:r>
            <w:t xml:space="preserve">4.1 KSA-Region Private Cloud — Only Viable Option</w:t>
          </w:r>
          <w:r>
            <w:tab/>
          </w:r>
          <w:r>
            <w:t xml:space="preserve">18</w:t>
          </w:r>
        </w:p>
        <w:p>
          <w:pPr>
            <w:pStyle w:val="TOC2"/>
            <w:tabs>
              <w:tab w:val="right" w:leader="dot" w:pos="9072"/>
            </w:tabs>
          </w:pPr>
          <w:r>
            <w:t xml:space="preserve">4.2 Cost Structure</w:t>
          </w:r>
          <w:r>
            <w:tab/>
          </w:r>
          <w:r>
            <w:t xml:space="preserve">19</w:t>
          </w:r>
        </w:p>
        <w:p>
          <w:pPr>
            <w:pStyle w:val="TOC2"/>
            <w:tabs>
              <w:tab w:val="right" w:leader="dot" w:pos="9072"/>
            </w:tabs>
          </w:pPr>
          <w:r>
            <w:t xml:space="preserve">4.3 Cost Drivers</w:t>
          </w:r>
          <w:r>
            <w:tab/>
          </w:r>
          <w:r>
            <w:t xml:space="preserve">20</w:t>
          </w:r>
        </w:p>
        <w:p>
          <w:pPr>
            <w:pStyle w:val="TOC1"/>
            <w:tabs>
              <w:tab w:val="right" w:leader="dot" w:pos="9072"/>
            </w:tabs>
          </w:pPr>
          <w:r>
            <w:t xml:space="preserve">5. Support and SLA Framework</w:t>
          </w:r>
          <w:r>
            <w:tab/>
          </w:r>
          <w:r>
            <w:t xml:space="preserve">21</w:t>
          </w:r>
        </w:p>
        <w:p>
          <w:pPr>
            <w:pStyle w:val="TOC2"/>
            <w:tabs>
              <w:tab w:val="right" w:leader="dot" w:pos="9072"/>
            </w:tabs>
          </w:pPr>
          <w:r>
            <w:t xml:space="preserve">5.1 CBDC-Enhanced Support Tier</w:t>
          </w:r>
          <w:r>
            <w:tab/>
          </w:r>
          <w:r>
            <w:t xml:space="preserve">22</w:t>
          </w:r>
        </w:p>
        <w:p>
          <w:pPr>
            <w:pStyle w:val="TOC2"/>
            <w:tabs>
              <w:tab w:val="right" w:leader="dot" w:pos="9072"/>
            </w:tabs>
          </w:pPr>
          <w:r>
            <w:t xml:space="preserve">5.2 Severity Definitions for CBDC</w:t>
          </w:r>
          <w:r>
            <w:tab/>
          </w:r>
          <w:r>
            <w:t xml:space="preserve">23</w:t>
          </w:r>
        </w:p>
        <w:p>
          <w:pPr>
            <w:pStyle w:val="TOC2"/>
            <w:tabs>
              <w:tab w:val="right" w:leader="dot" w:pos="9072"/>
            </w:tabs>
          </w:pPr>
          <w:r>
            <w:t xml:space="preserve">5.3 Uptime SLA</w:t>
          </w:r>
          <w:r>
            <w:tab/>
          </w:r>
          <w:r>
            <w:t xml:space="preserve">24</w:t>
          </w:r>
        </w:p>
        <w:p>
          <w:pPr>
            <w:pStyle w:val="TOC2"/>
            <w:tabs>
              <w:tab w:val="right" w:leader="dot" w:pos="9072"/>
            </w:tabs>
          </w:pPr>
          <w:r>
            <w:t xml:space="preserve">5.4 Evidence and Examination Support</w:t>
          </w:r>
          <w:r>
            <w:tab/>
          </w:r>
          <w:r>
            <w:t xml:space="preserve">25</w:t>
          </w:r>
        </w:p>
        <w:p>
          <w:pPr>
            <w:pStyle w:val="TOC1"/>
            <w:tabs>
              <w:tab w:val="right" w:leader="dot" w:pos="9072"/>
            </w:tabs>
          </w:pPr>
          <w:r>
            <w:t xml:space="preserve">6. Implementation Investment</w:t>
          </w:r>
          <w:r>
            <w:tab/>
          </w:r>
          <w:r>
            <w:t xml:space="preserve">26</w:t>
          </w:r>
        </w:p>
        <w:p>
          <w:pPr>
            <w:pStyle w:val="TOC2"/>
            <w:tabs>
              <w:tab w:val="right" w:leader="dot" w:pos="9072"/>
            </w:tabs>
          </w:pPr>
          <w:r>
            <w:t xml:space="preserve">6.1 CBDC Implementation Methodology</w:t>
          </w:r>
          <w:r>
            <w:tab/>
          </w:r>
          <w:r>
            <w:t xml:space="preserve">27</w:t>
          </w:r>
        </w:p>
        <w:p>
          <w:pPr>
            <w:pStyle w:val="TOC2"/>
            <w:tabs>
              <w:tab w:val="right" w:leader="dot" w:pos="9072"/>
            </w:tabs>
          </w:pPr>
          <w:r>
            <w:t xml:space="preserve">6.2 Phase Pricing</w:t>
          </w:r>
          <w:r>
            <w:tab/>
          </w:r>
          <w:r>
            <w:t xml:space="preserve">28</w:t>
          </w:r>
        </w:p>
        <w:p>
          <w:pPr>
            <w:pStyle w:val="TOC2"/>
            <w:tabs>
              <w:tab w:val="right" w:leader="dot" w:pos="9072"/>
            </w:tabs>
          </w:pPr>
          <w:r>
            <w:t xml:space="preserve">6.3 Payment Schedule</w:t>
          </w:r>
          <w:r>
            <w:tab/>
          </w:r>
          <w:r>
            <w:t xml:space="preserve">29</w:t>
          </w:r>
        </w:p>
        <w:p>
          <w:pPr>
            <w:pStyle w:val="TOC2"/>
            <w:tabs>
              <w:tab w:val="right" w:leader="dot" w:pos="9072"/>
            </w:tabs>
          </w:pPr>
          <w:r>
            <w:t xml:space="preserve">6.4 HSM Commissioning</w:t>
          </w:r>
          <w:r>
            <w:tab/>
          </w:r>
          <w:r>
            <w:t xml:space="preserve">30</w:t>
          </w:r>
        </w:p>
        <w:p>
          <w:pPr>
            <w:pStyle w:val="TOC2"/>
            <w:tabs>
              <w:tab w:val="right" w:leader="dot" w:pos="9072"/>
            </w:tabs>
          </w:pPr>
          <w:r>
            <w:t xml:space="preserve">6.5 Training</w:t>
          </w:r>
          <w:r>
            <w:tab/>
          </w:r>
          <w:r>
            <w:t xml:space="preserve">31</w:t>
          </w:r>
        </w:p>
        <w:p>
          <w:pPr>
            <w:pStyle w:val="TOC1"/>
            <w:tabs>
              <w:tab w:val="right" w:leader="dot" w:pos="9072"/>
            </w:tabs>
          </w:pPr>
          <w:r>
            <w:t xml:space="preserve">7. Commercial Terms</w:t>
          </w:r>
          <w:r>
            <w:tab/>
          </w:r>
          <w:r>
            <w:t xml:space="preserve">32</w:t>
          </w:r>
        </w:p>
        <w:p>
          <w:pPr>
            <w:pStyle w:val="TOC2"/>
            <w:tabs>
              <w:tab w:val="right" w:leader="dot" w:pos="9072"/>
            </w:tabs>
          </w:pPr>
          <w:r>
            <w:t xml:space="preserve">7.1 Contract Structure</w:t>
          </w:r>
          <w:r>
            <w:tab/>
          </w:r>
          <w:r>
            <w:t xml:space="preserve">33</w:t>
          </w:r>
        </w:p>
        <w:p>
          <w:pPr>
            <w:pStyle w:val="TOC2"/>
            <w:tabs>
              <w:tab w:val="right" w:leader="dot" w:pos="9072"/>
            </w:tabs>
          </w:pPr>
          <w:r>
            <w:t xml:space="preserve">7.2 Sovereign-Specific Terms</w:t>
          </w:r>
          <w:r>
            <w:tab/>
          </w:r>
          <w:r>
            <w:t xml:space="preserve">34</w:t>
          </w:r>
        </w:p>
        <w:p>
          <w:pPr>
            <w:pStyle w:val="TOC2"/>
            <w:tabs>
              <w:tab w:val="right" w:leader="dot" w:pos="9072"/>
            </w:tabs>
          </w:pPr>
          <w:r>
            <w:t xml:space="preserve">7.3 Duration and Payment</w:t>
          </w:r>
          <w:r>
            <w:tab/>
          </w:r>
          <w:r>
            <w:t xml:space="preserve">35</w:t>
          </w:r>
        </w:p>
        <w:p>
          <w:pPr>
            <w:pStyle w:val="TOC2"/>
            <w:tabs>
              <w:tab w:val="right" w:leader="dot" w:pos="9072"/>
            </w:tabs>
          </w:pPr>
          <w:r>
            <w:t xml:space="preserve">7.4 Liability</w:t>
          </w:r>
          <w:r>
            <w:tab/>
          </w:r>
          <w:r>
            <w:t xml:space="preserve">36</w:t>
          </w:r>
        </w:p>
        <w:p>
          <w:pPr>
            <w:pStyle w:val="TOC2"/>
            <w:tabs>
              <w:tab w:val="right" w:leader="dot" w:pos="9072"/>
            </w:tabs>
          </w:pPr>
          <w:r>
            <w:t xml:space="preserve">7.5 Escrow</w:t>
          </w:r>
          <w:r>
            <w:tab/>
          </w:r>
          <w:r>
            <w:t xml:space="preserve">37</w:t>
          </w:r>
        </w:p>
        <w:p>
          <w:pPr>
            <w:pStyle w:val="TOC1"/>
            <w:tabs>
              <w:tab w:val="right" w:leader="dot" w:pos="9072"/>
            </w:tabs>
          </w:pPr>
          <w:r>
            <w:t xml:space="preserve">8. Total Cost of Ownership</w:t>
          </w:r>
          <w:r>
            <w:tab/>
          </w:r>
          <w:r>
            <w:t xml:space="preserve">38</w:t>
          </w:r>
        </w:p>
        <w:p>
          <w:pPr>
            <w:pStyle w:val="TOC2"/>
            <w:tabs>
              <w:tab w:val="right" w:leader="dot" w:pos="9072"/>
            </w:tabs>
          </w:pPr>
          <w:r>
            <w:t xml:space="preserve">8.1 TCO vs Bespoke CBDC Development</w:t>
          </w:r>
          <w:r>
            <w:tab/>
          </w:r>
          <w:r>
            <w:t xml:space="preserve">39</w:t>
          </w:r>
        </w:p>
        <w:p>
          <w:pPr>
            <w:pStyle w:val="TOC2"/>
            <w:tabs>
              <w:tab w:val="right" w:leader="dot" w:pos="9072"/>
            </w:tabs>
          </w:pPr>
          <w:r>
            <w:t xml:space="preserve">8.2 Five-Year Projection</w:t>
          </w:r>
          <w:r>
            <w:tab/>
          </w:r>
          <w:r>
            <w:t xml:space="preserve">40</w:t>
          </w:r>
        </w:p>
        <w:p>
          <w:pPr>
            <w:pStyle w:val="TOC1"/>
            <w:tabs>
              <w:tab w:val="right" w:leader="dot" w:pos="9072"/>
            </w:tabs>
          </w:pPr>
          <w:r>
            <w:t xml:space="preserve">9. Reference Clients</w:t>
          </w:r>
          <w:r>
            <w:tab/>
          </w:r>
          <w:r>
            <w:t xml:space="preserve">41</w:t>
          </w:r>
        </w:p>
        <w:p>
          <w:pPr>
            <w:pStyle w:val="TOC1"/>
            <w:tabs>
              <w:tab w:val="right" w:leader="dot" w:pos="9072"/>
            </w:tabs>
          </w:pPr>
          <w:r>
            <w:t xml:space="preserve">10. Next Steps</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Digital Riyal Pilot Orchestration and Control Framework"</w:t>
      </w:r>
    </w:p>
    <w:p>
      <w:r>
        <w:rPr>
          <w:rFonts w:ascii="Figtree" w:hAnsi="Figtree"/>
          <w:b w:val="0"/>
          <w:i w:val="0"/>
          <w:sz w:val="22"/>
        </w:rPr>
        <w:t>client: "SAMA Saudi Central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"SAMA-SAUDI-CENTRAL-BANK-RFP-DIGITAL-RIYAL-PILOT-202603"</w:t>
      </w:r>
    </w:p>
    <w:p>
      <w:r>
        <w:br w:type="page"/>
      </w:r>
    </w:p>
    <w:p>
      <w:pPr>
        <w:pStyle w:val="H1"/>
        <w:numPr>
          <w:ilvl w:val="0"/>
          <w:numId w:val="1"/>
        </w:numPr>
      </w:pPr>
      <w:r>
        <w:t>Commercial Proposal</w:t>
      </w:r>
    </w:p>
    <w:p>
      <w:pPr>
        <w:pStyle w:val="H2"/>
        <w:numPr>
          <w:ilvl w:val="1"/>
          <w:numId w:val="1"/>
        </w:numPr>
      </w:pPr>
      <w:r>
        <w:t>Digital Riyal Pilot Orchestration and Control Framework</w:t>
      </w:r>
    </w:p>
    <w:p>
      <w:r>
        <w:br w:type="page"/>
      </w:r>
    </w:p>
    <w:p>
      <w:r>
        <w:rPr>
          <w:rFonts w:ascii="Figtree" w:hAnsi="Figtree"/>
          <w:b/>
          <w:i w:val="0"/>
          <w:sz w:val="22"/>
        </w:rPr>
        <w:t>Document Title:</w:t>
      </w:r>
      <w:r>
        <w:rPr>
          <w:rFonts w:ascii="Figtree" w:hAnsi="Figtree"/>
          <w:b w:val="0"/>
          <w:i w:val="0"/>
          <w:sz w:val="22"/>
        </w:rPr>
        <w:t xml:space="preserve"> Commercial Proposal — Digital Riyal Pilot Orchestration and Control Framework</w:t>
      </w:r>
    </w:p>
    <w:p>
      <w:r>
        <w:rPr>
          <w:rFonts w:ascii="Figtree" w:hAnsi="Figtree"/>
          <w:b/>
          <w:i w:val="0"/>
          <w:sz w:val="22"/>
        </w:rPr>
        <w:t>Client:</w:t>
      </w:r>
      <w:r>
        <w:rPr>
          <w:rFonts w:ascii="Figtree" w:hAnsi="Figtree"/>
          <w:b w:val="0"/>
          <w:i w:val="0"/>
          <w:sz w:val="22"/>
        </w:rPr>
        <w:t xml:space="preserve"> SAMA Saudi Central Bank (Saudi Arabian Monetary Authority)</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SAMA's Digital Riyal pilot is a strategic national infrastructure programme — not a technology procurement in the conventional sense. The commercial decision involves three considerations unique to sovereign central bank programmes:</w:t>
      </w:r>
    </w:p>
    <w:p>
      <w:r>
        <w:rPr>
          <w:rFonts w:ascii="Figtree" w:hAnsi="Figtree"/>
          <w:b/>
          <w:i w:val="0"/>
          <w:sz w:val="22"/>
        </w:rPr>
        <w:t>Sovereign control:</w:t>
      </w:r>
      <w:r>
        <w:rPr>
          <w:rFonts w:ascii="Figtree" w:hAnsi="Figtree"/>
          <w:b w:val="0"/>
          <w:i w:val="0"/>
          <w:sz w:val="22"/>
        </w:rPr>
        <w:t xml:space="preserve"> The platform supplier must not be part of the critical path for any SAMA operational decision. All monetary policy controls, participant management decisions, and signing key material must remain exclusively under SAMA authority. SettleMint's commercial model and technology architecture are designed for this: SAMA holds all keys, SAMA controls all access, and SettleMint provides platform software and delivery support rather than operational control.</w:t>
      </w:r>
    </w:p>
    <w:p>
      <w:r>
        <w:rPr>
          <w:rFonts w:ascii="Figtree" w:hAnsi="Figtree"/>
          <w:b/>
          <w:i w:val="0"/>
          <w:sz w:val="22"/>
        </w:rPr>
        <w:t>Examination-grade evidence:</w:t>
      </w:r>
      <w:r>
        <w:rPr>
          <w:rFonts w:ascii="Figtree" w:hAnsi="Figtree"/>
          <w:b w:val="0"/>
          <w:i w:val="0"/>
          <w:sz w:val="22"/>
        </w:rPr>
        <w:t xml:space="preserve"> SAMA's investment in a Digital Riyal platform must produce evidence sufficient for SAMA board reporting, SAMA internal audit, and potential BIS or international engagement. The commercial agreement must include evidence-production obligations, not just uptime SLAs.</w:t>
      </w:r>
    </w:p>
    <w:p>
      <w:r>
        <w:rPr>
          <w:rFonts w:ascii="Figtree" w:hAnsi="Figtree"/>
          <w:b/>
          <w:i w:val="0"/>
          <w:sz w:val="22"/>
        </w:rPr>
        <w:t>KSA data sovereignty:</w:t>
      </w:r>
      <w:r>
        <w:rPr>
          <w:rFonts w:ascii="Figtree" w:hAnsi="Figtree"/>
          <w:b w:val="0"/>
          <w:i w:val="0"/>
          <w:sz w:val="22"/>
        </w:rPr>
        <w:t xml:space="preserve"> The full investment — infrastructure, operational data, key material — must reside within Saudi Arabia's territorial boundaries. This affects infrastructure cost structure and deployment timeline.</w:t>
      </w:r>
    </w:p>
    <w:p>
      <w:r>
        <w:rPr>
          <w:rFonts w:ascii="Figtree" w:hAnsi="Figtree"/>
          <w:b w:val="0"/>
          <w:i w:val="0"/>
          <w:sz w:val="22"/>
        </w:rPr>
        <w:t>SettleMint recommends DALP Sovereign tier for SAMA's Digital Riyal pilot, with CBDC-enhanced SLA, KSA-region private cloud, and SAMA-controlled HSM for key custody.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7"/>
        <w:gridCol w:w="1411"/>
        <w:gridCol w:w="1411"/>
        <w:gridCol w:w="1411"/>
        <w:gridCol w:w="141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(Sovereign Tier)</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$2,160,000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(KSA Private Cloud)</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CBDC-Enhanced Support (24/7)</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$648,000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$36,000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w:t>
            </w:r>
          </w:p>
        </w:tc>
        <w:tc>
          <w:tcPr>
            <w:tcW w:type="dxa" w:w="1949"/>
            <w:vAlign w:val="center"/>
          </w:tcPr>
          <w:p>
            <w:pPr>
              <w:spacing w:line="276" w:lineRule="auto" w:before="0" w:after="0"/>
            </w:pPr>
            <w:r/>
            <w:r>
              <w:rPr>
                <w:rFonts w:ascii="Figtree" w:hAnsi="Figtree"/>
                <w:b w:val="0"/>
                <w:i w:val="0"/>
                <w:sz w:val="20"/>
              </w:rPr>
              <w:t>$54,000</w:t>
            </w:r>
          </w:p>
        </w:tc>
      </w:tr>
      <w:tr>
        <w:trPr>
          <w:trHeight w:val="425" w:hRule="atLeast"/>
        </w:trPr>
        <w:tc>
          <w:tcPr>
            <w:tcW w:type="dxa" w:w="1949"/>
            <w:vAlign w:val="center"/>
          </w:tcPr>
          <w:p>
            <w:pPr>
              <w:spacing w:line="276" w:lineRule="auto" w:before="0" w:after="0"/>
            </w:pPr>
            <w:r/>
            <w:r>
              <w:rPr>
                <w:rFonts w:ascii="Figtree" w:hAnsi="Figtree"/>
                <w:b w:val="0"/>
                <w:i w:val="0"/>
                <w:sz w:val="20"/>
              </w:rPr>
              <w:t>HSM Commissioning (one-time)</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$1,656,000</w:t>
            </w:r>
          </w:p>
        </w:tc>
        <w:tc>
          <w:tcPr>
            <w:tcW w:type="dxa" w:w="1949"/>
            <w:vAlign w:val="center"/>
          </w:tcPr>
          <w:p>
            <w:pPr>
              <w:spacing w:line="276" w:lineRule="auto" w:before="0" w:after="0"/>
            </w:pPr>
            <w:r/>
            <w:r>
              <w:rPr>
                <w:rFonts w:ascii="Figtree" w:hAnsi="Figtree"/>
                <w:b/>
                <w:i w:val="0"/>
                <w:sz w:val="20"/>
              </w:rPr>
              <w:t>$1,080,000</w:t>
            </w:r>
          </w:p>
        </w:tc>
        <w:tc>
          <w:tcPr>
            <w:tcW w:type="dxa" w:w="1949"/>
            <w:vAlign w:val="center"/>
          </w:tcPr>
          <w:p>
            <w:pPr>
              <w:spacing w:line="276" w:lineRule="auto" w:before="0" w:after="0"/>
            </w:pPr>
            <w:r/>
            <w:r>
              <w:rPr>
                <w:rFonts w:ascii="Figtree" w:hAnsi="Figtree"/>
                <w:b/>
                <w:i w:val="0"/>
                <w:sz w:val="20"/>
              </w:rPr>
              <w:t>$1,098,000</w:t>
            </w:r>
          </w:p>
        </w:tc>
        <w:tc>
          <w:tcPr>
            <w:tcW w:type="dxa" w:w="1949"/>
            <w:vAlign w:val="center"/>
          </w:tcPr>
          <w:p>
            <w:pPr>
              <w:spacing w:line="276" w:lineRule="auto" w:before="0" w:after="0"/>
            </w:pPr>
            <w:r/>
            <w:r>
              <w:rPr>
                <w:rFonts w:ascii="Figtree" w:hAnsi="Figtree"/>
                <w:b/>
                <w:i w:val="0"/>
                <w:sz w:val="20"/>
              </w:rPr>
              <w:t>$3,834,000</w:t>
            </w:r>
          </w:p>
        </w:tc>
      </w:tr>
    </w:tbl>
    <w:p>
      <w:pPr>
        <w:spacing w:before="0" w:after="0" w:line="120" w:lineRule="exact"/>
      </w:pPr>
    </w:p>
    <w:p>
      <w:r>
        <w:rPr>
          <w:rFonts w:ascii="Figtree" w:hAnsi="Figtree"/>
          <w:b w:val="0"/>
          <w:i w:val="0"/>
          <w:sz w:val="22"/>
        </w:rPr>
        <w:t>&gt; Indicative USD amounts. Infrastructure estimated for AWS me-south-1 or Azure KSA region. Sovereign tier pricing reflects SAMA's dedicated instance, unlimited environments, and full client-controlled custody model. HSM commissioning reflects SAMA key ceremony support and HSM integration costs.</w:t>
      </w:r>
    </w:p>
    <w:p>
      <w:pPr>
        <w:pStyle w:val="H2"/>
        <w:numPr>
          <w:ilvl w:val="1"/>
          <w:numId w:val="1"/>
        </w:numPr>
      </w:pPr>
      <w:r>
        <w:t>1.2 Commercial Recommendation</w:t>
      </w:r>
    </w:p>
    <w:p>
      <w:pPr>
        <w:pStyle w:val="ListParagraph"/>
        <w:numPr>
          <w:ilvl w:val="0"/>
          <w:numId w:val="4"/>
        </w:numPr>
      </w:pPr>
      <w:r>
        <w:rPr>
          <w:rFonts w:ascii="Figtree" w:hAnsi="Figtree"/>
          <w:b/>
          <w:i w:val="0"/>
          <w:sz w:val="22"/>
        </w:rPr>
        <w:t>Licence tier:</w:t>
      </w:r>
      <w:r>
        <w:rPr>
          <w:rFonts w:ascii="Figtree" w:hAnsi="Figtree"/>
          <w:b w:val="0"/>
          <w:i w:val="0"/>
          <w:sz w:val="22"/>
        </w:rPr>
        <w:t xml:space="preserve"> Sovereign — the only tier appropriate for a national central bank CBDC programme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KSA-region private cloud (AWS Riyadh or Azure KSA)</w:t>
      </w:r>
    </w:p>
    <w:p>
      <w:pPr>
        <w:pStyle w:val="ListParagraph"/>
        <w:numPr>
          <w:ilvl w:val="0"/>
          <w:numId w:val="4"/>
        </w:numPr>
      </w:pPr>
      <w:r>
        <w:rPr>
          <w:rFonts w:ascii="Figtree" w:hAnsi="Figtree"/>
          <w:b/>
          <w:i w:val="0"/>
          <w:sz w:val="22"/>
        </w:rPr>
        <w:t>Key custody:</w:t>
      </w:r>
      <w:r>
        <w:rPr>
          <w:rFonts w:ascii="Figtree" w:hAnsi="Figtree"/>
          <w:b w:val="0"/>
          <w:i w:val="0"/>
          <w:sz w:val="22"/>
        </w:rPr>
        <w:t xml:space="preserve"> Tier 3 — SAMA-controlled KSA HSM (SAMA holds all keys)</w:t>
      </w:r>
    </w:p>
    <w:p>
      <w:pPr>
        <w:pStyle w:val="ListParagraph"/>
        <w:numPr>
          <w:ilvl w:val="0"/>
          <w:numId w:val="4"/>
        </w:numPr>
      </w:pPr>
      <w:r>
        <w:rPr>
          <w:rFonts w:ascii="Figtree" w:hAnsi="Figtree"/>
          <w:b/>
          <w:i w:val="0"/>
          <w:sz w:val="22"/>
        </w:rPr>
        <w:t>Support:</w:t>
      </w:r>
      <w:r>
        <w:rPr>
          <w:rFonts w:ascii="Figtree" w:hAnsi="Figtree"/>
          <w:b w:val="0"/>
          <w:i w:val="0"/>
          <w:sz w:val="22"/>
        </w:rPr>
        <w:t xml:space="preserve"> CBDC-Enhanced 24/7 (P1: 30-minute response; 99.95% uptime)</w:t>
      </w:r>
    </w:p>
    <w:p>
      <w:pPr>
        <w:pStyle w:val="ListParagraph"/>
        <w:numPr>
          <w:ilvl w:val="0"/>
          <w:numId w:val="4"/>
        </w:numPr>
      </w:pPr>
      <w:r>
        <w:rPr>
          <w:rFonts w:ascii="Figtree" w:hAnsi="Figtree"/>
          <w:b/>
          <w:i w:val="0"/>
          <w:sz w:val="22"/>
        </w:rPr>
        <w:t>Contract structure:</w:t>
      </w:r>
      <w:r>
        <w:rPr>
          <w:rFonts w:ascii="Figtree" w:hAnsi="Figtree"/>
          <w:b w:val="0"/>
          <w:i w:val="0"/>
          <w:sz w:val="22"/>
        </w:rPr>
        <w:t xml:space="preserve"> 3-year initial term with sovereign terms</w:t>
      </w:r>
    </w:p>
    <w:p>
      <w:pPr>
        <w:pStyle w:val="ListParagraph"/>
        <w:numPr>
          <w:ilvl w:val="0"/>
          <w:numId w:val="4"/>
        </w:numPr>
      </w:pPr>
      <w:r>
        <w:rPr>
          <w:rFonts w:ascii="Figtree" w:hAnsi="Figtree"/>
          <w:b/>
          <w:i w:val="0"/>
          <w:sz w:val="22"/>
        </w:rPr>
        <w:t>Evidence obligations:</w:t>
      </w:r>
      <w:r>
        <w:rPr>
          <w:rFonts w:ascii="Figtree" w:hAnsi="Figtree"/>
          <w:b w:val="0"/>
          <w:i w:val="0"/>
          <w:sz w:val="22"/>
        </w:rPr>
        <w:t xml:space="preserve"> SAMA examination evidence production included as standard</w:t>
      </w:r>
    </w:p>
    <w:p>
      <w:r>
        <w:br w:type="page"/>
      </w:r>
    </w:p>
    <w:p>
      <w:pPr>
        <w:pStyle w:val="H1"/>
        <w:numPr>
          <w:ilvl w:val="0"/>
          <w:numId w:val="1"/>
        </w:numPr>
      </w:pPr>
      <w:r>
        <w:t>2. Investment Rationale</w:t>
      </w:r>
    </w:p>
    <w:p>
      <w:pPr>
        <w:pStyle w:val="H2"/>
        <w:numPr>
          <w:ilvl w:val="1"/>
          <w:numId w:val="1"/>
        </w:numPr>
      </w:pPr>
      <w:r>
        <w:t>2.1 Strategic Value vs Cost-of-Inaction</w:t>
      </w:r>
    </w:p>
    <w:p>
      <w:r>
        <w:rPr>
          <w:rFonts w:ascii="Figtree" w:hAnsi="Figtree"/>
          <w:b w:val="0"/>
          <w:i w:val="0"/>
          <w:sz w:val="22"/>
        </w:rPr>
        <w:t>SAMA's Digital Riyal pilot is a Vision 2030 financial sector development programme. The strategic value is not purely economic — it encompasses:</w:t>
      </w:r>
    </w:p>
    <w:p>
      <w:r>
        <w:rPr>
          <w:rFonts w:ascii="Figtree" w:hAnsi="Figtree"/>
          <w:b/>
          <w:i w:val="0"/>
          <w:sz w:val="22"/>
        </w:rPr>
        <w:t>National financial sovereignty:</w:t>
      </w:r>
      <w:r>
        <w:rPr>
          <w:rFonts w:ascii="Figtree" w:hAnsi="Figtree"/>
          <w:b w:val="0"/>
          <w:i w:val="0"/>
          <w:sz w:val="22"/>
        </w:rPr>
        <w:t xml:space="preserve"> A Digital Riyal pilot capability positions Saudi Arabia in the leading cohort of central banks with operational CBDC infrastructure. This has implications for G20 financial policy engagement, BIS relationships, and cross-border CBDC interoperability negotiations.</w:t>
      </w:r>
    </w:p>
    <w:p>
      <w:r>
        <w:rPr>
          <w:rFonts w:ascii="Figtree" w:hAnsi="Figtree"/>
          <w:b/>
          <w:i w:val="0"/>
          <w:sz w:val="22"/>
        </w:rPr>
        <w:t>Financial sector modernization:</w:t>
      </w:r>
      <w:r>
        <w:rPr>
          <w:rFonts w:ascii="Figtree" w:hAnsi="Figtree"/>
          <w:b w:val="0"/>
          <w:i w:val="0"/>
          <w:sz w:val="22"/>
        </w:rPr>
        <w:t xml:space="preserve"> A successful Digital Riyal pilot creates the foundation for broader digitalization of Saudi Arabia's financial infrastructure, including potential retail CBDC, cross-border settlement with GCC partners, and domestic payment system evolution.</w:t>
      </w:r>
    </w:p>
    <w:p>
      <w:r>
        <w:rPr>
          <w:rFonts w:ascii="Figtree" w:hAnsi="Figtree"/>
          <w:b/>
          <w:i w:val="0"/>
          <w:sz w:val="22"/>
        </w:rPr>
        <w:t>Regulatory capacity building:</w:t>
      </w:r>
      <w:r>
        <w:rPr>
          <w:rFonts w:ascii="Figtree" w:hAnsi="Figtree"/>
          <w:b w:val="0"/>
          <w:i w:val="0"/>
          <w:sz w:val="22"/>
        </w:rPr>
        <w:t xml:space="preserve"> Operating a wholesale CBDC programme builds SAMA's institutional capacity for digital currency governance, which has value independent of the technology platform.</w:t>
      </w:r>
    </w:p>
    <w:p>
      <w:r>
        <w:rPr>
          <w:rFonts w:ascii="Figtree" w:hAnsi="Figtree"/>
          <w:b/>
          <w:i w:val="0"/>
          <w:sz w:val="22"/>
        </w:rPr>
        <w:t>Cost of delay:</w:t>
      </w:r>
      <w:r>
        <w:rPr>
          <w:rFonts w:ascii="Figtree" w:hAnsi="Figtree"/>
          <w:b w:val="0"/>
          <w:i w:val="0"/>
          <w:sz w:val="22"/>
        </w:rPr>
        <w:t xml:space="preserve"> Each quarter of delay in establishing CBDC operational capability extends the gap with comparable central banks (UAE, Bahrain, Singapore, UK, EU) who are advancing their programmes.</w:t>
      </w:r>
    </w:p>
    <w:p>
      <w:pPr>
        <w:pStyle w:val="H2"/>
        <w:numPr>
          <w:ilvl w:val="1"/>
          <w:numId w:val="1"/>
        </w:numPr>
      </w:pPr>
      <w:r>
        <w:t>2.2 Why DALP Changes CBDC Economics</w:t>
      </w:r>
    </w:p>
    <w:p>
      <w:r>
        <w:rPr>
          <w:rFonts w:ascii="Figtree" w:hAnsi="Figtree"/>
          <w:b w:val="0"/>
          <w:i w:val="0"/>
          <w:sz w:val="22"/>
        </w:rPr>
        <w:t>The alternative to a production-grade platform for SAMA's Digital Riyal pilot is bespoke central bank development — a path that has historically been expensive, slow, and operationally risky for central banks without prior CBDC technology teams.</w:t>
      </w:r>
    </w:p>
    <w:p>
      <w:r>
        <w:rPr>
          <w:rFonts w:ascii="Figtree" w:hAnsi="Figtree"/>
          <w:b/>
          <w:i w:val="0"/>
          <w:sz w:val="22"/>
        </w:rPr>
        <w:t>Bespoke CBDC development costs for a central bank:</w:t>
      </w:r>
      <w:r>
        <w:rPr>
          <w:rFonts w:ascii="Figtree" w:hAnsi="Figtree"/>
          <w:b w:val="0"/>
          <w:i w:val="0"/>
          <w:sz w:val="22"/>
        </w:rPr>
        <w:t xml:space="preserve"> Core blockchain and CBDC smart contract development: $2,000,000-$3,500,000. Security architecture and HSM integration: $500,000-$800,000. Participant management system: $300,000-$500,000. Settlement and reconciliation infrastructure: $400,000-$700,000. Compliance and audit evidence systems: $300,000-$500,000. Estimated minimum bespoke build: $3,500,000-$6,000,000 for initial pilot capability, before ongoing maintenance.</w:t>
      </w:r>
    </w:p>
    <w:p>
      <w:r>
        <w:rPr>
          <w:rFonts w:ascii="Figtree" w:hAnsi="Figtree"/>
          <w:b/>
          <w:i w:val="0"/>
          <w:sz w:val="22"/>
        </w:rPr>
        <w:t>Platform advantage:</w:t>
      </w:r>
      <w:r>
        <w:rPr>
          <w:rFonts w:ascii="Figtree" w:hAnsi="Figtree"/>
          <w:b w:val="0"/>
          <w:i w:val="0"/>
          <w:sz w:val="22"/>
        </w:rPr>
        <w:t xml:space="preserve"> DALP provides all of this as a configured platform. SAMA pays for platform licence and implementation services, not for development of capabilities that SettleMint has already built and validated in production.</w:t>
      </w:r>
    </w:p>
    <w:p>
      <w:r>
        <w:rPr>
          <w:rFonts w:ascii="Figtree" w:hAnsi="Figtree"/>
          <w:b/>
          <w:i w:val="0"/>
          <w:sz w:val="22"/>
        </w:rPr>
        <w:t>Project Aber continuity:</w:t>
      </w:r>
      <w:r>
        <w:rPr>
          <w:rFonts w:ascii="Figtree" w:hAnsi="Figtree"/>
          <w:b w:val="0"/>
          <w:i w:val="0"/>
          <w:sz w:val="22"/>
        </w:rPr>
        <w:t xml:space="preserve"> DALP runs on Hyperledger Besu with IBFT 2.0 consensus — the same technical stack used in Project Aber. This is not an incidental alignment; it means SAMA's technical team has existing institutional knowledge of the underlying infrastructure that reduces adoption risk and implementation timeline.</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570"/>
        <w:gridCol w:w="2268"/>
        <w:gridCol w:w="26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 (Bespoke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Advantage</w:t>
            </w:r>
          </w:p>
        </w:tc>
      </w:tr>
      <w:tr>
        <w:trPr>
          <w:trHeight w:val="425" w:hRule="atLeast"/>
        </w:trPr>
        <w:tc>
          <w:tcPr>
            <w:tcW w:type="dxa" w:w="2436"/>
            <w:vAlign w:val="center"/>
          </w:tcPr>
          <w:p>
            <w:pPr>
              <w:spacing w:line="276" w:lineRule="auto" w:before="0" w:after="0"/>
            </w:pPr>
            <w:r/>
            <w:r>
              <w:rPr>
                <w:rFonts w:ascii="Figtree" w:hAnsi="Figtree"/>
                <w:b w:val="0"/>
                <w:i w:val="0"/>
                <w:sz w:val="20"/>
              </w:rPr>
              <w:t>Initial capability</w:t>
            </w:r>
          </w:p>
        </w:tc>
        <w:tc>
          <w:tcPr>
            <w:tcW w:type="dxa" w:w="2436"/>
            <w:vAlign w:val="center"/>
          </w:tcPr>
          <w:p>
            <w:pPr>
              <w:spacing w:line="276" w:lineRule="auto" w:before="0" w:after="0"/>
            </w:pPr>
            <w:r/>
            <w:r>
              <w:rPr>
                <w:rFonts w:ascii="Figtree" w:hAnsi="Figtree"/>
                <w:b w:val="0"/>
                <w:i w:val="0"/>
                <w:sz w:val="20"/>
              </w:rPr>
              <w:t>$3.5M-$6M build cost</w:t>
            </w:r>
          </w:p>
        </w:tc>
        <w:tc>
          <w:tcPr>
            <w:tcW w:type="dxa" w:w="2436"/>
            <w:vAlign w:val="center"/>
          </w:tcPr>
          <w:p>
            <w:pPr>
              <w:spacing w:line="276" w:lineRule="auto" w:before="0" w:after="0"/>
            </w:pPr>
            <w:r/>
            <w:r>
              <w:rPr>
                <w:rFonts w:ascii="Figtree" w:hAnsi="Figtree"/>
                <w:b w:val="0"/>
                <w:i w:val="0"/>
                <w:sz w:val="20"/>
              </w:rPr>
              <w:t>$1.2M implementation + licence</w:t>
            </w:r>
          </w:p>
        </w:tc>
        <w:tc>
          <w:tcPr>
            <w:tcW w:type="dxa" w:w="2436"/>
            <w:vAlign w:val="center"/>
          </w:tcPr>
          <w:p>
            <w:pPr>
              <w:spacing w:line="276" w:lineRule="auto" w:before="0" w:after="0"/>
            </w:pPr>
            <w:r/>
            <w:r>
              <w:rPr>
                <w:rFonts w:ascii="Figtree" w:hAnsi="Figtree"/>
                <w:b w:val="0"/>
                <w:i w:val="0"/>
                <w:sz w:val="20"/>
              </w:rPr>
              <w:t>$2.3M-$4.8M Year 1 advantage</w:t>
            </w:r>
          </w:p>
        </w:tc>
      </w:tr>
      <w:tr>
        <w:trPr>
          <w:trHeight w:val="425" w:hRule="atLeast"/>
        </w:trPr>
        <w:tc>
          <w:tcPr>
            <w:tcW w:type="dxa" w:w="2436"/>
            <w:vAlign w:val="center"/>
          </w:tcPr>
          <w:p>
            <w:pPr>
              <w:spacing w:line="276" w:lineRule="auto" w:before="0" w:after="0"/>
            </w:pPr>
            <w:r/>
            <w:r>
              <w:rPr>
                <w:rFonts w:ascii="Figtree" w:hAnsi="Figtree"/>
                <w:b w:val="0"/>
                <w:i w:val="0"/>
                <w:sz w:val="20"/>
              </w:rPr>
              <w:t>Ongoing maintenance</w:t>
            </w:r>
          </w:p>
        </w:tc>
        <w:tc>
          <w:tcPr>
            <w:tcW w:type="dxa" w:w="2436"/>
            <w:vAlign w:val="center"/>
          </w:tcPr>
          <w:p>
            <w:pPr>
              <w:spacing w:line="276" w:lineRule="auto" w:before="0" w:after="0"/>
            </w:pPr>
            <w:r/>
            <w:r>
              <w:rPr>
                <w:rFonts w:ascii="Figtree" w:hAnsi="Figtree"/>
                <w:b w:val="0"/>
                <w:i w:val="0"/>
                <w:sz w:val="20"/>
              </w:rPr>
              <w:t>$1.0M-$1.5M/year (specialist team)</w:t>
            </w:r>
          </w:p>
        </w:tc>
        <w:tc>
          <w:tcPr>
            <w:tcW w:type="dxa" w:w="2436"/>
            <w:vAlign w:val="center"/>
          </w:tcPr>
          <w:p>
            <w:pPr>
              <w:spacing w:line="276" w:lineRule="auto" w:before="0" w:after="0"/>
            </w:pPr>
            <w:r/>
            <w:r>
              <w:rPr>
                <w:rFonts w:ascii="Figtree" w:hAnsi="Figtree"/>
                <w:b w:val="0"/>
                <w:i w:val="0"/>
                <w:sz w:val="20"/>
              </w:rPr>
              <w:t>$720K/year licence</w:t>
            </w:r>
          </w:p>
        </w:tc>
        <w:tc>
          <w:tcPr>
            <w:tcW w:type="dxa" w:w="2436"/>
            <w:vAlign w:val="center"/>
          </w:tcPr>
          <w:p>
            <w:pPr>
              <w:spacing w:line="276" w:lineRule="auto" w:before="0" w:after="0"/>
            </w:pPr>
            <w:r/>
            <w:r>
              <w:rPr>
                <w:rFonts w:ascii="Figtree" w:hAnsi="Figtree"/>
                <w:b w:val="0"/>
                <w:i w:val="0"/>
                <w:sz w:val="20"/>
              </w:rPr>
              <w:t>$280K-$780K annual</w:t>
            </w:r>
          </w:p>
        </w:tc>
      </w:tr>
      <w:tr>
        <w:trPr>
          <w:trHeight w:val="425" w:hRule="atLeast"/>
        </w:trPr>
        <w:tc>
          <w:tcPr>
            <w:tcW w:type="dxa" w:w="2436"/>
            <w:vAlign w:val="center"/>
          </w:tcPr>
          <w:p>
            <w:pPr>
              <w:spacing w:line="276" w:lineRule="auto" w:before="0" w:after="0"/>
            </w:pPr>
            <w:r/>
            <w:r>
              <w:rPr>
                <w:rFonts w:ascii="Figtree" w:hAnsi="Figtree"/>
                <w:b w:val="0"/>
                <w:i w:val="0"/>
                <w:sz w:val="20"/>
              </w:rPr>
              <w:t>Time-to-pilot</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18+ months earlier capability</w:t>
            </w:r>
          </w:p>
        </w:tc>
      </w:tr>
      <w:tr>
        <w:trPr>
          <w:trHeight w:val="425" w:hRule="atLeast"/>
        </w:trPr>
        <w:tc>
          <w:tcPr>
            <w:tcW w:type="dxa" w:w="2436"/>
            <w:vAlign w:val="center"/>
          </w:tcPr>
          <w:p>
            <w:pPr>
              <w:spacing w:line="276" w:lineRule="auto" w:before="0" w:after="0"/>
            </w:pPr>
            <w:r/>
            <w:r>
              <w:rPr>
                <w:rFonts w:ascii="Figtree" w:hAnsi="Figtree"/>
                <w:b w:val="0"/>
                <w:i w:val="0"/>
                <w:sz w:val="20"/>
              </w:rPr>
              <w:t>Examination readiness</w:t>
            </w:r>
          </w:p>
        </w:tc>
        <w:tc>
          <w:tcPr>
            <w:tcW w:type="dxa" w:w="2436"/>
            <w:vAlign w:val="center"/>
          </w:tcPr>
          <w:p>
            <w:pPr>
              <w:spacing w:line="276" w:lineRule="auto" w:before="0" w:after="0"/>
            </w:pPr>
            <w:r/>
            <w:r>
              <w:rPr>
                <w:rFonts w:ascii="Figtree" w:hAnsi="Figtree"/>
                <w:b w:val="0"/>
                <w:i w:val="0"/>
                <w:sz w:val="20"/>
              </w:rPr>
              <w:t>Must build</w:t>
            </w:r>
          </w:p>
        </w:tc>
        <w:tc>
          <w:tcPr>
            <w:tcW w:type="dxa" w:w="2436"/>
            <w:vAlign w:val="center"/>
          </w:tcPr>
          <w:p>
            <w:pPr>
              <w:spacing w:line="276" w:lineRule="auto" w:before="0" w:after="0"/>
            </w:pPr>
            <w:r/>
            <w:r>
              <w:rPr>
                <w:rFonts w:ascii="Figtree" w:hAnsi="Figtree"/>
                <w:b w:val="0"/>
                <w:i w:val="0"/>
                <w:sz w:val="20"/>
              </w:rPr>
              <w:t>Native platform</w:t>
            </w:r>
          </w:p>
        </w:tc>
        <w:tc>
          <w:tcPr>
            <w:tcW w:type="dxa" w:w="2436"/>
            <w:vAlign w:val="center"/>
          </w:tcPr>
          <w:p>
            <w:pPr>
              <w:spacing w:line="276" w:lineRule="auto" w:before="0" w:after="0"/>
            </w:pPr>
            <w:r/>
            <w:r>
              <w:rPr>
                <w:rFonts w:ascii="Figtree" w:hAnsi="Figtree"/>
                <w:b w:val="0"/>
                <w:i w:val="0"/>
                <w:sz w:val="20"/>
              </w:rPr>
              <w:t>$200K-$400K evidence system avoided</w:t>
            </w:r>
          </w:p>
        </w:tc>
      </w:tr>
    </w:tbl>
    <w:p>
      <w:pPr>
        <w:spacing w:before="0" w:after="0" w:line="120" w:lineRule="exact"/>
      </w:pPr>
    </w:p>
    <w:p>
      <w:r>
        <w:br w:type="page"/>
      </w:r>
    </w:p>
    <w:p>
      <w:pPr>
        <w:pStyle w:val="H1"/>
        <w:numPr>
          <w:ilvl w:val="0"/>
          <w:numId w:val="1"/>
        </w:numPr>
      </w:pPr>
      <w:r>
        <w:t>3. Licensing Model</w:t>
      </w:r>
    </w:p>
    <w:p>
      <w:pPr>
        <w:pStyle w:val="H2"/>
        <w:numPr>
          <w:ilvl w:val="1"/>
          <w:numId w:val="1"/>
        </w:numPr>
      </w:pPr>
      <w:r>
        <w:t>3.1 SAMA Licensing Philosophy</w:t>
      </w:r>
    </w:p>
    <w:p>
      <w:r>
        <w:rPr>
          <w:rFonts w:ascii="Figtree" w:hAnsi="Figtree"/>
          <w:b w:val="0"/>
          <w:i w:val="0"/>
          <w:sz w:val="22"/>
        </w:rPr>
        <w:t>SAMA's Digital Riyal pilot is a sovereign infrastructure programme. The licence structure must reflect:</w:t>
      </w:r>
    </w:p>
    <w:p>
      <w:pPr>
        <w:pStyle w:val="ListParagraph"/>
        <w:numPr>
          <w:ilvl w:val="0"/>
          <w:numId w:val="4"/>
        </w:numPr>
      </w:pPr>
      <w:r>
        <w:rPr>
          <w:rFonts w:ascii="Figtree" w:hAnsi="Figtree"/>
          <w:b w:val="0"/>
          <w:i w:val="0"/>
          <w:sz w:val="22"/>
        </w:rPr>
        <w:t>No transaction-based fees — SAMA cannot have escalating costs as Digital Riyal adoption grows</w:t>
      </w:r>
    </w:p>
    <w:p>
      <w:pPr>
        <w:pStyle w:val="ListParagraph"/>
        <w:numPr>
          <w:ilvl w:val="0"/>
          <w:numId w:val="4"/>
        </w:numPr>
      </w:pPr>
      <w:r>
        <w:rPr>
          <w:rFonts w:ascii="Figtree" w:hAnsi="Figtree"/>
          <w:b w:val="0"/>
          <w:i w:val="0"/>
          <w:sz w:val="22"/>
        </w:rPr>
        <w:t>No shared infrastructure — SAMA's deployment is completely isolated from other SettleMint clients</w:t>
      </w:r>
    </w:p>
    <w:p>
      <w:pPr>
        <w:pStyle w:val="ListParagraph"/>
        <w:numPr>
          <w:ilvl w:val="0"/>
          <w:numId w:val="4"/>
        </w:numPr>
      </w:pPr>
      <w:r>
        <w:rPr>
          <w:rFonts w:ascii="Figtree" w:hAnsi="Figtree"/>
          <w:b w:val="0"/>
          <w:i w:val="0"/>
          <w:sz w:val="22"/>
        </w:rPr>
        <w:t>No supplier access to operational controls — SAMA holds all keys, SAMA approves all access</w:t>
      </w:r>
    </w:p>
    <w:p>
      <w:r>
        <w:rPr>
          <w:rFonts w:ascii="Figtree" w:hAnsi="Figtree"/>
          <w:b w:val="0"/>
          <w:i w:val="0"/>
          <w:sz w:val="22"/>
        </w:rPr>
        <w:t>DALP's platform licence model is explicitly designed for this: a fixed annual fee covering all capabilities, all environments, and all participants, with no per-transaction or per-participant charge.</w:t>
      </w:r>
    </w:p>
    <w:p>
      <w:pPr>
        <w:pStyle w:val="H2"/>
        <w:numPr>
          <w:ilvl w:val="1"/>
          <w:numId w:val="1"/>
        </w:numPr>
      </w:pPr>
      <w:r>
        <w:t>3.2 Sovereign Tier — What's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99"/>
        <w:gridCol w:w="16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CBDC token types (digital currency, stablecoin)</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Unlimited environments</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SAMA-controlled key custody (Tier 3)</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Participant management (unlimited licensed FIs)</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All compliance modules (including CBDC-specific)</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Policy instrument delivery (Yield, Airdrop)</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Real-time SAMA monitoring dashboard</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Examination evidence export</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SARIE integration adapter</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Arabic language operational support</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BIS-compatible reporting output</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val="0"/>
                <w:i w:val="0"/>
                <w:sz w:val="20"/>
              </w:rPr>
              <w:t>All platform updates for licence term</w:t>
            </w:r>
          </w:p>
        </w:tc>
        <w:tc>
          <w:tcPr>
            <w:tcW w:type="dxa" w:w="4873"/>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3.3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71"/>
        <w:gridCol w:w="2577"/>
        <w:gridCol w:w="41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 for SAMA)</w:t>
            </w:r>
          </w:p>
        </w:tc>
      </w:tr>
      <w:tr>
        <w:trPr>
          <w:trHeight w:val="425" w:hRule="atLeast"/>
        </w:trPr>
        <w:tc>
          <w:tcPr>
            <w:tcW w:type="dxa" w:w="3249"/>
            <w:vAlign w:val="center"/>
          </w:tcPr>
          <w:p>
            <w:pPr>
              <w:spacing w:line="276" w:lineRule="auto" w:before="0" w:after="0"/>
            </w:pPr>
            <w:r/>
            <w:r>
              <w:rPr>
                <w:rFonts w:ascii="Figtree" w:hAnsi="Figtree"/>
                <w:b w:val="0"/>
                <w:i w:val="0"/>
                <w:sz w:val="20"/>
              </w:rPr>
              <w:t>Environments</w:t>
            </w:r>
          </w:p>
        </w:tc>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Unlimited</w:t>
            </w:r>
          </w:p>
        </w:tc>
      </w:tr>
      <w:tr>
        <w:trPr>
          <w:trHeight w:val="425" w:hRule="atLeast"/>
        </w:trPr>
        <w:tc>
          <w:tcPr>
            <w:tcW w:type="dxa" w:w="3249"/>
            <w:vAlign w:val="center"/>
          </w:tcPr>
          <w:p>
            <w:pPr>
              <w:spacing w:line="276" w:lineRule="auto" w:before="0" w:after="0"/>
            </w:pPr>
            <w:r/>
            <w:r>
              <w:rPr>
                <w:rFonts w:ascii="Figtree" w:hAnsi="Figtree"/>
                <w:b w:val="0"/>
                <w:i w:val="0"/>
                <w:sz w:val="20"/>
              </w:rPr>
              <w:t>Tenant isolation</w:t>
            </w:r>
          </w:p>
        </w:tc>
        <w:tc>
          <w:tcPr>
            <w:tcW w:type="dxa" w:w="3249"/>
            <w:vAlign w:val="center"/>
          </w:tcPr>
          <w:p>
            <w:pPr>
              <w:spacing w:line="276" w:lineRule="auto" w:before="0" w:after="0"/>
            </w:pPr>
            <w:r/>
            <w:r>
              <w:rPr>
                <w:rFonts w:ascii="Figtree" w:hAnsi="Figtree"/>
                <w:b w:val="0"/>
                <w:i w:val="0"/>
                <w:sz w:val="20"/>
              </w:rPr>
              <w:t>Dedicated software</w:t>
            </w:r>
          </w:p>
        </w:tc>
        <w:tc>
          <w:tcPr>
            <w:tcW w:type="dxa" w:w="3249"/>
            <w:vAlign w:val="center"/>
          </w:tcPr>
          <w:p>
            <w:pPr>
              <w:spacing w:line="276" w:lineRule="auto" w:before="0" w:after="0"/>
            </w:pPr>
            <w:r/>
            <w:r>
              <w:rPr>
                <w:rFonts w:ascii="Figtree" w:hAnsi="Figtree"/>
                <w:b w:val="0"/>
                <w:i w:val="0"/>
                <w:sz w:val="20"/>
              </w:rPr>
              <w:t>Fully isolated instance</w:t>
            </w:r>
          </w:p>
        </w:tc>
      </w:tr>
      <w:tr>
        <w:trPr>
          <w:trHeight w:val="425" w:hRule="atLeast"/>
        </w:trPr>
        <w:tc>
          <w:tcPr>
            <w:tcW w:type="dxa" w:w="3249"/>
            <w:vAlign w:val="center"/>
          </w:tcPr>
          <w:p>
            <w:pPr>
              <w:spacing w:line="276" w:lineRule="auto" w:before="0" w:after="0"/>
            </w:pPr>
            <w:r/>
            <w:r>
              <w:rPr>
                <w:rFonts w:ascii="Figtree" w:hAnsi="Figtree"/>
                <w:b w:val="0"/>
                <w:i w:val="0"/>
                <w:sz w:val="20"/>
              </w:rPr>
              <w:t>Key custody</w:t>
            </w:r>
          </w:p>
        </w:tc>
        <w:tc>
          <w:tcPr>
            <w:tcW w:type="dxa" w:w="3249"/>
            <w:vAlign w:val="center"/>
          </w:tcPr>
          <w:p>
            <w:pPr>
              <w:spacing w:line="276" w:lineRule="auto" w:before="0" w:after="0"/>
            </w:pPr>
            <w:r/>
            <w:r>
              <w:rPr>
                <w:rFonts w:ascii="Figtree" w:hAnsi="Figtree"/>
                <w:b w:val="0"/>
                <w:i w:val="0"/>
                <w:sz w:val="20"/>
              </w:rPr>
              <w:t>Managed HSM or Client HSM</w:t>
            </w:r>
          </w:p>
        </w:tc>
        <w:tc>
          <w:tcPr>
            <w:tcW w:type="dxa" w:w="3249"/>
            <w:vAlign w:val="center"/>
          </w:tcPr>
          <w:p>
            <w:pPr>
              <w:spacing w:line="276" w:lineRule="auto" w:before="0" w:after="0"/>
            </w:pPr>
            <w:r/>
            <w:r>
              <w:rPr>
                <w:rFonts w:ascii="Figtree" w:hAnsi="Figtree"/>
                <w:b w:val="0"/>
                <w:i w:val="0"/>
                <w:sz w:val="20"/>
              </w:rPr>
              <w:t>Client HSM — sovereign control mandatory</w:t>
            </w:r>
          </w:p>
        </w:tc>
      </w:tr>
      <w:tr>
        <w:trPr>
          <w:trHeight w:val="425" w:hRule="atLeast"/>
        </w:trPr>
        <w:tc>
          <w:tcPr>
            <w:tcW w:type="dxa" w:w="3249"/>
            <w:vAlign w:val="center"/>
          </w:tcPr>
          <w:p>
            <w:pPr>
              <w:spacing w:line="276" w:lineRule="auto" w:before="0" w:after="0"/>
            </w:pPr>
            <w:r/>
            <w:r>
              <w:rPr>
                <w:rFonts w:ascii="Figtree" w:hAnsi="Figtree"/>
                <w:b w:val="0"/>
                <w:i w:val="0"/>
                <w:sz w:val="20"/>
              </w:rPr>
              <w:t>Supply control</w:t>
            </w:r>
          </w:p>
        </w:tc>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CBDC minting controls</w:t>
            </w:r>
          </w:p>
        </w:tc>
      </w:tr>
      <w:tr>
        <w:trPr>
          <w:trHeight w:val="425" w:hRule="atLeast"/>
        </w:trPr>
        <w:tc>
          <w:tcPr>
            <w:tcW w:type="dxa" w:w="3249"/>
            <w:vAlign w:val="center"/>
          </w:tcPr>
          <w:p>
            <w:pPr>
              <w:spacing w:line="276" w:lineRule="auto" w:before="0" w:after="0"/>
            </w:pPr>
            <w:r/>
            <w:r>
              <w:rPr>
                <w:rFonts w:ascii="Figtree" w:hAnsi="Figtree"/>
                <w:b w:val="0"/>
                <w:i w:val="0"/>
                <w:sz w:val="20"/>
              </w:rPr>
              <w:t>SAMA-specific dashboard</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 — real-time monitoring</w:t>
            </w:r>
          </w:p>
        </w:tc>
      </w:tr>
      <w:tr>
        <w:trPr>
          <w:trHeight w:val="425" w:hRule="atLeast"/>
        </w:trPr>
        <w:tc>
          <w:tcPr>
            <w:tcW w:type="dxa" w:w="3249"/>
            <w:vAlign w:val="center"/>
          </w:tcPr>
          <w:p>
            <w:pPr>
              <w:spacing w:line="276" w:lineRule="auto" w:before="0" w:after="0"/>
            </w:pPr>
            <w:r/>
            <w:r>
              <w:rPr>
                <w:rFonts w:ascii="Figtree" w:hAnsi="Figtree"/>
                <w:b w:val="0"/>
                <w:i w:val="0"/>
                <w:sz w:val="20"/>
              </w:rPr>
              <w:t>BIS evidence output</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Annual licence</w:t>
            </w:r>
          </w:p>
        </w:tc>
        <w:tc>
          <w:tcPr>
            <w:tcW w:type="dxa" w:w="3249"/>
            <w:vAlign w:val="center"/>
          </w:tcPr>
          <w:p>
            <w:pPr>
              <w:spacing w:line="276" w:lineRule="auto" w:before="0" w:after="0"/>
            </w:pPr>
            <w:r/>
            <w:r>
              <w:rPr>
                <w:rFonts w:ascii="Figtree" w:hAnsi="Figtree"/>
                <w:b w:val="0"/>
                <w:i w:val="0"/>
                <w:sz w:val="20"/>
              </w:rPr>
              <w:t>$480,000</w:t>
            </w:r>
          </w:p>
        </w:tc>
        <w:tc>
          <w:tcPr>
            <w:tcW w:type="dxa" w:w="3249"/>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SAMA must use Sovereign tier.</w:t>
      </w:r>
      <w:r>
        <w:rPr>
          <w:rFonts w:ascii="Figtree" w:hAnsi="Figtree"/>
          <w:b w:val="0"/>
          <w:i w:val="0"/>
          <w:sz w:val="22"/>
        </w:rPr>
        <w:t xml:space="preserve"> The Enterprise tier does not include the sovereignty controls, isolated instance architecture, or CBDC-specific monitoring required for a national central bank deployment.</w:t>
      </w:r>
    </w:p>
    <w:p>
      <w:r>
        <w:br w:type="page"/>
      </w:r>
    </w:p>
    <w:p>
      <w:pPr>
        <w:pStyle w:val="H1"/>
        <w:numPr>
          <w:ilvl w:val="0"/>
          <w:numId w:val="1"/>
        </w:numPr>
      </w:pPr>
      <w:r>
        <w:t>4. Deployment Options and Pricing</w:t>
      </w:r>
    </w:p>
    <w:p>
      <w:pPr>
        <w:pStyle w:val="H2"/>
        <w:numPr>
          <w:ilvl w:val="1"/>
          <w:numId w:val="1"/>
        </w:numPr>
      </w:pPr>
      <w:r>
        <w:t>4.1 KSA-Region Private Cloud — Only Viable Option</w:t>
      </w:r>
    </w:p>
    <w:p>
      <w:r>
        <w:rPr>
          <w:rFonts w:ascii="Figtree" w:hAnsi="Figtree"/>
          <w:b w:val="0"/>
          <w:i w:val="0"/>
          <w:sz w:val="22"/>
        </w:rPr>
        <w:t>For SAMA's Digital Riyal pilot, only KSA-region private cloud deployment is acceptable. Managed SaaS would place SAMA's CBDC data outside KSA territory. On-premises is feasible but adds 10-16 weeks to implementation and significantly increases SAMA's IT infrastructure burden.</w:t>
      </w:r>
    </w:p>
    <w:p>
      <w:r>
        <w:rPr>
          <w:rFonts w:ascii="Figtree" w:hAnsi="Figtree"/>
          <w:b/>
          <w:i w:val="0"/>
          <w:sz w:val="22"/>
        </w:rPr>
        <w:t>Recommended:</w:t>
      </w:r>
      <w:r>
        <w:rPr>
          <w:rFonts w:ascii="Figtree" w:hAnsi="Figtree"/>
          <w:b w:val="0"/>
          <w:i w:val="0"/>
          <w:sz w:val="22"/>
        </w:rPr>
        <w:t xml:space="preserve"> AWS Middle East — Riyadh (me-south-1) or Azure KSA region. Both are accredited for financial services in KSA and provide the security posture required for SAMA's Cyber Security Framework compliance.</w:t>
      </w:r>
    </w:p>
    <w:p>
      <w:r>
        <w:rPr>
          <w:rFonts w:ascii="Figtree" w:hAnsi="Figtree"/>
          <w:b w:val="0"/>
          <w:i w:val="0"/>
          <w:sz w:val="22"/>
        </w:rPr>
        <w:t>Indicative annual infrastructure cost: $144,000. Basis: AWS me-south-1 infrastructure — 4 Besu validator nodes (r6g.2xlarge for CBDC workload), 2 application instances (m6g.4xlarge), RDS for PostgreSQL (db.r6g.2xlarge, multi-AZ), ElastiCache Redis, Secrets Manager (KMS), WAF + Shield Advanced, CloudWatch, and S3 for log/backup storage, both primary and DR availability zones in KSA.</w:t>
      </w:r>
    </w:p>
    <w:p>
      <w:pPr>
        <w:pStyle w:val="H2"/>
        <w:numPr>
          <w:ilvl w:val="1"/>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649"/>
        <w:gridCol w:w="1649"/>
        <w:gridCol w:w="1649"/>
        <w:gridCol w:w="164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Sovereign Licence</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$2,160,000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(KSA)</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CBDC-Enhanced Support</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$648,000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$36,000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w:t>
            </w:r>
          </w:p>
        </w:tc>
        <w:tc>
          <w:tcPr>
            <w:tcW w:type="dxa" w:w="1949"/>
            <w:vAlign w:val="center"/>
          </w:tcPr>
          <w:p>
            <w:pPr>
              <w:spacing w:line="276" w:lineRule="auto" w:before="0" w:after="0"/>
            </w:pPr>
            <w:r/>
            <w:r>
              <w:rPr>
                <w:rFonts w:ascii="Figtree" w:hAnsi="Figtree"/>
                <w:b w:val="0"/>
                <w:i w:val="0"/>
                <w:sz w:val="20"/>
              </w:rPr>
              <w:t>$54,000</w:t>
            </w:r>
          </w:p>
        </w:tc>
      </w:tr>
      <w:tr>
        <w:trPr>
          <w:trHeight w:val="425" w:hRule="atLeast"/>
        </w:trPr>
        <w:tc>
          <w:tcPr>
            <w:tcW w:type="dxa" w:w="1949"/>
            <w:vAlign w:val="center"/>
          </w:tcPr>
          <w:p>
            <w:pPr>
              <w:spacing w:line="276" w:lineRule="auto" w:before="0" w:after="0"/>
            </w:pPr>
            <w:r/>
            <w:r>
              <w:rPr>
                <w:rFonts w:ascii="Figtree" w:hAnsi="Figtree"/>
                <w:b w:val="0"/>
                <w:i w:val="0"/>
                <w:sz w:val="20"/>
              </w:rPr>
              <w:t>HSM Commissioning</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$1,656,000</w:t>
            </w:r>
          </w:p>
        </w:tc>
        <w:tc>
          <w:tcPr>
            <w:tcW w:type="dxa" w:w="1949"/>
            <w:vAlign w:val="center"/>
          </w:tcPr>
          <w:p>
            <w:pPr>
              <w:spacing w:line="276" w:lineRule="auto" w:before="0" w:after="0"/>
            </w:pPr>
            <w:r/>
            <w:r>
              <w:rPr>
                <w:rFonts w:ascii="Figtree" w:hAnsi="Figtree"/>
                <w:b/>
                <w:i w:val="0"/>
                <w:sz w:val="20"/>
              </w:rPr>
              <w:t>$1,080,000</w:t>
            </w:r>
          </w:p>
        </w:tc>
        <w:tc>
          <w:tcPr>
            <w:tcW w:type="dxa" w:w="1949"/>
            <w:vAlign w:val="center"/>
          </w:tcPr>
          <w:p>
            <w:pPr>
              <w:spacing w:line="276" w:lineRule="auto" w:before="0" w:after="0"/>
            </w:pPr>
            <w:r/>
            <w:r>
              <w:rPr>
                <w:rFonts w:ascii="Figtree" w:hAnsi="Figtree"/>
                <w:b/>
                <w:i w:val="0"/>
                <w:sz w:val="20"/>
              </w:rPr>
              <w:t>$1,098,000</w:t>
            </w:r>
          </w:p>
        </w:tc>
        <w:tc>
          <w:tcPr>
            <w:tcW w:type="dxa" w:w="1949"/>
            <w:vAlign w:val="center"/>
          </w:tcPr>
          <w:p>
            <w:pPr>
              <w:spacing w:line="276" w:lineRule="auto" w:before="0" w:after="0"/>
            </w:pPr>
            <w:r/>
            <w:r>
              <w:rPr>
                <w:rFonts w:ascii="Figtree" w:hAnsi="Figtree"/>
                <w:b/>
                <w:i w:val="0"/>
                <w:sz w:val="20"/>
              </w:rPr>
              <w:t>$3,834,000</w:t>
            </w:r>
          </w:p>
        </w:tc>
      </w:tr>
    </w:tbl>
    <w:p>
      <w:pPr>
        <w:spacing w:before="0" w:after="0" w:line="120" w:lineRule="exact"/>
      </w:pPr>
    </w:p>
    <w:p>
      <w:pPr>
        <w:pStyle w:val="H2"/>
        <w:numPr>
          <w:ilvl w:val="1"/>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7"/>
        <w:gridCol w:w="1944"/>
        <w:gridCol w:w="33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HSM type (Thales Luna vs alternative)</w:t>
            </w:r>
          </w:p>
        </w:tc>
        <w:tc>
          <w:tcPr>
            <w:tcW w:type="dxa" w:w="3249"/>
            <w:vAlign w:val="center"/>
          </w:tcPr>
          <w:p>
            <w:pPr>
              <w:spacing w:line="276" w:lineRule="auto" w:before="0" w:after="0"/>
            </w:pPr>
            <w:r/>
            <w:r>
              <w:rPr>
                <w:rFonts w:ascii="Figtree" w:hAnsi="Figtree"/>
                <w:b w:val="0"/>
                <w:i w:val="0"/>
                <w:sz w:val="20"/>
              </w:rPr>
              <w:t>$40,000-$80,000 one-time</w:t>
            </w:r>
          </w:p>
        </w:tc>
        <w:tc>
          <w:tcPr>
            <w:tcW w:type="dxa" w:w="3249"/>
            <w:vAlign w:val="center"/>
          </w:tcPr>
          <w:p>
            <w:pPr>
              <w:spacing w:line="276" w:lineRule="auto" w:before="0" w:after="0"/>
            </w:pPr>
            <w:r/>
            <w:r>
              <w:rPr>
                <w:rFonts w:ascii="Figtree" w:hAnsi="Figtree"/>
                <w:b w:val="0"/>
                <w:i w:val="0"/>
                <w:sz w:val="20"/>
              </w:rPr>
              <w:t>FIPS 140-2 Level 3 certification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Additional participant bank integration support</w:t>
            </w:r>
          </w:p>
        </w:tc>
        <w:tc>
          <w:tcPr>
            <w:tcW w:type="dxa" w:w="3249"/>
            <w:vAlign w:val="center"/>
          </w:tcPr>
          <w:p>
            <w:pPr>
              <w:spacing w:line="276" w:lineRule="auto" w:before="0" w:after="0"/>
            </w:pPr>
            <w:r/>
            <w:r>
              <w:rPr>
                <w:rFonts w:ascii="Figtree" w:hAnsi="Figtree"/>
                <w:b w:val="0"/>
                <w:i w:val="0"/>
                <w:sz w:val="20"/>
              </w:rPr>
              <w:t>$20,000-$40,000/bank</w:t>
            </w:r>
          </w:p>
        </w:tc>
        <w:tc>
          <w:tcPr>
            <w:tcW w:type="dxa" w:w="3249"/>
            <w:vAlign w:val="center"/>
          </w:tcPr>
          <w:p>
            <w:pPr>
              <w:spacing w:line="276" w:lineRule="auto" w:before="0" w:after="0"/>
            </w:pPr>
            <w:r/>
            <w:r>
              <w:rPr>
                <w:rFonts w:ascii="Figtree" w:hAnsi="Figtree"/>
                <w:b w:val="0"/>
                <w:i w:val="0"/>
                <w:sz w:val="20"/>
              </w:rPr>
              <w:t>If extensive custom integration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BIS-specific reporting format development</w:t>
            </w:r>
          </w:p>
        </w:tc>
        <w:tc>
          <w:tcPr>
            <w:tcW w:type="dxa" w:w="3249"/>
            <w:vAlign w:val="center"/>
          </w:tcPr>
          <w:p>
            <w:pPr>
              <w:spacing w:line="276" w:lineRule="auto" w:before="0" w:after="0"/>
            </w:pPr>
            <w:r/>
            <w:r>
              <w:rPr>
                <w:rFonts w:ascii="Figtree" w:hAnsi="Figtree"/>
                <w:b w:val="0"/>
                <w:i w:val="0"/>
                <w:sz w:val="20"/>
              </w:rPr>
              <w:t>$25,000-$50,000</w:t>
            </w:r>
          </w:p>
        </w:tc>
        <w:tc>
          <w:tcPr>
            <w:tcW w:type="dxa" w:w="3249"/>
            <w:vAlign w:val="center"/>
          </w:tcPr>
          <w:p>
            <w:pPr>
              <w:spacing w:line="276" w:lineRule="auto" w:before="0" w:after="0"/>
            </w:pPr>
            <w:r/>
            <w:r>
              <w:rPr>
                <w:rFonts w:ascii="Figtree" w:hAnsi="Figtree"/>
                <w:b w:val="0"/>
                <w:i w:val="0"/>
                <w:sz w:val="20"/>
              </w:rPr>
              <w:t>If non-standard format required</w:t>
            </w:r>
          </w:p>
        </w:tc>
      </w:tr>
      <w:tr>
        <w:trPr>
          <w:trHeight w:val="425" w:hRule="atLeast"/>
        </w:trPr>
        <w:tc>
          <w:tcPr>
            <w:tcW w:type="dxa" w:w="3249"/>
            <w:vAlign w:val="center"/>
          </w:tcPr>
          <w:p>
            <w:pPr>
              <w:spacing w:line="276" w:lineRule="auto" w:before="0" w:after="0"/>
            </w:pPr>
            <w:r/>
            <w:r>
              <w:rPr>
                <w:rFonts w:ascii="Figtree" w:hAnsi="Figtree"/>
                <w:b w:val="0"/>
                <w:i w:val="0"/>
                <w:sz w:val="20"/>
              </w:rPr>
              <w:t>Expanded pilot to retail CBDC scope</w:t>
            </w:r>
          </w:p>
        </w:tc>
        <w:tc>
          <w:tcPr>
            <w:tcW w:type="dxa" w:w="3249"/>
            <w:vAlign w:val="center"/>
          </w:tcPr>
          <w:p>
            <w:pPr>
              <w:spacing w:line="276" w:lineRule="auto" w:before="0" w:after="0"/>
            </w:pPr>
            <w:r/>
            <w:r>
              <w:rPr>
                <w:rFonts w:ascii="Figtree" w:hAnsi="Figtree"/>
                <w:b w:val="0"/>
                <w:i w:val="0"/>
                <w:sz w:val="20"/>
              </w:rPr>
              <w:t>Licence tier review</w:t>
            </w:r>
          </w:p>
        </w:tc>
        <w:tc>
          <w:tcPr>
            <w:tcW w:type="dxa" w:w="3249"/>
            <w:vAlign w:val="center"/>
          </w:tcPr>
          <w:p>
            <w:pPr>
              <w:spacing w:line="276" w:lineRule="auto" w:before="0" w:after="0"/>
            </w:pPr>
            <w:r/>
            <w:r>
              <w:rPr>
                <w:rFonts w:ascii="Figtree" w:hAnsi="Figtree"/>
                <w:b w:val="0"/>
                <w:i w:val="0"/>
                <w:sz w:val="20"/>
              </w:rPr>
              <w:t>Requires separate commercial discussion</w:t>
            </w:r>
          </w:p>
        </w:tc>
      </w:tr>
      <w:tr>
        <w:trPr>
          <w:trHeight w:val="425" w:hRule="atLeast"/>
        </w:trPr>
        <w:tc>
          <w:tcPr>
            <w:tcW w:type="dxa" w:w="3249"/>
            <w:vAlign w:val="center"/>
          </w:tcPr>
          <w:p>
            <w:pPr>
              <w:spacing w:line="276" w:lineRule="auto" w:before="0" w:after="0"/>
            </w:pPr>
            <w:r/>
            <w:r>
              <w:rPr>
                <w:rFonts w:ascii="Figtree" w:hAnsi="Figtree"/>
                <w:b w:val="0"/>
                <w:i w:val="0"/>
                <w:sz w:val="20"/>
              </w:rPr>
              <w:t>Cross-border GCC CBDC interoperability</w:t>
            </w:r>
          </w:p>
        </w:tc>
        <w:tc>
          <w:tcPr>
            <w:tcW w:type="dxa" w:w="3249"/>
            <w:vAlign w:val="center"/>
          </w:tcPr>
          <w:p>
            <w:pPr>
              <w:spacing w:line="276" w:lineRule="auto" w:before="0" w:after="0"/>
            </w:pPr>
            <w:r/>
            <w:r>
              <w:rPr>
                <w:rFonts w:ascii="Figtree" w:hAnsi="Figtree"/>
                <w:b w:val="0"/>
                <w:i w:val="0"/>
                <w:sz w:val="20"/>
              </w:rPr>
              <w:t>Scope extension</w:t>
            </w:r>
          </w:p>
        </w:tc>
        <w:tc>
          <w:tcPr>
            <w:tcW w:type="dxa" w:w="3249"/>
            <w:vAlign w:val="center"/>
          </w:tcPr>
          <w:p>
            <w:pPr>
              <w:spacing w:line="276" w:lineRule="auto" w:before="0" w:after="0"/>
            </w:pPr>
            <w:r/>
            <w:r>
              <w:rPr>
                <w:rFonts w:ascii="Figtree" w:hAnsi="Figtree"/>
                <w:b w:val="0"/>
                <w:i w:val="0"/>
                <w:sz w:val="20"/>
              </w:rPr>
              <w:t>Addendum to programme if required</w:t>
            </w:r>
          </w:p>
        </w:tc>
      </w:tr>
      <w:tr>
        <w:trPr>
          <w:trHeight w:val="425" w:hRule="atLeast"/>
        </w:trPr>
        <w:tc>
          <w:tcPr>
            <w:tcW w:type="dxa" w:w="3249"/>
            <w:vAlign w:val="center"/>
          </w:tcPr>
          <w:p>
            <w:pPr>
              <w:spacing w:line="276" w:lineRule="auto" w:before="0" w:after="0"/>
            </w:pPr>
            <w:r/>
            <w:r>
              <w:rPr>
                <w:rFonts w:ascii="Figtree" w:hAnsi="Figtree"/>
                <w:b w:val="0"/>
                <w:i w:val="0"/>
                <w:sz w:val="20"/>
              </w:rPr>
              <w:t>3-year committed discount</w:t>
            </w:r>
          </w:p>
        </w:tc>
        <w:tc>
          <w:tcPr>
            <w:tcW w:type="dxa" w:w="3249"/>
            <w:vAlign w:val="center"/>
          </w:tcPr>
          <w:p>
            <w:pPr>
              <w:spacing w:line="276" w:lineRule="auto" w:before="0" w:after="0"/>
            </w:pPr>
            <w:r/>
            <w:r>
              <w:rPr>
                <w:rFonts w:ascii="Figtree" w:hAnsi="Figtree"/>
                <w:b w:val="0"/>
                <w:i w:val="0"/>
                <w:sz w:val="20"/>
              </w:rPr>
              <w:t>-10% on licence</w:t>
            </w:r>
          </w:p>
        </w:tc>
        <w:tc>
          <w:tcPr>
            <w:tcW w:type="dxa" w:w="3249"/>
            <w:vAlign w:val="center"/>
          </w:tcPr>
          <w:p>
            <w:pPr>
              <w:spacing w:line="276" w:lineRule="auto" w:before="0" w:after="0"/>
            </w:pPr>
            <w:r/>
            <w:r>
              <w:rPr>
                <w:rFonts w:ascii="Figtree" w:hAnsi="Figtree"/>
                <w:b w:val="0"/>
                <w:i w:val="0"/>
                <w:sz w:val="20"/>
              </w:rPr>
              <w:t>$216,000 saving</w:t>
            </w:r>
          </w:p>
        </w:tc>
      </w:tr>
    </w:tbl>
    <w:p>
      <w:pPr>
        <w:spacing w:before="0" w:after="0" w:line="120" w:lineRule="exact"/>
      </w:pPr>
    </w:p>
    <w:p>
      <w:r>
        <w:br w:type="page"/>
      </w:r>
    </w:p>
    <w:p>
      <w:pPr>
        <w:pStyle w:val="H1"/>
        <w:numPr>
          <w:ilvl w:val="0"/>
          <w:numId w:val="1"/>
        </w:numPr>
      </w:pPr>
      <w:r>
        <w:t>5. Support and SLA Framework</w:t>
      </w:r>
    </w:p>
    <w:p>
      <w:pPr>
        <w:pStyle w:val="H2"/>
        <w:numPr>
          <w:ilvl w:val="1"/>
          <w:numId w:val="1"/>
        </w:numPr>
      </w:pPr>
      <w:r>
        <w:t>5.1 CBDC-Enhanced Support Tier</w:t>
      </w:r>
    </w:p>
    <w:p>
      <w:r>
        <w:rPr>
          <w:rFonts w:ascii="Figtree" w:hAnsi="Figtree"/>
          <w:b w:val="0"/>
          <w:i w:val="0"/>
          <w:sz w:val="22"/>
        </w:rPr>
        <w:t>SAMA's Digital Riyal pilot requires support obligations beyond standard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40"/>
        <w:gridCol w:w="46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CBDC-Enhanced (Recommended)</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24/7</w:t>
            </w:r>
          </w:p>
        </w:tc>
        <w:tc>
          <w:tcPr>
            <w:tcW w:type="dxa" w:w="3249"/>
            <w:vAlign w:val="center"/>
          </w:tcPr>
          <w:p>
            <w:pPr>
              <w:spacing w:line="276" w:lineRule="auto" w:before="0" w:after="0"/>
            </w:pPr>
            <w:r/>
            <w:r>
              <w:rPr>
                <w:rFonts w:ascii="Figtree" w:hAnsi="Figtree"/>
                <w:b w:val="0"/>
                <w:i w:val="0"/>
                <w:sz w:val="20"/>
              </w:rPr>
              <w:t>24/7 with SAMA-dedicated channel</w:t>
            </w:r>
          </w:p>
        </w:tc>
      </w:tr>
      <w:tr>
        <w:trPr>
          <w:trHeight w:val="425" w:hRule="atLeast"/>
        </w:trPr>
        <w:tc>
          <w:tcPr>
            <w:tcW w:type="dxa" w:w="3249"/>
            <w:vAlign w:val="center"/>
          </w:tcPr>
          <w:p>
            <w:pPr>
              <w:spacing w:line="276" w:lineRule="auto" w:before="0" w:after="0"/>
            </w:pPr>
            <w:r/>
            <w:r>
              <w:rPr>
                <w:rFonts w:ascii="Figtree" w:hAnsi="Figtree"/>
                <w:b w:val="0"/>
                <w:i w:val="0"/>
                <w:sz w:val="20"/>
              </w:rPr>
              <w:t>P1 initial response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P1 resolution target</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Production uptime 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Named technical lead</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Yes — CBDC specialist</w:t>
            </w:r>
          </w:p>
        </w:tc>
      </w:tr>
      <w:tr>
        <w:trPr>
          <w:trHeight w:val="425" w:hRule="atLeast"/>
        </w:trPr>
        <w:tc>
          <w:tcPr>
            <w:tcW w:type="dxa" w:w="3249"/>
            <w:vAlign w:val="center"/>
          </w:tcPr>
          <w:p>
            <w:pPr>
              <w:spacing w:line="276" w:lineRule="auto" w:before="0" w:after="0"/>
            </w:pPr>
            <w:r/>
            <w:r>
              <w:rPr>
                <w:rFonts w:ascii="Figtree" w:hAnsi="Figtree"/>
                <w:b w:val="0"/>
                <w:i w:val="0"/>
                <w:sz w:val="20"/>
              </w:rPr>
              <w:t>Communication channel</w:t>
            </w:r>
          </w:p>
        </w:tc>
        <w:tc>
          <w:tcPr>
            <w:tcW w:type="dxa" w:w="3249"/>
            <w:vAlign w:val="center"/>
          </w:tcPr>
          <w:p>
            <w:pPr>
              <w:spacing w:line="276" w:lineRule="auto" w:before="0" w:after="0"/>
            </w:pPr>
            <w:r/>
            <w:r>
              <w:rPr>
                <w:rFonts w:ascii="Figtree" w:hAnsi="Figtree"/>
                <w:b w:val="0"/>
                <w:i w:val="0"/>
                <w:sz w:val="20"/>
              </w:rPr>
              <w:t>Slack</w:t>
            </w:r>
          </w:p>
        </w:tc>
        <w:tc>
          <w:tcPr>
            <w:tcW w:type="dxa" w:w="3249"/>
            <w:vAlign w:val="center"/>
          </w:tcPr>
          <w:p>
            <w:pPr>
              <w:spacing w:line="276" w:lineRule="auto" w:before="0" w:after="0"/>
            </w:pPr>
            <w:r/>
            <w:r>
              <w:rPr>
                <w:rFonts w:ascii="Figtree" w:hAnsi="Figtree"/>
                <w:b w:val="0"/>
                <w:i w:val="0"/>
                <w:sz w:val="20"/>
              </w:rPr>
              <w:t>Encrypted SAMA-dedicated channel</w:t>
            </w:r>
          </w:p>
        </w:tc>
      </w:tr>
      <w:tr>
        <w:trPr>
          <w:trHeight w:val="425" w:hRule="atLeast"/>
        </w:trPr>
        <w:tc>
          <w:tcPr>
            <w:tcW w:type="dxa" w:w="3249"/>
            <w:vAlign w:val="center"/>
          </w:tcPr>
          <w:p>
            <w:pPr>
              <w:spacing w:line="276" w:lineRule="auto" w:before="0" w:after="0"/>
            </w:pPr>
            <w:r/>
            <w:r>
              <w:rPr>
                <w:rFonts w:ascii="Figtree" w:hAnsi="Figtree"/>
                <w:b w:val="0"/>
                <w:i w:val="0"/>
                <w:sz w:val="20"/>
              </w:rPr>
              <w:t>Arabic support</w:t>
            </w:r>
          </w:p>
        </w:tc>
        <w:tc>
          <w:tcPr>
            <w:tcW w:type="dxa" w:w="3249"/>
            <w:vAlign w:val="center"/>
          </w:tcPr>
          <w:p>
            <w:pPr>
              <w:spacing w:line="276" w:lineRule="auto" w:before="0" w:after="0"/>
            </w:pPr>
            <w:r/>
            <w:r>
              <w:rPr>
                <w:rFonts w:ascii="Figtree" w:hAnsi="Figtree"/>
                <w:b w:val="0"/>
                <w:i w:val="0"/>
                <w:sz w:val="20"/>
              </w:rPr>
              <w:t>On request</w:t>
            </w:r>
          </w:p>
        </w:tc>
        <w:tc>
          <w:tcPr>
            <w:tcW w:type="dxa" w:w="3249"/>
            <w:vAlign w:val="center"/>
          </w:tcPr>
          <w:p>
            <w:pPr>
              <w:spacing w:line="276" w:lineRule="auto" w:before="0" w:after="0"/>
            </w:pPr>
            <w:r/>
            <w:r>
              <w:rPr>
                <w:rFonts w:ascii="Figtree" w:hAnsi="Figtree"/>
                <w:b w:val="0"/>
                <w:i w:val="0"/>
                <w:sz w:val="20"/>
              </w:rPr>
              <w:t>Standard</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$144,000</w:t>
            </w:r>
          </w:p>
        </w:tc>
        <w:tc>
          <w:tcPr>
            <w:tcW w:type="dxa" w:w="3249"/>
            <w:vAlign w:val="center"/>
          </w:tcPr>
          <w:p>
            <w:pPr>
              <w:spacing w:line="276" w:lineRule="auto" w:before="0" w:after="0"/>
            </w:pPr>
            <w:r/>
            <w:r>
              <w:rPr>
                <w:rFonts w:ascii="Figtree" w:hAnsi="Figtree"/>
                <w:b w:val="0"/>
                <w:i w:val="0"/>
                <w:sz w:val="20"/>
              </w:rPr>
              <w:t>$216,000</w:t>
            </w:r>
          </w:p>
        </w:tc>
      </w:tr>
    </w:tbl>
    <w:p>
      <w:pPr>
        <w:spacing w:before="0" w:after="0" w:line="120" w:lineRule="exact"/>
      </w:pPr>
    </w:p>
    <w:p>
      <w:pPr>
        <w:pStyle w:val="H2"/>
        <w:numPr>
          <w:ilvl w:val="1"/>
          <w:numId w:val="1"/>
        </w:numPr>
      </w:pPr>
      <w:r>
        <w:t>5.2 Severity Definitions for 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0"/>
        <w:gridCol w:w="760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SAMA-Specific Definition</w:t>
            </w:r>
          </w:p>
        </w:tc>
      </w:tr>
      <w:tr>
        <w:trPr>
          <w:trHeight w:val="425" w:hRule="atLeast"/>
        </w:trPr>
        <w:tc>
          <w:tcPr>
            <w:tcW w:type="dxa" w:w="4873"/>
            <w:vAlign w:val="center"/>
          </w:tcPr>
          <w:p>
            <w:pPr>
              <w:spacing w:line="276" w:lineRule="auto" w:before="0" w:after="0"/>
            </w:pPr>
            <w:r/>
            <w:r>
              <w:rPr>
                <w:rFonts w:ascii="Figtree" w:hAnsi="Figtree"/>
                <w:b w:val="0"/>
                <w:i w:val="0"/>
                <w:sz w:val="20"/>
              </w:rPr>
              <w:t>P1 — Critical</w:t>
            </w:r>
          </w:p>
        </w:tc>
        <w:tc>
          <w:tcPr>
            <w:tcW w:type="dxa" w:w="4873"/>
            <w:vAlign w:val="center"/>
          </w:tcPr>
          <w:p>
            <w:pPr>
              <w:spacing w:line="276" w:lineRule="auto" w:before="0" w:after="0"/>
            </w:pPr>
            <w:r/>
            <w:r>
              <w:rPr>
                <w:rFonts w:ascii="Figtree" w:hAnsi="Figtree"/>
                <w:b w:val="0"/>
                <w:i w:val="0"/>
                <w:sz w:val="20"/>
              </w:rPr>
              <w:t>Digital Riyal transfers failing, SAMA minting unavailable, HSM unreachable, settlement queue frozen</w:t>
            </w:r>
          </w:p>
        </w:tc>
      </w:tr>
      <w:tr>
        <w:trPr>
          <w:trHeight w:val="425" w:hRule="atLeast"/>
        </w:trPr>
        <w:tc>
          <w:tcPr>
            <w:tcW w:type="dxa" w:w="4873"/>
            <w:vAlign w:val="center"/>
          </w:tcPr>
          <w:p>
            <w:pPr>
              <w:spacing w:line="276" w:lineRule="auto" w:before="0" w:after="0"/>
            </w:pPr>
            <w:r/>
            <w:r>
              <w:rPr>
                <w:rFonts w:ascii="Figtree" w:hAnsi="Figtree"/>
                <w:b w:val="0"/>
                <w:i w:val="0"/>
                <w:sz w:val="20"/>
              </w:rPr>
              <w:t>P2 — High</w:t>
            </w:r>
          </w:p>
        </w:tc>
        <w:tc>
          <w:tcPr>
            <w:tcW w:type="dxa" w:w="4873"/>
            <w:vAlign w:val="center"/>
          </w:tcPr>
          <w:p>
            <w:pPr>
              <w:spacing w:line="276" w:lineRule="auto" w:before="0" w:after="0"/>
            </w:pPr>
            <w:r/>
            <w:r>
              <w:rPr>
                <w:rFonts w:ascii="Figtree" w:hAnsi="Figtree"/>
                <w:b w:val="0"/>
                <w:i w:val="0"/>
                <w:sz w:val="20"/>
              </w:rPr>
              <w:t>SARIE reconciliation failure, participant portal down, monitoring dashboard unavailable</w:t>
            </w:r>
          </w:p>
        </w:tc>
      </w:tr>
      <w:tr>
        <w:trPr>
          <w:trHeight w:val="425" w:hRule="atLeast"/>
        </w:trPr>
        <w:tc>
          <w:tcPr>
            <w:tcW w:type="dxa" w:w="4873"/>
            <w:vAlign w:val="center"/>
          </w:tcPr>
          <w:p>
            <w:pPr>
              <w:spacing w:line="276" w:lineRule="auto" w:before="0" w:after="0"/>
            </w:pPr>
            <w:r/>
            <w:r>
              <w:rPr>
                <w:rFonts w:ascii="Figtree" w:hAnsi="Figtree"/>
                <w:b w:val="0"/>
                <w:i w:val="0"/>
                <w:sz w:val="20"/>
              </w:rPr>
              <w:t>P3 — Medium</w:t>
            </w:r>
          </w:p>
        </w:tc>
        <w:tc>
          <w:tcPr>
            <w:tcW w:type="dxa" w:w="4873"/>
            <w:vAlign w:val="center"/>
          </w:tcPr>
          <w:p>
            <w:pPr>
              <w:spacing w:line="276" w:lineRule="auto" w:before="0" w:after="0"/>
            </w:pPr>
            <w:r/>
            <w:r>
              <w:rPr>
                <w:rFonts w:ascii="Figtree" w:hAnsi="Figtree"/>
                <w:b w:val="0"/>
                <w:i w:val="0"/>
                <w:sz w:val="20"/>
              </w:rPr>
              <w:t>Non-critical reporting delay, non-essential API latency</w:t>
            </w:r>
          </w:p>
        </w:tc>
      </w:tr>
      <w:tr>
        <w:trPr>
          <w:trHeight w:val="425" w:hRule="atLeast"/>
        </w:trPr>
        <w:tc>
          <w:tcPr>
            <w:tcW w:type="dxa" w:w="4873"/>
            <w:vAlign w:val="center"/>
          </w:tcPr>
          <w:p>
            <w:pPr>
              <w:spacing w:line="276" w:lineRule="auto" w:before="0" w:after="0"/>
            </w:pPr>
            <w:r/>
            <w:r>
              <w:rPr>
                <w:rFonts w:ascii="Figtree" w:hAnsi="Figtree"/>
                <w:b w:val="0"/>
                <w:i w:val="0"/>
                <w:sz w:val="20"/>
              </w:rPr>
              <w:t>P4 — Low</w:t>
            </w:r>
          </w:p>
        </w:tc>
        <w:tc>
          <w:tcPr>
            <w:tcW w:type="dxa" w:w="4873"/>
            <w:vAlign w:val="center"/>
          </w:tcPr>
          <w:p>
            <w:pPr>
              <w:spacing w:line="276" w:lineRule="auto" w:before="0" w:after="0"/>
            </w:pPr>
            <w:r/>
            <w:r>
              <w:rPr>
                <w:rFonts w:ascii="Figtree" w:hAnsi="Figtree"/>
                <w:b w:val="0"/>
                <w:i w:val="0"/>
                <w:sz w:val="20"/>
              </w:rPr>
              <w:t>Documentation, enhancement request</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5"/>
        <w:gridCol w:w="954"/>
        <w:gridCol w:w="3183"/>
        <w:gridCol w:w="22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Max Monthly Downtime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2436"/>
            <w:vAlign w:val="center"/>
          </w:tcPr>
          <w:p>
            <w:pPr>
              <w:spacing w:line="276" w:lineRule="auto" w:before="0" w:after="0"/>
            </w:pPr>
            <w:r/>
            <w:r>
              <w:rPr>
                <w:rFonts w:ascii="Figtree" w:hAnsi="Figtree"/>
                <w:b w:val="0"/>
                <w:i w:val="0"/>
                <w:sz w:val="20"/>
              </w:rPr>
              <w:t>Production (CBDC)</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21.9 min/month</w:t>
            </w:r>
          </w:p>
        </w:tc>
        <w:tc>
          <w:tcPr>
            <w:tcW w:type="dxa" w:w="2436"/>
            <w:vAlign w:val="center"/>
          </w:tcPr>
          <w:p>
            <w:pPr>
              <w:spacing w:line="276" w:lineRule="auto" w:before="0" w:after="0"/>
            </w:pPr>
            <w:r/>
            <w:r>
              <w:rPr>
                <w:rFonts w:ascii="Figtree" w:hAnsi="Figtree"/>
                <w:b w:val="0"/>
                <w:i w:val="0"/>
                <w:sz w:val="20"/>
              </w:rPr>
              <w:t>Calendar month</w:t>
            </w:r>
          </w:p>
        </w:tc>
      </w:tr>
      <w:tr>
        <w:trPr>
          <w:trHeight w:val="425" w:hRule="atLeast"/>
        </w:trPr>
        <w:tc>
          <w:tcPr>
            <w:tcW w:type="dxa" w:w="2436"/>
            <w:vAlign w:val="center"/>
          </w:tcPr>
          <w:p>
            <w:pPr>
              <w:spacing w:line="276" w:lineRule="auto" w:before="0" w:after="0"/>
            </w:pPr>
            <w:r/>
            <w:r>
              <w:rPr>
                <w:rFonts w:ascii="Figtree" w:hAnsi="Figtree"/>
                <w:b w:val="0"/>
                <w:i w:val="0"/>
                <w:sz w:val="20"/>
              </w:rPr>
              <w:t>UAT/Testing</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3.6 hours</w:t>
            </w:r>
          </w:p>
        </w:tc>
        <w:tc>
          <w:tcPr>
            <w:tcW w:type="dxa" w:w="2436"/>
            <w:vAlign w:val="center"/>
          </w:tcPr>
          <w:p>
            <w:pPr>
              <w:spacing w:line="276" w:lineRule="auto" w:before="0" w:after="0"/>
            </w:pPr>
            <w:r/>
            <w:r>
              <w:rPr>
                <w:rFonts w:ascii="Figtree" w:hAnsi="Figtree"/>
                <w:b w:val="0"/>
                <w:i w:val="0"/>
                <w:sz w:val="20"/>
              </w:rPr>
              <w:t>Calendar month</w:t>
            </w:r>
          </w:p>
        </w:tc>
      </w:tr>
    </w:tbl>
    <w:p>
      <w:pPr>
        <w:spacing w:before="0" w:after="0" w:line="120" w:lineRule="exact"/>
      </w:pPr>
    </w:p>
    <w:p>
      <w:pPr>
        <w:pStyle w:val="H2"/>
        <w:numPr>
          <w:ilvl w:val="1"/>
          <w:numId w:val="1"/>
        </w:numPr>
      </w:pPr>
      <w:r>
        <w:t>5.4 Evidence and Examination Support</w:t>
      </w:r>
    </w:p>
    <w:p>
      <w:r>
        <w:rPr>
          <w:rFonts w:ascii="Figtree" w:hAnsi="Figtree"/>
          <w:b w:val="0"/>
          <w:i w:val="0"/>
          <w:sz w:val="22"/>
        </w:rPr>
        <w:t>In addition to standard support, SettleMint's CBDC-Enhanced tier includes:</w:t>
      </w:r>
    </w:p>
    <w:p>
      <w:pPr>
        <w:pStyle w:val="ListParagraph"/>
        <w:numPr>
          <w:ilvl w:val="0"/>
          <w:numId w:val="4"/>
        </w:numPr>
      </w:pPr>
      <w:r>
        <w:rPr>
          <w:rFonts w:ascii="Figtree" w:hAnsi="Figtree"/>
          <w:b/>
          <w:i w:val="0"/>
          <w:sz w:val="22"/>
        </w:rPr>
        <w:t>Monthly SAMA service review:</w:t>
      </w:r>
      <w:r>
        <w:rPr>
          <w:rFonts w:ascii="Figtree" w:hAnsi="Figtree"/>
          <w:b w:val="0"/>
          <w:i w:val="0"/>
          <w:sz w:val="22"/>
        </w:rPr>
        <w:t xml:space="preserve"> Named CSM presents platform health metrics, security event summary, and evidence availability confirmation</w:t>
      </w:r>
    </w:p>
    <w:p>
      <w:pPr>
        <w:pStyle w:val="ListParagraph"/>
        <w:numPr>
          <w:ilvl w:val="0"/>
          <w:numId w:val="4"/>
        </w:numPr>
      </w:pPr>
      <w:r>
        <w:rPr>
          <w:rFonts w:ascii="Figtree" w:hAnsi="Figtree"/>
          <w:b/>
          <w:i w:val="0"/>
          <w:sz w:val="22"/>
        </w:rPr>
        <w:t>Examination support:</w:t>
      </w:r>
      <w:r>
        <w:rPr>
          <w:rFonts w:ascii="Figtree" w:hAnsi="Figtree"/>
          <w:b w:val="0"/>
          <w:i w:val="0"/>
          <w:sz w:val="22"/>
        </w:rPr>
        <w:t xml:space="preserve"> When SAMA is subject to BIS, SAMA Board, or internal audit examination, SettleMint provides structured evidence packs within 5 business days of request</w:t>
      </w:r>
    </w:p>
    <w:p>
      <w:pPr>
        <w:pStyle w:val="ListParagraph"/>
        <w:numPr>
          <w:ilvl w:val="0"/>
          <w:numId w:val="4"/>
        </w:numPr>
      </w:pPr>
      <w:r>
        <w:rPr>
          <w:rFonts w:ascii="Figtree" w:hAnsi="Figtree"/>
          <w:b/>
          <w:i w:val="0"/>
          <w:sz w:val="22"/>
        </w:rPr>
        <w:t>Incident post-mortem sharing:</w:t>
      </w:r>
      <w:r>
        <w:rPr>
          <w:rFonts w:ascii="Figtree" w:hAnsi="Figtree"/>
          <w:b w:val="0"/>
          <w:i w:val="0"/>
          <w:sz w:val="22"/>
        </w:rPr>
        <w:t xml:space="preserve"> All P1 post-mortems shared with SAMA within 5 business days, in SAMA-approved format</w:t>
      </w:r>
    </w:p>
    <w:p>
      <w:r>
        <w:br w:type="page"/>
      </w:r>
    </w:p>
    <w:p>
      <w:pPr>
        <w:pStyle w:val="H1"/>
        <w:numPr>
          <w:ilvl w:val="0"/>
          <w:numId w:val="1"/>
        </w:numPr>
      </w:pPr>
      <w:r>
        <w:t>6. Implementation Investment</w:t>
      </w:r>
    </w:p>
    <w:p>
      <w:pPr>
        <w:pStyle w:val="H2"/>
        <w:numPr>
          <w:ilvl w:val="1"/>
          <w:numId w:val="1"/>
        </w:numPr>
      </w:pPr>
      <w:r>
        <w:t>6.1 CBDC Implementation Methodology</w:t>
      </w:r>
    </w:p>
    <w:p>
      <w:r>
        <w:rPr>
          <w:rFonts w:ascii="Figtree" w:hAnsi="Figtree"/>
          <w:b w:val="0"/>
          <w:i w:val="0"/>
          <w:sz w:val="22"/>
        </w:rPr>
        <w:t>SAMA's Digital Riyal pilot requires a more structured implementation governance than commercial exchange deployments. The additional Phase 2b (SAMA IT Governance Review) is a formal gate — no production configuration work begins before SAMA's security and IT governance teams have approved the architecture, access model, and key management design.</w:t>
      </w:r>
    </w:p>
    <w:p>
      <w:pPr>
        <w:pStyle w:val="H2"/>
        <w:numPr>
          <w:ilvl w:val="1"/>
          <w:numId w:val="1"/>
        </w:numPr>
      </w:pPr>
      <w:r>
        <w:t>6.2 Phase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1"/>
        <w:gridCol w:w="1170"/>
        <w:gridCol w:w="1658"/>
        <w:gridCol w:w="31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Gate</w:t>
            </w:r>
          </w:p>
        </w:tc>
      </w:tr>
      <w:tr>
        <w:trPr>
          <w:trHeight w:val="425" w:hRule="atLeast"/>
        </w:trPr>
        <w:tc>
          <w:tcPr>
            <w:tcW w:type="dxa" w:w="2436"/>
            <w:vAlign w:val="center"/>
          </w:tcPr>
          <w:p>
            <w:pPr>
              <w:spacing w:line="276" w:lineRule="auto" w:before="0" w:after="0"/>
            </w:pPr>
            <w:r/>
            <w:r>
              <w:rPr>
                <w:rFonts w:ascii="Figtree" w:hAnsi="Figtree"/>
                <w:b w:val="0"/>
                <w:i w:val="0"/>
                <w:sz w:val="20"/>
              </w:rPr>
              <w:t>Phase 1 —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$48,000</w:t>
            </w:r>
          </w:p>
        </w:tc>
        <w:tc>
          <w:tcPr>
            <w:tcW w:type="dxa" w:w="2436"/>
            <w:vAlign w:val="center"/>
          </w:tcPr>
          <w:p>
            <w:pPr>
              <w:spacing w:line="276" w:lineRule="auto" w:before="0" w:after="0"/>
            </w:pPr>
            <w:r/>
            <w:r>
              <w:rPr>
                <w:rFonts w:ascii="Figtree" w:hAnsi="Figtree"/>
                <w:b w:val="0"/>
                <w:i w:val="0"/>
                <w:sz w:val="20"/>
              </w:rPr>
              <w:t>SAMA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 — Foundation + HSM</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SAMA IS: infrastructure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2b — Security Review</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$24,000 (support)</w:t>
            </w:r>
          </w:p>
        </w:tc>
        <w:tc>
          <w:tcPr>
            <w:tcW w:type="dxa" w:w="2436"/>
            <w:vAlign w:val="center"/>
          </w:tcPr>
          <w:p>
            <w:pPr>
              <w:spacing w:line="276" w:lineRule="auto" w:before="0" w:after="0"/>
            </w:pPr>
            <w:r/>
            <w:r>
              <w:rPr>
                <w:rFonts w:ascii="Figtree" w:hAnsi="Figtree"/>
                <w:b w:val="0"/>
                <w:i w:val="0"/>
                <w:sz w:val="20"/>
              </w:rPr>
              <w:t>SAMA CIO/CISO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3 — CBDC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SAMA Compliance/Monetary Policy</w:t>
            </w:r>
          </w:p>
        </w:tc>
      </w:tr>
      <w:tr>
        <w:trPr>
          <w:trHeight w:val="425" w:hRule="atLeast"/>
        </w:trPr>
        <w:tc>
          <w:tcPr>
            <w:tcW w:type="dxa" w:w="2436"/>
            <w:vAlign w:val="center"/>
          </w:tcPr>
          <w:p>
            <w:pPr>
              <w:spacing w:line="276" w:lineRule="auto" w:before="0" w:after="0"/>
            </w:pPr>
            <w:r/>
            <w:r>
              <w:rPr>
                <w:rFonts w:ascii="Figtree" w:hAnsi="Figtree"/>
                <w:b w:val="0"/>
                <w:i w:val="0"/>
                <w:sz w:val="20"/>
              </w:rPr>
              <w:t>Phase 4 — Integration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$96,000</w:t>
            </w:r>
          </w:p>
        </w:tc>
        <w:tc>
          <w:tcPr>
            <w:tcW w:type="dxa" w:w="2436"/>
            <w:vAlign w:val="center"/>
          </w:tcPr>
          <w:p>
            <w:pPr>
              <w:spacing w:line="276" w:lineRule="auto" w:before="0" w:after="0"/>
            </w:pPr>
            <w:r/>
            <w:r>
              <w:rPr>
                <w:rFonts w:ascii="Figtree" w:hAnsi="Figtree"/>
                <w:b w:val="0"/>
                <w:i w:val="0"/>
                <w:sz w:val="20"/>
              </w:rPr>
              <w:t>SAMA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 — Pilot Testing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SAMA Programme Director</w:t>
            </w:r>
          </w:p>
        </w:tc>
      </w:tr>
      <w:tr>
        <w:trPr>
          <w:trHeight w:val="425" w:hRule="atLeast"/>
        </w:trPr>
        <w:tc>
          <w:tcPr>
            <w:tcW w:type="dxa" w:w="2436"/>
            <w:vAlign w:val="center"/>
          </w:tcPr>
          <w:p>
            <w:pPr>
              <w:spacing w:line="276" w:lineRule="auto" w:before="0" w:after="0"/>
            </w:pPr>
            <w:r/>
            <w:r>
              <w:rPr>
                <w:rFonts w:ascii="Figtree" w:hAnsi="Figtree"/>
                <w:b w:val="0"/>
                <w:i w:val="0"/>
                <w:sz w:val="20"/>
              </w:rPr>
              <w:t>Phase 6 — Production +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$48,000</w:t>
            </w:r>
          </w:p>
        </w:tc>
        <w:tc>
          <w:tcPr>
            <w:tcW w:type="dxa" w:w="2436"/>
            <w:vAlign w:val="center"/>
          </w:tcPr>
          <w:p>
            <w:pPr>
              <w:spacing w:line="276" w:lineRule="auto" w:before="0" w:after="0"/>
            </w:pPr>
            <w:r/>
            <w:r>
              <w:rPr>
                <w:rFonts w:ascii="Figtree" w:hAnsi="Figtree"/>
                <w:b w:val="0"/>
                <w:i w:val="0"/>
                <w:sz w:val="20"/>
              </w:rPr>
              <w:t>Operational readiness</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20 weeks</w:t>
            </w:r>
          </w:p>
        </w:tc>
        <w:tc>
          <w:tcPr>
            <w:tcW w:type="dxa" w:w="2436"/>
            <w:vAlign w:val="center"/>
          </w:tcPr>
          <w:p>
            <w:pPr>
              <w:spacing w:line="276" w:lineRule="auto" w:before="0" w:after="0"/>
            </w:pPr>
            <w:r/>
            <w:r>
              <w:rPr>
                <w:rFonts w:ascii="Figtree" w:hAnsi="Figtree"/>
                <w:b/>
                <w:i w:val="0"/>
                <w:sz w:val="20"/>
              </w:rPr>
              <w:t>$480,000</w:t>
            </w:r>
          </w:p>
        </w:tc>
        <w:tc>
          <w:tcPr>
            <w:tcW w:type="dxa" w:w="2436"/>
            <w:vAlign w:val="center"/>
          </w:tcPr>
          <w:p>
            <w:pPr>
              <w:spacing w:line="276" w:lineRule="auto" w:before="0" w:after="0"/>
            </w:pPr>
            <w:r/>
          </w:p>
        </w:tc>
      </w:tr>
    </w:tbl>
    <w:p>
      <w:pPr>
        <w:spacing w:before="0" w:after="0" w:line="120" w:lineRule="exact"/>
      </w:pPr>
    </w:p>
    <w:p>
      <w:pPr>
        <w:pStyle w:val="H2"/>
        <w:numPr>
          <w:ilvl w:val="1"/>
          <w:numId w:val="1"/>
        </w:numPr>
      </w:pPr>
      <w:r>
        <w:t>6.3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7"/>
        <w:gridCol w:w="1693"/>
        <w:gridCol w:w="38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$144,000 (30%)</w:t>
            </w:r>
          </w:p>
        </w:tc>
        <w:tc>
          <w:tcPr>
            <w:tcW w:type="dxa" w:w="3249"/>
            <w:vAlign w:val="center"/>
          </w:tcPr>
          <w:p>
            <w:pPr>
              <w:spacing w:line="276" w:lineRule="auto" w:before="0" w:after="0"/>
            </w:pPr>
            <w:r/>
            <w:r>
              <w:rPr>
                <w:rFonts w:ascii="Figtree" w:hAnsi="Figtree"/>
                <w:b w:val="0"/>
                <w:i w:val="0"/>
                <w:sz w:val="20"/>
              </w:rPr>
              <w:t>Contract signed</w:t>
            </w:r>
          </w:p>
        </w:tc>
      </w:tr>
      <w:tr>
        <w:trPr>
          <w:trHeight w:val="425" w:hRule="atLeast"/>
        </w:trPr>
        <w:tc>
          <w:tcPr>
            <w:tcW w:type="dxa" w:w="3249"/>
            <w:vAlign w:val="center"/>
          </w:tcPr>
          <w:p>
            <w:pPr>
              <w:spacing w:line="276" w:lineRule="auto" w:before="0" w:after="0"/>
            </w:pPr>
            <w:r/>
            <w:r>
              <w:rPr>
                <w:rFonts w:ascii="Figtree" w:hAnsi="Figtree"/>
                <w:b w:val="0"/>
                <w:i w:val="0"/>
                <w:sz w:val="20"/>
              </w:rPr>
              <w:t>Phase 1 + 2 gate sign-off</w:t>
            </w:r>
          </w:p>
        </w:tc>
        <w:tc>
          <w:tcPr>
            <w:tcW w:type="dxa" w:w="3249"/>
            <w:vAlign w:val="center"/>
          </w:tcPr>
          <w:p>
            <w:pPr>
              <w:spacing w:line="276" w:lineRule="auto" w:before="0" w:after="0"/>
            </w:pPr>
            <w:r/>
            <w:r>
              <w:rPr>
                <w:rFonts w:ascii="Figtree" w:hAnsi="Figtree"/>
                <w:b w:val="0"/>
                <w:i w:val="0"/>
                <w:sz w:val="20"/>
              </w:rPr>
              <w:t>$96,000 (20%)</w:t>
            </w:r>
          </w:p>
        </w:tc>
        <w:tc>
          <w:tcPr>
            <w:tcW w:type="dxa" w:w="3249"/>
            <w:vAlign w:val="center"/>
          </w:tcPr>
          <w:p>
            <w:pPr>
              <w:spacing w:line="276" w:lineRule="auto" w:before="0" w:after="0"/>
            </w:pPr>
            <w:r/>
            <w:r>
              <w:rPr>
                <w:rFonts w:ascii="Figtree" w:hAnsi="Figtree"/>
                <w:b w:val="0"/>
                <w:i w:val="0"/>
                <w:sz w:val="20"/>
              </w:rPr>
              <w:t>Infrastructure approved</w:t>
            </w:r>
          </w:p>
        </w:tc>
      </w:tr>
      <w:tr>
        <w:trPr>
          <w:trHeight w:val="425" w:hRule="atLeast"/>
        </w:trPr>
        <w:tc>
          <w:tcPr>
            <w:tcW w:type="dxa" w:w="3249"/>
            <w:vAlign w:val="center"/>
          </w:tcPr>
          <w:p>
            <w:pPr>
              <w:spacing w:line="276" w:lineRule="auto" w:before="0" w:after="0"/>
            </w:pPr>
            <w:r/>
            <w:r>
              <w:rPr>
                <w:rFonts w:ascii="Figtree" w:hAnsi="Figtree"/>
                <w:b w:val="0"/>
                <w:i w:val="0"/>
                <w:sz w:val="20"/>
              </w:rPr>
              <w:t>Phase 2b gate (CISO approval)</w:t>
            </w:r>
          </w:p>
        </w:tc>
        <w:tc>
          <w:tcPr>
            <w:tcW w:type="dxa" w:w="3249"/>
            <w:vAlign w:val="center"/>
          </w:tcPr>
          <w:p>
            <w:pPr>
              <w:spacing w:line="276" w:lineRule="auto" w:before="0" w:after="0"/>
            </w:pPr>
            <w:r/>
            <w:r>
              <w:rPr>
                <w:rFonts w:ascii="Figtree" w:hAnsi="Figtree"/>
                <w:b w:val="0"/>
                <w:i w:val="0"/>
                <w:sz w:val="20"/>
              </w:rPr>
              <w:t>$48,000 (10%)</w:t>
            </w:r>
          </w:p>
        </w:tc>
        <w:tc>
          <w:tcPr>
            <w:tcW w:type="dxa" w:w="3249"/>
            <w:vAlign w:val="center"/>
          </w:tcPr>
          <w:p>
            <w:pPr>
              <w:spacing w:line="276" w:lineRule="auto" w:before="0" w:after="0"/>
            </w:pPr>
            <w:r/>
            <w:r>
              <w:rPr>
                <w:rFonts w:ascii="Figtree" w:hAnsi="Figtree"/>
                <w:b w:val="0"/>
                <w:i w:val="0"/>
                <w:sz w:val="20"/>
              </w:rPr>
              <w:t>IT governance gate passed</w:t>
            </w:r>
          </w:p>
        </w:tc>
      </w:tr>
      <w:tr>
        <w:trPr>
          <w:trHeight w:val="425" w:hRule="atLeast"/>
        </w:trPr>
        <w:tc>
          <w:tcPr>
            <w:tcW w:type="dxa" w:w="3249"/>
            <w:vAlign w:val="center"/>
          </w:tcPr>
          <w:p>
            <w:pPr>
              <w:spacing w:line="276" w:lineRule="auto" w:before="0" w:after="0"/>
            </w:pPr>
            <w:r/>
            <w:r>
              <w:rPr>
                <w:rFonts w:ascii="Figtree" w:hAnsi="Figtree"/>
                <w:b w:val="0"/>
                <w:i w:val="0"/>
                <w:sz w:val="20"/>
              </w:rPr>
              <w:t>Phase 3 gate sign-off</w:t>
            </w:r>
          </w:p>
        </w:tc>
        <w:tc>
          <w:tcPr>
            <w:tcW w:type="dxa" w:w="3249"/>
            <w:vAlign w:val="center"/>
          </w:tcPr>
          <w:p>
            <w:pPr>
              <w:spacing w:line="276" w:lineRule="auto" w:before="0" w:after="0"/>
            </w:pPr>
            <w:r/>
            <w:r>
              <w:rPr>
                <w:rFonts w:ascii="Figtree" w:hAnsi="Figtree"/>
                <w:b w:val="0"/>
                <w:i w:val="0"/>
                <w:sz w:val="20"/>
              </w:rPr>
              <w:t>$120,000 (25%)</w:t>
            </w:r>
          </w:p>
        </w:tc>
        <w:tc>
          <w:tcPr>
            <w:tcW w:type="dxa" w:w="3249"/>
            <w:vAlign w:val="center"/>
          </w:tcPr>
          <w:p>
            <w:pPr>
              <w:spacing w:line="276" w:lineRule="auto" w:before="0" w:after="0"/>
            </w:pPr>
            <w:r/>
            <w:r>
              <w:rPr>
                <w:rFonts w:ascii="Figtree" w:hAnsi="Figtree"/>
                <w:b w:val="0"/>
                <w:i w:val="0"/>
                <w:sz w:val="20"/>
              </w:rPr>
              <w:t>CBDC configuration approved</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w:t>
            </w:r>
          </w:p>
        </w:tc>
        <w:tc>
          <w:tcPr>
            <w:tcW w:type="dxa" w:w="3249"/>
            <w:vAlign w:val="center"/>
          </w:tcPr>
          <w:p>
            <w:pPr>
              <w:spacing w:line="276" w:lineRule="auto" w:before="0" w:after="0"/>
            </w:pPr>
            <w:r/>
            <w:r>
              <w:rPr>
                <w:rFonts w:ascii="Figtree" w:hAnsi="Figtree"/>
                <w:b w:val="0"/>
                <w:i w:val="0"/>
                <w:sz w:val="20"/>
              </w:rPr>
              <w:t>$72,000 (15%)</w:t>
            </w:r>
          </w:p>
        </w:tc>
        <w:tc>
          <w:tcPr>
            <w:tcW w:type="dxa" w:w="3249"/>
            <w:vAlign w:val="center"/>
          </w:tcPr>
          <w:p>
            <w:pPr>
              <w:spacing w:line="276" w:lineRule="auto" w:before="0" w:after="0"/>
            </w:pPr>
            <w:r/>
            <w:r>
              <w:rPr>
                <w:rFonts w:ascii="Figtree" w:hAnsi="Figtree"/>
                <w:b w:val="0"/>
                <w:i w:val="0"/>
                <w:sz w:val="20"/>
              </w:rPr>
              <w:t>Operational readiness signed off</w:t>
            </w:r>
          </w:p>
        </w:tc>
      </w:tr>
    </w:tbl>
    <w:p>
      <w:pPr>
        <w:spacing w:before="0" w:after="0" w:line="120" w:lineRule="exact"/>
      </w:pPr>
    </w:p>
    <w:p>
      <w:pPr>
        <w:pStyle w:val="H2"/>
        <w:numPr>
          <w:ilvl w:val="1"/>
          <w:numId w:val="1"/>
        </w:numPr>
      </w:pPr>
      <w:r>
        <w:t>6.4 HSM Commissioning</w:t>
      </w:r>
    </w:p>
    <w:p>
      <w:r>
        <w:rPr>
          <w:rFonts w:ascii="Figtree" w:hAnsi="Figtree"/>
          <w:b w:val="0"/>
          <w:i w:val="0"/>
          <w:sz w:val="22"/>
        </w:rPr>
        <w:t>HSM commissioning ($60,000 one-time) covers:</w:t>
      </w:r>
    </w:p>
    <w:p>
      <w:pPr>
        <w:pStyle w:val="ListParagraph"/>
        <w:numPr>
          <w:ilvl w:val="0"/>
          <w:numId w:val="4"/>
        </w:numPr>
      </w:pPr>
      <w:r>
        <w:rPr>
          <w:rFonts w:ascii="Figtree" w:hAnsi="Figtree"/>
          <w:b w:val="0"/>
          <w:i w:val="0"/>
          <w:sz w:val="22"/>
        </w:rPr>
        <w:t>SAMA HSM procurement support (advisory on FIPS 140-2 Level 3 certified HSM selection)</w:t>
      </w:r>
    </w:p>
    <w:p>
      <w:pPr>
        <w:pStyle w:val="ListParagraph"/>
        <w:numPr>
          <w:ilvl w:val="0"/>
          <w:numId w:val="4"/>
        </w:numPr>
      </w:pPr>
      <w:r>
        <w:rPr>
          <w:rFonts w:ascii="Figtree" w:hAnsi="Figtree"/>
          <w:b w:val="0"/>
          <w:i w:val="0"/>
          <w:sz w:val="22"/>
        </w:rPr>
        <w:t>HSM API integration with DALP Key Guardian</w:t>
      </w:r>
    </w:p>
    <w:p>
      <w:pPr>
        <w:pStyle w:val="ListParagraph"/>
        <w:numPr>
          <w:ilvl w:val="0"/>
          <w:numId w:val="4"/>
        </w:numPr>
      </w:pPr>
      <w:r>
        <w:rPr>
          <w:rFonts w:ascii="Figtree" w:hAnsi="Figtree"/>
          <w:b w:val="0"/>
          <w:i w:val="0"/>
          <w:sz w:val="22"/>
        </w:rPr>
        <w:t>Key ceremony process design and SAMA team facilitation</w:t>
      </w:r>
    </w:p>
    <w:p>
      <w:pPr>
        <w:pStyle w:val="ListParagraph"/>
        <w:numPr>
          <w:ilvl w:val="0"/>
          <w:numId w:val="4"/>
        </w:numPr>
      </w:pPr>
      <w:r>
        <w:rPr>
          <w:rFonts w:ascii="Figtree" w:hAnsi="Figtree"/>
          <w:b w:val="0"/>
          <w:i w:val="0"/>
          <w:sz w:val="22"/>
        </w:rPr>
        <w:t>HSM backup and recovery procedure development</w:t>
      </w:r>
    </w:p>
    <w:p>
      <w:pPr>
        <w:pStyle w:val="ListParagraph"/>
        <w:numPr>
          <w:ilvl w:val="0"/>
          <w:numId w:val="4"/>
        </w:numPr>
      </w:pPr>
      <w:r>
        <w:rPr>
          <w:rFonts w:ascii="Figtree" w:hAnsi="Figtree"/>
          <w:b w:val="0"/>
          <w:i w:val="0"/>
          <w:sz w:val="22"/>
        </w:rPr>
        <w:t>Key ceremony documentation for SAMA audit records</w:t>
      </w:r>
    </w:p>
    <w:p>
      <w:r>
        <w:rPr>
          <w:rFonts w:ascii="Figtree" w:hAnsi="Figtree"/>
          <w:b w:val="0"/>
          <w:i w:val="0"/>
          <w:sz w:val="22"/>
        </w:rPr>
        <w:t>SettleMint does not supply the HSM hardware itself; SAMA procures through their approved hardware vendor. Commissioning covers integration and ceremony support only.</w:t>
      </w:r>
    </w:p>
    <w:p>
      <w:pPr>
        <w:pStyle w:val="H2"/>
        <w:numPr>
          <w:ilvl w:val="1"/>
          <w:numId w:val="1"/>
        </w:numPr>
      </w:pPr>
      <w:r>
        <w:t>6.5 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2160"/>
        <w:gridCol w:w="864"/>
        <w:gridCol w:w="8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2436"/>
            <w:vAlign w:val="center"/>
          </w:tcPr>
          <w:p>
            <w:pPr>
              <w:spacing w:line="276" w:lineRule="auto" w:before="0" w:after="0"/>
            </w:pPr>
            <w:r/>
            <w:r>
              <w:rPr>
                <w:rFonts w:ascii="Figtree" w:hAnsi="Figtree"/>
                <w:b w:val="0"/>
                <w:i w:val="0"/>
                <w:sz w:val="20"/>
              </w:rPr>
              <w:t>SAMA Operator (Supply Control, Participant Mgmt)</w:t>
            </w:r>
          </w:p>
        </w:tc>
        <w:tc>
          <w:tcPr>
            <w:tcW w:type="dxa" w:w="2436"/>
            <w:vAlign w:val="center"/>
          </w:tcPr>
          <w:p>
            <w:pPr>
              <w:spacing w:line="276" w:lineRule="auto" w:before="0" w:after="0"/>
            </w:pPr>
            <w:r/>
            <w:r>
              <w:rPr>
                <w:rFonts w:ascii="Figtree" w:hAnsi="Figtree"/>
                <w:b w:val="0"/>
                <w:i w:val="0"/>
                <w:sz w:val="20"/>
              </w:rPr>
              <w:t>SAMA ops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SAMA Compliance</w:t>
            </w:r>
          </w:p>
        </w:tc>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SAMA Technology</w:t>
            </w:r>
          </w:p>
        </w:tc>
        <w:tc>
          <w:tcPr>
            <w:tcW w:type="dxa" w:w="2436"/>
            <w:vAlign w:val="center"/>
          </w:tcPr>
          <w:p>
            <w:pPr>
              <w:spacing w:line="276" w:lineRule="auto" w:before="0" w:after="0"/>
            </w:pPr>
            <w:r/>
            <w:r>
              <w:rPr>
                <w:rFonts w:ascii="Figtree" w:hAnsi="Figtree"/>
                <w:b w:val="0"/>
                <w:i w:val="0"/>
                <w:sz w:val="20"/>
              </w:rPr>
              <w:t>IT/integration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Participant Bank Technical</w:t>
            </w:r>
          </w:p>
        </w:tc>
        <w:tc>
          <w:tcPr>
            <w:tcW w:type="dxa" w:w="2436"/>
            <w:vAlign w:val="center"/>
          </w:tcPr>
          <w:p>
            <w:pPr>
              <w:spacing w:line="276" w:lineRule="auto" w:before="0" w:after="0"/>
            </w:pPr>
            <w:r/>
            <w:r>
              <w:rPr>
                <w:rFonts w:ascii="Figtree" w:hAnsi="Figtree"/>
                <w:b w:val="0"/>
                <w:i w:val="0"/>
                <w:sz w:val="20"/>
              </w:rPr>
              <w:t>Licensed FI IT teams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Arabic documentation package</w:t>
            </w:r>
          </w:p>
        </w:tc>
        <w:tc>
          <w:tcPr>
            <w:tcW w:type="dxa" w:w="2436"/>
            <w:vAlign w:val="center"/>
          </w:tcPr>
          <w:p>
            <w:pPr>
              <w:spacing w:line="276" w:lineRule="auto" w:before="0" w:after="0"/>
            </w:pPr>
            <w:r/>
            <w:r>
              <w:rPr>
                <w:rFonts w:ascii="Figtree" w:hAnsi="Figtree"/>
                <w:b w:val="0"/>
                <w:i w:val="0"/>
                <w:sz w:val="20"/>
              </w:rPr>
              <w:t>All tracks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SAMA's commercial engagement uses a sovereign-appropriate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9"/>
        <w:gridCol w:w="66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Sovereign Platform Licence</w:t>
            </w:r>
          </w:p>
        </w:tc>
        <w:tc>
          <w:tcPr>
            <w:tcW w:type="dxa" w:w="4873"/>
            <w:vAlign w:val="center"/>
          </w:tcPr>
          <w:p>
            <w:pPr>
              <w:spacing w:line="276" w:lineRule="auto" w:before="0" w:after="0"/>
            </w:pPr>
            <w:r/>
            <w:r>
              <w:rPr>
                <w:rFonts w:ascii="Figtree" w:hAnsi="Figtree"/>
                <w:b w:val="0"/>
                <w:i w:val="0"/>
                <w:sz w:val="20"/>
              </w:rPr>
              <w:t>DALP software licence with sovereignty terms, IP boundaries, key custody rights, data handling</w:t>
            </w:r>
          </w:p>
        </w:tc>
      </w:tr>
      <w:tr>
        <w:trPr>
          <w:trHeight w:val="425" w:hRule="atLeast"/>
        </w:trPr>
        <w:tc>
          <w:tcPr>
            <w:tcW w:type="dxa" w:w="4873"/>
            <w:vAlign w:val="center"/>
          </w:tcPr>
          <w:p>
            <w:pPr>
              <w:spacing w:line="276" w:lineRule="auto" w:before="0" w:after="0"/>
            </w:pPr>
            <w:r/>
            <w:r>
              <w:rPr>
                <w:rFonts w:ascii="Figtree" w:hAnsi="Figtree"/>
                <w:b w:val="0"/>
                <w:i w:val="0"/>
                <w:sz w:val="20"/>
              </w:rPr>
              <w:t>Professional Services Order</w:t>
            </w:r>
          </w:p>
        </w:tc>
        <w:tc>
          <w:tcPr>
            <w:tcW w:type="dxa" w:w="4873"/>
            <w:vAlign w:val="center"/>
          </w:tcPr>
          <w:p>
            <w:pPr>
              <w:spacing w:line="276" w:lineRule="auto" w:before="0" w:after="0"/>
            </w:pPr>
            <w:r/>
            <w:r>
              <w:rPr>
                <w:rFonts w:ascii="Figtree" w:hAnsi="Figtree"/>
                <w:b w:val="0"/>
                <w:i w:val="0"/>
                <w:sz w:val="20"/>
              </w:rPr>
              <w:t>Implementation, HSM commissioning, training</w:t>
            </w:r>
          </w:p>
        </w:tc>
      </w:tr>
      <w:tr>
        <w:trPr>
          <w:trHeight w:val="425" w:hRule="atLeast"/>
        </w:trPr>
        <w:tc>
          <w:tcPr>
            <w:tcW w:type="dxa" w:w="4873"/>
            <w:vAlign w:val="center"/>
          </w:tcPr>
          <w:p>
            <w:pPr>
              <w:spacing w:line="276" w:lineRule="auto" w:before="0" w:after="0"/>
            </w:pPr>
            <w:r/>
            <w:r>
              <w:rPr>
                <w:rFonts w:ascii="Figtree" w:hAnsi="Figtree"/>
                <w:b w:val="0"/>
                <w:i w:val="0"/>
                <w:sz w:val="20"/>
              </w:rPr>
              <w:t>Sovereign Support Agreement</w:t>
            </w:r>
          </w:p>
        </w:tc>
        <w:tc>
          <w:tcPr>
            <w:tcW w:type="dxa" w:w="4873"/>
            <w:vAlign w:val="center"/>
          </w:tcPr>
          <w:p>
            <w:pPr>
              <w:spacing w:line="276" w:lineRule="auto" w:before="0" w:after="0"/>
            </w:pPr>
            <w:r/>
            <w:r>
              <w:rPr>
                <w:rFonts w:ascii="Figtree" w:hAnsi="Figtree"/>
                <w:b w:val="0"/>
                <w:i w:val="0"/>
                <w:sz w:val="20"/>
              </w:rPr>
              <w:t>CBDC-enhanced support, evidence obligations, examination support</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KSA data handling, PDPL compliance, SAMA data sovereignty</w:t>
            </w:r>
          </w:p>
        </w:tc>
      </w:tr>
    </w:tbl>
    <w:p>
      <w:pPr>
        <w:spacing w:before="0" w:after="0" w:line="120" w:lineRule="exact"/>
      </w:pPr>
    </w:p>
    <w:p>
      <w:pPr>
        <w:pStyle w:val="H2"/>
        <w:numPr>
          <w:ilvl w:val="1"/>
          <w:numId w:val="1"/>
        </w:numPr>
      </w:pPr>
      <w:r>
        <w:t>7.2 Sovereign-Specific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26"/>
        <w:gridCol w:w="68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Key custody</w:t>
            </w:r>
          </w:p>
        </w:tc>
        <w:tc>
          <w:tcPr>
            <w:tcW w:type="dxa" w:w="4873"/>
            <w:vAlign w:val="center"/>
          </w:tcPr>
          <w:p>
            <w:pPr>
              <w:spacing w:line="276" w:lineRule="auto" w:before="0" w:after="0"/>
            </w:pPr>
            <w:r/>
            <w:r>
              <w:rPr>
                <w:rFonts w:ascii="Figtree" w:hAnsi="Figtree"/>
                <w:b w:val="0"/>
                <w:i w:val="0"/>
                <w:sz w:val="20"/>
              </w:rPr>
              <w:t>SAMA holds all signing keys in SAMA-controlled HSM; SettleMint has no key access</w:t>
            </w:r>
          </w:p>
        </w:tc>
      </w:tr>
      <w:tr>
        <w:trPr>
          <w:trHeight w:val="425" w:hRule="atLeast"/>
        </w:trPr>
        <w:tc>
          <w:tcPr>
            <w:tcW w:type="dxa" w:w="4873"/>
            <w:vAlign w:val="center"/>
          </w:tcPr>
          <w:p>
            <w:pPr>
              <w:spacing w:line="276" w:lineRule="auto" w:before="0" w:after="0"/>
            </w:pPr>
            <w:r/>
            <w:r>
              <w:rPr>
                <w:rFonts w:ascii="Figtree" w:hAnsi="Figtree"/>
                <w:b w:val="0"/>
                <w:i w:val="0"/>
                <w:sz w:val="20"/>
              </w:rPr>
              <w:t>SettleMint system access</w:t>
            </w:r>
          </w:p>
        </w:tc>
        <w:tc>
          <w:tcPr>
            <w:tcW w:type="dxa" w:w="4873"/>
            <w:vAlign w:val="center"/>
          </w:tcPr>
          <w:p>
            <w:pPr>
              <w:spacing w:line="276" w:lineRule="auto" w:before="0" w:after="0"/>
            </w:pPr>
            <w:r/>
            <w:r>
              <w:rPr>
                <w:rFonts w:ascii="Figtree" w:hAnsi="Figtree"/>
                <w:b w:val="0"/>
                <w:i w:val="0"/>
                <w:sz w:val="20"/>
              </w:rPr>
              <w:t>Requires SAMA-issued credentials; all sessions logged; no unilateral access</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SAMA (and its auditors) have full audit access to all platform configurations, logs, and evidence</w:t>
            </w:r>
          </w:p>
        </w:tc>
      </w:tr>
      <w:tr>
        <w:trPr>
          <w:trHeight w:val="425" w:hRule="atLeast"/>
        </w:trPr>
        <w:tc>
          <w:tcPr>
            <w:tcW w:type="dxa" w:w="4873"/>
            <w:vAlign w:val="center"/>
          </w:tcPr>
          <w:p>
            <w:pPr>
              <w:spacing w:line="276" w:lineRule="auto" w:before="0" w:after="0"/>
            </w:pPr>
            <w:r/>
            <w:r>
              <w:rPr>
                <w:rFonts w:ascii="Figtree" w:hAnsi="Figtree"/>
                <w:b w:val="0"/>
                <w:i w:val="0"/>
                <w:sz w:val="20"/>
              </w:rPr>
              <w:t>Data location</w:t>
            </w:r>
          </w:p>
        </w:tc>
        <w:tc>
          <w:tcPr>
            <w:tcW w:type="dxa" w:w="4873"/>
            <w:vAlign w:val="center"/>
          </w:tcPr>
          <w:p>
            <w:pPr>
              <w:spacing w:line="276" w:lineRule="auto" w:before="0" w:after="0"/>
            </w:pPr>
            <w:r/>
            <w:r>
              <w:rPr>
                <w:rFonts w:ascii="Figtree" w:hAnsi="Figtree"/>
                <w:b w:val="0"/>
                <w:i w:val="0"/>
                <w:sz w:val="20"/>
              </w:rPr>
              <w:t>All production data in KSA territory; confirmed in data processing agreement</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All updates require SAMA approval before production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Subcontractor disclosure</w:t>
            </w:r>
          </w:p>
        </w:tc>
        <w:tc>
          <w:tcPr>
            <w:tcW w:type="dxa" w:w="4873"/>
            <w:vAlign w:val="center"/>
          </w:tcPr>
          <w:p>
            <w:pPr>
              <w:spacing w:line="276" w:lineRule="auto" w:before="0" w:after="0"/>
            </w:pPr>
            <w:r/>
            <w:r>
              <w:rPr>
                <w:rFonts w:ascii="Figtree" w:hAnsi="Figtree"/>
                <w:b w:val="0"/>
                <w:i w:val="0"/>
                <w:sz w:val="20"/>
              </w:rPr>
              <w:t>All cloud infrastructure and third-party dependencies disclosed; SAMA approval required for changes</w:t>
            </w:r>
          </w:p>
        </w:tc>
      </w:tr>
      <w:tr>
        <w:trPr>
          <w:trHeight w:val="425" w:hRule="atLeast"/>
        </w:trPr>
        <w:tc>
          <w:tcPr>
            <w:tcW w:type="dxa" w:w="4873"/>
            <w:vAlign w:val="center"/>
          </w:tcPr>
          <w:p>
            <w:pPr>
              <w:spacing w:line="276" w:lineRule="auto" w:before="0" w:after="0"/>
            </w:pPr>
            <w:r/>
            <w:r>
              <w:rPr>
                <w:rFonts w:ascii="Figtree" w:hAnsi="Figtree"/>
                <w:b w:val="0"/>
                <w:i w:val="0"/>
                <w:sz w:val="20"/>
              </w:rPr>
              <w:t>Continuity obligation</w:t>
            </w:r>
          </w:p>
        </w:tc>
        <w:tc>
          <w:tcPr>
            <w:tcW w:type="dxa" w:w="4873"/>
            <w:vAlign w:val="center"/>
          </w:tcPr>
          <w:p>
            <w:pPr>
              <w:spacing w:line="276" w:lineRule="auto" w:before="0" w:after="0"/>
            </w:pPr>
            <w:r/>
            <w:r>
              <w:rPr>
                <w:rFonts w:ascii="Figtree" w:hAnsi="Figtree"/>
                <w:b w:val="0"/>
                <w:i w:val="0"/>
                <w:sz w:val="20"/>
              </w:rPr>
              <w:t>If SettleMint is unable to continue support, escrow release enables SAMA to maintain operations</w:t>
            </w:r>
          </w:p>
        </w:tc>
      </w:tr>
    </w:tbl>
    <w:p>
      <w:pPr>
        <w:spacing w:before="0" w:after="0" w:line="120" w:lineRule="exact"/>
      </w:pPr>
    </w:p>
    <w:p>
      <w:pPr>
        <w:pStyle w:val="H2"/>
        <w:numPr>
          <w:ilvl w:val="1"/>
          <w:numId w:val="1"/>
        </w:numPr>
      </w:pPr>
      <w:r>
        <w:t>7.3 Duration and Payment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5"/>
        <w:gridCol w:w="61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Initial licence term</w:t>
            </w:r>
          </w:p>
        </w:tc>
        <w:tc>
          <w:tcPr>
            <w:tcW w:type="dxa" w:w="4873"/>
            <w:vAlign w:val="center"/>
          </w:tcPr>
          <w:p>
            <w:pPr>
              <w:spacing w:line="276" w:lineRule="auto" w:before="0" w:after="0"/>
            </w:pPr>
            <w:r/>
            <w:r>
              <w:rPr>
                <w:rFonts w:ascii="Figtree" w:hAnsi="Figtree"/>
                <w:b w:val="0"/>
                <w:i w:val="0"/>
                <w:sz w:val="20"/>
              </w:rPr>
              <w:t>3 years from contract execution</w:t>
            </w:r>
          </w:p>
        </w:tc>
      </w:tr>
      <w:tr>
        <w:trPr>
          <w:trHeight w:val="425" w:hRule="atLeast"/>
        </w:trPr>
        <w:tc>
          <w:tcPr>
            <w:tcW w:type="dxa" w:w="4873"/>
            <w:vAlign w:val="center"/>
          </w:tcPr>
          <w:p>
            <w:pPr>
              <w:spacing w:line="276" w:lineRule="auto" w:before="0" w:after="0"/>
            </w:pPr>
            <w:r/>
            <w:r>
              <w:rPr>
                <w:rFonts w:ascii="Figtree" w:hAnsi="Figtree"/>
                <w:b w:val="0"/>
                <w:i w:val="0"/>
                <w:sz w:val="20"/>
              </w:rPr>
              <w:t>Licence activation</w:t>
            </w:r>
          </w:p>
        </w:tc>
        <w:tc>
          <w:tcPr>
            <w:tcW w:type="dxa" w:w="4873"/>
            <w:vAlign w:val="center"/>
          </w:tcPr>
          <w:p>
            <w:pPr>
              <w:spacing w:line="276" w:lineRule="auto" w:before="0" w:after="0"/>
            </w:pPr>
            <w:r/>
            <w:r>
              <w:rPr>
                <w:rFonts w:ascii="Figtree" w:hAnsi="Figtree"/>
                <w:b w:val="0"/>
                <w:i w:val="0"/>
                <w:sz w:val="20"/>
              </w:rPr>
              <w:t>From contract execution</w:t>
            </w:r>
          </w:p>
        </w:tc>
      </w:tr>
      <w:tr>
        <w:trPr>
          <w:trHeight w:val="425" w:hRule="atLeast"/>
        </w:trPr>
        <w:tc>
          <w:tcPr>
            <w:tcW w:type="dxa" w:w="4873"/>
            <w:vAlign w:val="center"/>
          </w:tcPr>
          <w:p>
            <w:pPr>
              <w:spacing w:line="276" w:lineRule="auto" w:before="0" w:after="0"/>
            </w:pPr>
            <w:r/>
            <w:r>
              <w:rPr>
                <w:rFonts w:ascii="Figtree" w:hAnsi="Figtree"/>
                <w:b w:val="0"/>
                <w:i w:val="0"/>
                <w:sz w:val="20"/>
              </w:rPr>
              <w:t>Payment currency</w:t>
            </w:r>
          </w:p>
        </w:tc>
        <w:tc>
          <w:tcPr>
            <w:tcW w:type="dxa" w:w="4873"/>
            <w:vAlign w:val="center"/>
          </w:tcPr>
          <w:p>
            <w:pPr>
              <w:spacing w:line="276" w:lineRule="auto" w:before="0" w:after="0"/>
            </w:pPr>
            <w:r/>
            <w:r>
              <w:rPr>
                <w:rFonts w:ascii="Figtree" w:hAnsi="Figtree"/>
                <w:b w:val="0"/>
                <w:i w:val="0"/>
                <w:sz w:val="20"/>
              </w:rPr>
              <w:t>USD or SAR equivalent</w:t>
            </w:r>
          </w:p>
        </w:tc>
      </w:tr>
      <w:tr>
        <w:trPr>
          <w:trHeight w:val="425" w:hRule="atLeast"/>
        </w:trPr>
        <w:tc>
          <w:tcPr>
            <w:tcW w:type="dxa" w:w="4873"/>
            <w:vAlign w:val="center"/>
          </w:tcPr>
          <w:p>
            <w:pPr>
              <w:spacing w:line="276" w:lineRule="auto" w:before="0" w:after="0"/>
            </w:pPr>
            <w:r/>
            <w:r>
              <w:rPr>
                <w:rFonts w:ascii="Figtree" w:hAnsi="Figtree"/>
                <w:b w:val="0"/>
                <w:i w:val="0"/>
                <w:sz w:val="20"/>
              </w:rPr>
              <w:t>Multi-year discount</w:t>
            </w:r>
          </w:p>
        </w:tc>
        <w:tc>
          <w:tcPr>
            <w:tcW w:type="dxa" w:w="4873"/>
            <w:vAlign w:val="center"/>
          </w:tcPr>
          <w:p>
            <w:pPr>
              <w:spacing w:line="276" w:lineRule="auto" w:before="0" w:after="0"/>
            </w:pPr>
            <w:r/>
            <w:r>
              <w:rPr>
                <w:rFonts w:ascii="Figtree" w:hAnsi="Figtree"/>
                <w:b w:val="0"/>
                <w:i w:val="0"/>
                <w:sz w:val="20"/>
              </w:rPr>
              <w:t>10% on licence fees for 3-year upfront commitment</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Annual renewal option at agreed pricing</w:t>
            </w:r>
          </w:p>
        </w:tc>
      </w:tr>
    </w:tbl>
    <w:p>
      <w:pPr>
        <w:spacing w:before="0" w:after="0" w:line="120" w:lineRule="exact"/>
      </w:pPr>
    </w:p>
    <w:p>
      <w:pPr>
        <w:pStyle w:val="H2"/>
        <w:numPr>
          <w:ilvl w:val="1"/>
          <w:numId w:val="1"/>
        </w:numPr>
      </w:pPr>
      <w:r>
        <w:t>7.4 Liability</w:t>
      </w:r>
    </w:p>
    <w:p>
      <w:r>
        <w:rPr>
          <w:rFonts w:ascii="Figtree" w:hAnsi="Figtree"/>
          <w:b w:val="0"/>
          <w:i w:val="0"/>
          <w:sz w:val="22"/>
        </w:rPr>
        <w:t>For sovereign programmes, liability terms are subject to negotiation. SettleMint's default liability cap of 12 months of licence fees will be discussed with SAMA's legal team. Standard exclusions apply for indirect/consequential losses.</w:t>
      </w:r>
    </w:p>
    <w:p>
      <w:pPr>
        <w:pStyle w:val="H2"/>
        <w:numPr>
          <w:ilvl w:val="1"/>
          <w:numId w:val="1"/>
        </w:numPr>
      </w:pPr>
      <w:r>
        <w:t>7.5 Escrow</w:t>
      </w:r>
    </w:p>
    <w:p>
      <w:r>
        <w:rPr>
          <w:rFonts w:ascii="Figtree" w:hAnsi="Figtree"/>
          <w:b w:val="0"/>
          <w:i w:val="0"/>
          <w:sz w:val="22"/>
        </w:rPr>
        <w:t>Source code escrow is strongly recommended for sovereign CBDC infrastructure. SettleMint provides escrow with a mutually agreed escrow agent (NCC Group or equivalent). Release conditions: SettleMint insolvency, cessation of CBDC platform support for 90+ days. Escrow costs borne by SAMA.</w:t>
      </w:r>
    </w:p>
    <w:p>
      <w:r>
        <w:br w:type="page"/>
      </w:r>
    </w:p>
    <w:p>
      <w:pPr>
        <w:pStyle w:val="H1"/>
        <w:numPr>
          <w:ilvl w:val="0"/>
          <w:numId w:val="1"/>
        </w:numPr>
      </w:pPr>
      <w:r>
        <w:t>8. Total Cost of Ownership</w:t>
      </w:r>
    </w:p>
    <w:p>
      <w:pPr>
        <w:pStyle w:val="H2"/>
        <w:numPr>
          <w:ilvl w:val="1"/>
          <w:numId w:val="1"/>
        </w:numPr>
      </w:pPr>
      <w:r>
        <w:t>8.1 TCO vs Bespoke CBDC Development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2"/>
        <w:gridCol w:w="1630"/>
        <w:gridCol w:w="2650"/>
        <w:gridCol w:w="25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Sovereign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Bespoke CBDC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$1,656,000</w:t>
            </w:r>
          </w:p>
        </w:tc>
        <w:tc>
          <w:tcPr>
            <w:tcW w:type="dxa" w:w="2436"/>
            <w:vAlign w:val="center"/>
          </w:tcPr>
          <w:p>
            <w:pPr>
              <w:spacing w:line="276" w:lineRule="auto" w:before="0" w:after="0"/>
            </w:pPr>
            <w:r/>
            <w:r>
              <w:rPr>
                <w:rFonts w:ascii="Figtree" w:hAnsi="Figtree"/>
                <w:b w:val="0"/>
                <w:i w:val="0"/>
                <w:sz w:val="20"/>
              </w:rPr>
              <w:t>$4,500,000-$6,500,000</w:t>
            </w:r>
          </w:p>
        </w:tc>
        <w:tc>
          <w:tcPr>
            <w:tcW w:type="dxa" w:w="2436"/>
            <w:vAlign w:val="center"/>
          </w:tcPr>
          <w:p>
            <w:pPr>
              <w:spacing w:line="276" w:lineRule="auto" w:before="0" w:after="0"/>
            </w:pPr>
            <w:r/>
            <w:r>
              <w:rPr>
                <w:rFonts w:ascii="Figtree" w:hAnsi="Figtree"/>
                <w:b w:val="0"/>
                <w:i w:val="0"/>
                <w:sz w:val="20"/>
              </w:rPr>
              <w:t>$3,000,000-$4,500,000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$1,080,000</w:t>
            </w:r>
          </w:p>
        </w:tc>
        <w:tc>
          <w:tcPr>
            <w:tcW w:type="dxa" w:w="2436"/>
            <w:vAlign w:val="center"/>
          </w:tcPr>
          <w:p>
            <w:pPr>
              <w:spacing w:line="276" w:lineRule="auto" w:before="0" w:after="0"/>
            </w:pPr>
            <w:r/>
            <w:r>
              <w:rPr>
                <w:rFonts w:ascii="Figtree" w:hAnsi="Figtree"/>
                <w:b w:val="0"/>
                <w:i w:val="0"/>
                <w:sz w:val="20"/>
              </w:rPr>
              <w:t>$1,500,000-$2,000,000</w:t>
            </w:r>
          </w:p>
        </w:tc>
        <w:tc>
          <w:tcPr>
            <w:tcW w:type="dxa" w:w="2436"/>
            <w:vAlign w:val="center"/>
          </w:tcPr>
          <w:p>
            <w:pPr>
              <w:spacing w:line="276" w:lineRule="auto" w:before="0" w:after="0"/>
            </w:pPr>
            <w:r/>
            <w:r>
              <w:rPr>
                <w:rFonts w:ascii="Figtree" w:hAnsi="Figtree"/>
                <w:b w:val="0"/>
                <w:i w:val="0"/>
                <w:sz w:val="20"/>
              </w:rPr>
              <w:t>$1,500,000-$2,000,000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$1,098,000</w:t>
            </w:r>
          </w:p>
        </w:tc>
        <w:tc>
          <w:tcPr>
            <w:tcW w:type="dxa" w:w="2436"/>
            <w:vAlign w:val="center"/>
          </w:tcPr>
          <w:p>
            <w:pPr>
              <w:spacing w:line="276" w:lineRule="auto" w:before="0" w:after="0"/>
            </w:pPr>
            <w:r/>
            <w:r>
              <w:rPr>
                <w:rFonts w:ascii="Figtree" w:hAnsi="Figtree"/>
                <w:b w:val="0"/>
                <w:i w:val="0"/>
                <w:sz w:val="20"/>
              </w:rPr>
              <w:t>$1,500,000-$2,000,000</w:t>
            </w:r>
          </w:p>
        </w:tc>
        <w:tc>
          <w:tcPr>
            <w:tcW w:type="dxa" w:w="2436"/>
            <w:vAlign w:val="center"/>
          </w:tcPr>
          <w:p>
            <w:pPr>
              <w:spacing w:line="276" w:lineRule="auto" w:before="0" w:after="0"/>
            </w:pPr>
            <w:r/>
            <w:r>
              <w:rPr>
                <w:rFonts w:ascii="Figtree" w:hAnsi="Figtree"/>
                <w:b w:val="0"/>
                <w:i w:val="0"/>
                <w:sz w:val="20"/>
              </w:rPr>
              <w:t>$1,500,000-$2,000,000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$3,834,000</w:t>
            </w:r>
          </w:p>
        </w:tc>
        <w:tc>
          <w:tcPr>
            <w:tcW w:type="dxa" w:w="2436"/>
            <w:vAlign w:val="center"/>
          </w:tcPr>
          <w:p>
            <w:pPr>
              <w:spacing w:line="276" w:lineRule="auto" w:before="0" w:after="0"/>
            </w:pPr>
            <w:r/>
            <w:r>
              <w:rPr>
                <w:rFonts w:ascii="Figtree" w:hAnsi="Figtree"/>
                <w:b/>
                <w:i w:val="0"/>
                <w:sz w:val="20"/>
              </w:rPr>
              <w:t>$7,500,000-$10,500,000</w:t>
            </w:r>
          </w:p>
        </w:tc>
        <w:tc>
          <w:tcPr>
            <w:tcW w:type="dxa" w:w="2436"/>
            <w:vAlign w:val="center"/>
          </w:tcPr>
          <w:p>
            <w:pPr>
              <w:spacing w:line="276" w:lineRule="auto" w:before="0" w:after="0"/>
            </w:pPr>
            <w:r/>
            <w:r>
              <w:rPr>
                <w:rFonts w:ascii="Figtree" w:hAnsi="Figtree"/>
                <w:b/>
                <w:i w:val="0"/>
                <w:sz w:val="20"/>
              </w:rPr>
              <w:t>$6,000,000-$8,500,000</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pilot</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18-30 months</w:t>
            </w:r>
          </w:p>
        </w:tc>
      </w:tr>
      <w:tr>
        <w:trPr>
          <w:trHeight w:val="425" w:hRule="atLeast"/>
        </w:trPr>
        <w:tc>
          <w:tcPr>
            <w:tcW w:type="dxa" w:w="2436"/>
            <w:vAlign w:val="center"/>
          </w:tcPr>
          <w:p>
            <w:pPr>
              <w:spacing w:line="276" w:lineRule="auto" w:before="0" w:after="0"/>
            </w:pPr>
            <w:r/>
            <w:r>
              <w:rPr>
                <w:rFonts w:ascii="Figtree" w:hAnsi="Figtree"/>
                <w:b w:val="0"/>
                <w:i w:val="0"/>
                <w:sz w:val="20"/>
              </w:rPr>
              <w:t>Examination readiness</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Must build</w:t>
            </w:r>
          </w:p>
        </w:tc>
        <w:tc>
          <w:tcPr>
            <w:tcW w:type="dxa" w:w="2436"/>
            <w:vAlign w:val="center"/>
          </w:tcPr>
          <w:p>
            <w:pPr>
              <w:spacing w:line="276" w:lineRule="auto" w:before="0" w:after="0"/>
            </w:pPr>
            <w:r/>
            <w:r>
              <w:rPr>
                <w:rFonts w:ascii="Figtree" w:hAnsi="Figtree"/>
                <w:b w:val="0"/>
                <w:i w:val="0"/>
                <w:sz w:val="20"/>
              </w:rPr>
              <w:t>Requires integration</w:t>
            </w:r>
          </w:p>
        </w:tc>
      </w:tr>
      <w:tr>
        <w:trPr>
          <w:trHeight w:val="425" w:hRule="atLeast"/>
        </w:trPr>
        <w:tc>
          <w:tcPr>
            <w:tcW w:type="dxa" w:w="2436"/>
            <w:vAlign w:val="center"/>
          </w:tcPr>
          <w:p>
            <w:pPr>
              <w:spacing w:line="276" w:lineRule="auto" w:before="0" w:after="0"/>
            </w:pPr>
            <w:r/>
            <w:r>
              <w:rPr>
                <w:rFonts w:ascii="Figtree" w:hAnsi="Figtree"/>
                <w:b w:val="0"/>
                <w:i w:val="0"/>
                <w:sz w:val="20"/>
              </w:rPr>
              <w:t>Project Aber alignment</w:t>
            </w:r>
          </w:p>
        </w:tc>
        <w:tc>
          <w:tcPr>
            <w:tcW w:type="dxa" w:w="2436"/>
            <w:vAlign w:val="center"/>
          </w:tcPr>
          <w:p>
            <w:pPr>
              <w:spacing w:line="276" w:lineRule="auto" w:before="0" w:after="0"/>
            </w:pPr>
            <w:r/>
            <w:r>
              <w:rPr>
                <w:rFonts w:ascii="Figtree" w:hAnsi="Figtree"/>
                <w:b w:val="0"/>
                <w:i w:val="0"/>
                <w:sz w:val="20"/>
              </w:rPr>
              <w:t>Yes (same stack)</w:t>
            </w:r>
          </w:p>
        </w:tc>
        <w:tc>
          <w:tcPr>
            <w:tcW w:type="dxa" w:w="2436"/>
            <w:vAlign w:val="center"/>
          </w:tcPr>
          <w:p>
            <w:pPr>
              <w:spacing w:line="276" w:lineRule="auto" w:before="0" w:after="0"/>
            </w:pPr>
            <w:r/>
            <w:r>
              <w:rPr>
                <w:rFonts w:ascii="Figtree" w:hAnsi="Figtree"/>
                <w:b w:val="0"/>
                <w:i w:val="0"/>
                <w:sz w:val="20"/>
              </w:rPr>
              <w:t>Design from scratch</w:t>
            </w:r>
          </w:p>
        </w:tc>
        <w:tc>
          <w:tcPr>
            <w:tcW w:type="dxa" w:w="2436"/>
            <w:vAlign w:val="center"/>
          </w:tcPr>
          <w:p>
            <w:pPr>
              <w:spacing w:line="276" w:lineRule="auto" w:before="0" w:after="0"/>
            </w:pPr>
            <w:r/>
            <w:r>
              <w:rPr>
                <w:rFonts w:ascii="Figtree" w:hAnsi="Figtree"/>
                <w:b w:val="0"/>
                <w:i w:val="0"/>
                <w:sz w:val="20"/>
              </w:rPr>
              <w:t>Uncertain</w:t>
            </w:r>
          </w:p>
        </w:tc>
      </w:tr>
      <w:tr>
        <w:trPr>
          <w:trHeight w:val="425" w:hRule="atLeast"/>
        </w:trPr>
        <w:tc>
          <w:tcPr>
            <w:tcW w:type="dxa" w:w="2436"/>
            <w:vAlign w:val="center"/>
          </w:tcPr>
          <w:p>
            <w:pPr>
              <w:spacing w:line="276" w:lineRule="auto" w:before="0" w:after="0"/>
            </w:pPr>
            <w:r/>
            <w:r>
              <w:rPr>
                <w:rFonts w:ascii="Figtree" w:hAnsi="Figtree"/>
                <w:b w:val="0"/>
                <w:i w:val="0"/>
                <w:sz w:val="20"/>
              </w:rPr>
              <w:t>Sovereignty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Depends on design</w:t>
            </w:r>
          </w:p>
        </w:tc>
        <w:tc>
          <w:tcPr>
            <w:tcW w:type="dxa" w:w="2436"/>
            <w:vAlign w:val="center"/>
          </w:tcPr>
          <w:p>
            <w:pPr>
              <w:spacing w:line="276" w:lineRule="auto" w:before="0" w:after="0"/>
            </w:pPr>
            <w:r/>
            <w:r>
              <w:rPr>
                <w:rFonts w:ascii="Figtree" w:hAnsi="Figtree"/>
                <w:b w:val="0"/>
                <w:i w:val="0"/>
                <w:sz w:val="20"/>
              </w:rPr>
              <w:t>Uncertain</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6"/>
        <w:gridCol w:w="3256"/>
        <w:gridCol w:w="34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Bespoke</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$1,656,000</w:t>
            </w:r>
          </w:p>
        </w:tc>
        <w:tc>
          <w:tcPr>
            <w:tcW w:type="dxa" w:w="3249"/>
            <w:vAlign w:val="center"/>
          </w:tcPr>
          <w:p>
            <w:pPr>
              <w:spacing w:line="276" w:lineRule="auto" w:before="0" w:after="0"/>
            </w:pPr>
            <w:r/>
            <w:r>
              <w:rPr>
                <w:rFonts w:ascii="Figtree" w:hAnsi="Figtree"/>
                <w:b w:val="0"/>
                <w:i w:val="0"/>
                <w:sz w:val="20"/>
              </w:rPr>
              <w:t>$5,000,000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$1,080,000</w:t>
            </w:r>
          </w:p>
        </w:tc>
        <w:tc>
          <w:tcPr>
            <w:tcW w:type="dxa" w:w="3249"/>
            <w:vAlign w:val="center"/>
          </w:tcPr>
          <w:p>
            <w:pPr>
              <w:spacing w:line="276" w:lineRule="auto" w:before="0" w:after="0"/>
            </w:pPr>
            <w:r/>
            <w:r>
              <w:rPr>
                <w:rFonts w:ascii="Figtree" w:hAnsi="Figtree"/>
                <w:b w:val="0"/>
                <w:i w:val="0"/>
                <w:sz w:val="20"/>
              </w:rPr>
              <w:t>$1,700,000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$1,098,000</w:t>
            </w:r>
          </w:p>
        </w:tc>
        <w:tc>
          <w:tcPr>
            <w:tcW w:type="dxa" w:w="3249"/>
            <w:vAlign w:val="center"/>
          </w:tcPr>
          <w:p>
            <w:pPr>
              <w:spacing w:line="276" w:lineRule="auto" w:before="0" w:after="0"/>
            </w:pPr>
            <w:r/>
            <w:r>
              <w:rPr>
                <w:rFonts w:ascii="Figtree" w:hAnsi="Figtree"/>
                <w:b w:val="0"/>
                <w:i w:val="0"/>
                <w:sz w:val="20"/>
              </w:rPr>
              <w:t>$1,700,000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$1,098,000</w:t>
            </w:r>
          </w:p>
        </w:tc>
        <w:tc>
          <w:tcPr>
            <w:tcW w:type="dxa" w:w="3249"/>
            <w:vAlign w:val="center"/>
          </w:tcPr>
          <w:p>
            <w:pPr>
              <w:spacing w:line="276" w:lineRule="auto" w:before="0" w:after="0"/>
            </w:pPr>
            <w:r/>
            <w:r>
              <w:rPr>
                <w:rFonts w:ascii="Figtree" w:hAnsi="Figtree"/>
                <w:b w:val="0"/>
                <w:i w:val="0"/>
                <w:sz w:val="20"/>
              </w:rPr>
              <w:t>$1,800,000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$1,098,000</w:t>
            </w:r>
          </w:p>
        </w:tc>
        <w:tc>
          <w:tcPr>
            <w:tcW w:type="dxa" w:w="3249"/>
            <w:vAlign w:val="center"/>
          </w:tcPr>
          <w:p>
            <w:pPr>
              <w:spacing w:line="276" w:lineRule="auto" w:before="0" w:after="0"/>
            </w:pPr>
            <w:r/>
            <w:r>
              <w:rPr>
                <w:rFonts w:ascii="Figtree" w:hAnsi="Figtree"/>
                <w:b w:val="0"/>
                <w:i w:val="0"/>
                <w:sz w:val="20"/>
              </w:rPr>
              <w:t>$1,900,000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$6,030,000</w:t>
            </w:r>
          </w:p>
        </w:tc>
        <w:tc>
          <w:tcPr>
            <w:tcW w:type="dxa" w:w="3249"/>
            <w:vAlign w:val="center"/>
          </w:tcPr>
          <w:p>
            <w:pPr>
              <w:spacing w:line="276" w:lineRule="auto" w:before="0" w:after="0"/>
            </w:pPr>
            <w:r/>
            <w:r>
              <w:rPr>
                <w:rFonts w:ascii="Figtree" w:hAnsi="Figtree"/>
                <w:b/>
                <w:i w:val="0"/>
                <w:sz w:val="20"/>
              </w:rPr>
              <w:t>$12,100,000</w:t>
            </w:r>
          </w:p>
        </w:tc>
      </w:tr>
    </w:tbl>
    <w:p>
      <w:pPr>
        <w:spacing w:before="0" w:after="0" w:line="120" w:lineRule="exact"/>
      </w:pPr>
    </w:p>
    <w:p>
      <w:r>
        <w:rPr>
          <w:rFonts w:ascii="Figtree" w:hAnsi="Figtree"/>
          <w:b w:val="0"/>
          <w:i w:val="0"/>
          <w:sz w:val="22"/>
        </w:rPr>
        <w:t>5-year DALP advantage: $6,070,000 vs bespoke build; $4,400,000+ vs multi-vendor assembly.</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4"/>
        <w:gridCol w:w="2324"/>
        <w:gridCol w:w="51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SAMA</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Digital Dirham CBDC infrastructure</w:t>
            </w:r>
          </w:p>
        </w:tc>
        <w:tc>
          <w:tcPr>
            <w:tcW w:type="dxa" w:w="3249"/>
            <w:vAlign w:val="center"/>
          </w:tcPr>
          <w:p>
            <w:pPr>
              <w:spacing w:line="276" w:lineRule="auto" w:before="0" w:after="0"/>
            </w:pPr>
            <w:r/>
            <w:r>
              <w:rPr>
                <w:rFonts w:ascii="Figtree" w:hAnsi="Figtree"/>
                <w:b w:val="0"/>
                <w:i w:val="0"/>
                <w:sz w:val="20"/>
              </w:rPr>
              <w:t>Gulf central bank CBDC deployment; UAE data sovereignty; Project Aber technical continuity</w:t>
            </w:r>
          </w:p>
        </w:tc>
      </w:tr>
      <w:tr>
        <w:trPr>
          <w:trHeight w:val="425" w:hRule="atLeast"/>
        </w:trPr>
        <w:tc>
          <w:tcPr>
            <w:tcW w:type="dxa" w:w="3249"/>
            <w:vAlign w:val="center"/>
          </w:tcPr>
          <w:p>
            <w:pPr>
              <w:spacing w:line="276" w:lineRule="auto" w:before="0" w:after="0"/>
            </w:pPr>
            <w:r/>
            <w:r>
              <w:rPr>
                <w:rFonts w:ascii="Figtree" w:hAnsi="Figtree"/>
                <w:b w:val="0"/>
                <w:i w:val="0"/>
                <w:sz w:val="20"/>
              </w:rPr>
              <w:t>Project Aber (SAMA-CBUAE-BIS)</w:t>
            </w:r>
          </w:p>
        </w:tc>
        <w:tc>
          <w:tcPr>
            <w:tcW w:type="dxa" w:w="3249"/>
            <w:vAlign w:val="center"/>
          </w:tcPr>
          <w:p>
            <w:pPr>
              <w:spacing w:line="276" w:lineRule="auto" w:before="0" w:after="0"/>
            </w:pPr>
            <w:r/>
            <w:r>
              <w:rPr>
                <w:rFonts w:ascii="Figtree" w:hAnsi="Figtree"/>
                <w:b w:val="0"/>
                <w:i w:val="0"/>
                <w:sz w:val="20"/>
              </w:rPr>
              <w:t>Wholesale interbank CBDC pilot</w:t>
            </w:r>
          </w:p>
        </w:tc>
        <w:tc>
          <w:tcPr>
            <w:tcW w:type="dxa" w:w="3249"/>
            <w:vAlign w:val="center"/>
          </w:tcPr>
          <w:p>
            <w:pPr>
              <w:spacing w:line="276" w:lineRule="auto" w:before="0" w:after="0"/>
            </w:pPr>
            <w:r/>
            <w:r>
              <w:rPr>
                <w:rFonts w:ascii="Figtree" w:hAnsi="Figtree"/>
                <w:b w:val="0"/>
                <w:i w:val="0"/>
                <w:sz w:val="20"/>
              </w:rPr>
              <w:t>Same technical stack (Besu/IBFT); same regulatory context</w:t>
            </w:r>
          </w:p>
        </w:tc>
      </w:tr>
      <w:tr>
        <w:trPr>
          <w:trHeight w:val="425" w:hRule="atLeast"/>
        </w:trPr>
        <w:tc>
          <w:tcPr>
            <w:tcW w:type="dxa" w:w="3249"/>
            <w:vAlign w:val="center"/>
          </w:tcPr>
          <w:p>
            <w:pPr>
              <w:spacing w:line="276" w:lineRule="auto" w:before="0" w:after="0"/>
            </w:pPr>
            <w:r/>
            <w:r>
              <w:rPr>
                <w:rFonts w:ascii="Figtree" w:hAnsi="Figtree"/>
                <w:b w:val="0"/>
                <w:i w:val="0"/>
                <w:sz w:val="20"/>
              </w:rPr>
              <w:t>Al Rajhi Bank</w:t>
            </w:r>
          </w:p>
        </w:tc>
        <w:tc>
          <w:tcPr>
            <w:tcW w:type="dxa" w:w="3249"/>
            <w:vAlign w:val="center"/>
          </w:tcPr>
          <w:p>
            <w:pPr>
              <w:spacing w:line="276" w:lineRule="auto" w:before="0" w:after="0"/>
            </w:pPr>
            <w:r/>
            <w:r>
              <w:rPr>
                <w:rFonts w:ascii="Figtree" w:hAnsi="Figtree"/>
                <w:b w:val="0"/>
                <w:i w:val="0"/>
                <w:sz w:val="20"/>
              </w:rPr>
              <w:t>Sharia-compliant tokenized products (KSA)</w:t>
            </w:r>
          </w:p>
        </w:tc>
        <w:tc>
          <w:tcPr>
            <w:tcW w:type="dxa" w:w="3249"/>
            <w:vAlign w:val="center"/>
          </w:tcPr>
          <w:p>
            <w:pPr>
              <w:spacing w:line="276" w:lineRule="auto" w:before="0" w:after="0"/>
            </w:pPr>
            <w:r/>
            <w:r>
              <w:rPr>
                <w:rFonts w:ascii="Figtree" w:hAnsi="Figtree"/>
                <w:b w:val="0"/>
                <w:i w:val="0"/>
                <w:sz w:val="20"/>
              </w:rPr>
              <w:t>KSA regulatory environment; Islamic finance compliance</w:t>
            </w:r>
          </w:p>
        </w:tc>
      </w:tr>
      <w:tr>
        <w:trPr>
          <w:trHeight w:val="425" w:hRule="atLeast"/>
        </w:trPr>
        <w:tc>
          <w:tcPr>
            <w:tcW w:type="dxa" w:w="3249"/>
            <w:vAlign w:val="center"/>
          </w:tcPr>
          <w:p>
            <w:pPr>
              <w:spacing w:line="276" w:lineRule="auto" w:before="0" w:after="0"/>
            </w:pPr>
            <w:r/>
            <w:r>
              <w:rPr>
                <w:rFonts w:ascii="Figtree" w:hAnsi="Figtree"/>
                <w:b w:val="0"/>
                <w:i w:val="0"/>
                <w:sz w:val="20"/>
              </w:rPr>
              <w:t>Saudi National Bank</w:t>
            </w:r>
          </w:p>
        </w:tc>
        <w:tc>
          <w:tcPr>
            <w:tcW w:type="dxa" w:w="3249"/>
            <w:vAlign w:val="center"/>
          </w:tcPr>
          <w:p>
            <w:pPr>
              <w:spacing w:line="276" w:lineRule="auto" w:before="0" w:after="0"/>
            </w:pPr>
            <w:r/>
            <w:r>
              <w:rPr>
                <w:rFonts w:ascii="Figtree" w:hAnsi="Figtree"/>
                <w:b w:val="0"/>
                <w:i w:val="0"/>
                <w:sz w:val="20"/>
              </w:rPr>
              <w:t>Fixed income digital assets (KSA)</w:t>
            </w:r>
          </w:p>
        </w:tc>
        <w:tc>
          <w:tcPr>
            <w:tcW w:type="dxa" w:w="3249"/>
            <w:vAlign w:val="center"/>
          </w:tcPr>
          <w:p>
            <w:pPr>
              <w:spacing w:line="276" w:lineRule="auto" w:before="0" w:after="0"/>
            </w:pPr>
            <w:r/>
            <w:r>
              <w:rPr>
                <w:rFonts w:ascii="Figtree" w:hAnsi="Figtree"/>
                <w:b w:val="0"/>
                <w:i w:val="0"/>
                <w:sz w:val="20"/>
              </w:rPr>
              <w:t>KSA deployment experience; SAMA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BIS Innovation Hub (research)</w:t>
            </w:r>
          </w:p>
        </w:tc>
        <w:tc>
          <w:tcPr>
            <w:tcW w:type="dxa" w:w="3249"/>
            <w:vAlign w:val="center"/>
          </w:tcPr>
          <w:p>
            <w:pPr>
              <w:spacing w:line="276" w:lineRule="auto" w:before="0" w:after="0"/>
            </w:pPr>
            <w:r/>
            <w:r>
              <w:rPr>
                <w:rFonts w:ascii="Figtree" w:hAnsi="Figtree"/>
                <w:b w:val="0"/>
                <w:i w:val="0"/>
                <w:sz w:val="20"/>
              </w:rPr>
              <w:t>CBDC research engagement</w:t>
            </w:r>
          </w:p>
        </w:tc>
        <w:tc>
          <w:tcPr>
            <w:tcW w:type="dxa" w:w="3249"/>
            <w:vAlign w:val="center"/>
          </w:tcPr>
          <w:p>
            <w:pPr>
              <w:spacing w:line="276" w:lineRule="auto" w:before="0" w:after="0"/>
            </w:pPr>
            <w:r/>
            <w:r>
              <w:rPr>
                <w:rFonts w:ascii="Figtree" w:hAnsi="Figtree"/>
                <w:b w:val="0"/>
                <w:i w:val="0"/>
                <w:sz w:val="20"/>
              </w:rPr>
              <w:t>BIS-level evidence and reporting standards</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40"/>
        <w:gridCol w:w="2268"/>
        <w:gridCol w:w="2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SAMA Programme evaluation</w:t>
            </w:r>
          </w:p>
        </w:tc>
        <w:tc>
          <w:tcPr>
            <w:tcW w:type="dxa" w:w="3249"/>
            <w:vAlign w:val="center"/>
          </w:tcPr>
          <w:p>
            <w:pPr>
              <w:spacing w:line="276" w:lineRule="auto" w:before="0" w:after="0"/>
            </w:pPr>
            <w:r/>
            <w:r>
              <w:rPr>
                <w:rFonts w:ascii="Figtree" w:hAnsi="Figtree"/>
                <w:b w:val="0"/>
                <w:i w:val="0"/>
                <w:sz w:val="20"/>
              </w:rPr>
              <w:t>SAMA Innovation/IT</w:t>
            </w:r>
          </w:p>
        </w:tc>
        <w:tc>
          <w:tcPr>
            <w:tcW w:type="dxa" w:w="3249"/>
            <w:vAlign w:val="center"/>
          </w:tcPr>
          <w:p>
            <w:pPr>
              <w:spacing w:line="276" w:lineRule="auto" w:before="0" w:after="0"/>
            </w:pPr>
            <w:r/>
            <w:r>
              <w:rPr>
                <w:rFonts w:ascii="Figtree" w:hAnsi="Figtree"/>
                <w:b w:val="0"/>
                <w:i w:val="0"/>
                <w:sz w:val="20"/>
              </w:rPr>
              <w:t>Week 1-3</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 to SAMA Architecture</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SAMA Security review session</w:t>
            </w:r>
          </w:p>
        </w:tc>
        <w:tc>
          <w:tcPr>
            <w:tcW w:type="dxa" w:w="3249"/>
            <w:vAlign w:val="center"/>
          </w:tcPr>
          <w:p>
            <w:pPr>
              <w:spacing w:line="276" w:lineRule="auto" w:before="0" w:after="0"/>
            </w:pPr>
            <w:r/>
            <w:r>
              <w:rPr>
                <w:rFonts w:ascii="Figtree" w:hAnsi="Figtree"/>
                <w:b w:val="0"/>
                <w:i w:val="0"/>
                <w:sz w:val="20"/>
              </w:rPr>
              <w:t>SettleMint + SAMA IS</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HSM vendor selection discussion</w:t>
            </w:r>
          </w:p>
        </w:tc>
        <w:tc>
          <w:tcPr>
            <w:tcW w:type="dxa" w:w="3249"/>
            <w:vAlign w:val="center"/>
          </w:tcPr>
          <w:p>
            <w:pPr>
              <w:spacing w:line="276" w:lineRule="auto" w:before="0" w:after="0"/>
            </w:pPr>
            <w:r/>
            <w:r>
              <w:rPr>
                <w:rFonts w:ascii="Figtree" w:hAnsi="Figtree"/>
                <w:b w:val="0"/>
                <w:i w:val="0"/>
                <w:sz w:val="20"/>
              </w:rPr>
              <w:t>SAMA IT + SettleMint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SARIE integration specification workshop</w:t>
            </w:r>
          </w:p>
        </w:tc>
        <w:tc>
          <w:tcPr>
            <w:tcW w:type="dxa" w:w="3249"/>
            <w:vAlign w:val="center"/>
          </w:tcPr>
          <w:p>
            <w:pPr>
              <w:spacing w:line="276" w:lineRule="auto" w:before="0" w:after="0"/>
            </w:pPr>
            <w:r/>
            <w:r>
              <w:rPr>
                <w:rFonts w:ascii="Figtree" w:hAnsi="Figtree"/>
                <w:b w:val="0"/>
                <w:i w:val="0"/>
                <w:sz w:val="20"/>
              </w:rPr>
              <w:t>Both + SARIE team</w:t>
            </w:r>
          </w:p>
        </w:tc>
        <w:tc>
          <w:tcPr>
            <w:tcW w:type="dxa" w:w="3249"/>
            <w:vAlign w:val="center"/>
          </w:tcPr>
          <w:p>
            <w:pPr>
              <w:spacing w:line="276" w:lineRule="auto" w:before="0" w:after="0"/>
            </w:pPr>
            <w:r/>
            <w:r>
              <w:rPr>
                <w:rFonts w:ascii="Figtree" w:hAnsi="Figtree"/>
                <w:b w:val="0"/>
                <w:i w:val="0"/>
                <w:sz w:val="20"/>
              </w:rPr>
              <w:t>Week 4</w:t>
            </w:r>
          </w:p>
        </w:tc>
      </w:tr>
      <w:tr>
        <w:trPr>
          <w:trHeight w:val="425" w:hRule="atLeast"/>
        </w:trPr>
        <w:tc>
          <w:tcPr>
            <w:tcW w:type="dxa" w:w="3249"/>
            <w:vAlign w:val="center"/>
          </w:tcPr>
          <w:p>
            <w:pPr>
              <w:spacing w:line="276" w:lineRule="auto" w:before="0" w:after="0"/>
            </w:pPr>
            <w:r/>
            <w:r>
              <w:rPr>
                <w:rFonts w:ascii="Figtree" w:hAnsi="Figtree"/>
                <w:b w:val="0"/>
                <w:i w:val="0"/>
                <w:sz w:val="20"/>
              </w:rPr>
              <w:t>Sovereign contract terms discussion</w:t>
            </w:r>
          </w:p>
        </w:tc>
        <w:tc>
          <w:tcPr>
            <w:tcW w:type="dxa" w:w="3249"/>
            <w:vAlign w:val="center"/>
          </w:tcPr>
          <w:p>
            <w:pPr>
              <w:spacing w:line="276" w:lineRule="auto" w:before="0" w:after="0"/>
            </w:pPr>
            <w:r/>
            <w:r>
              <w:rPr>
                <w:rFonts w:ascii="Figtree" w:hAnsi="Figtree"/>
                <w:b w:val="0"/>
                <w:i w:val="0"/>
                <w:sz w:val="20"/>
              </w:rPr>
              <w:t>SAMA Legal + SettleMint</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Commercial agreement finalization</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5-7</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2 weeks of contract</w:t>
            </w:r>
          </w:p>
        </w:tc>
      </w:tr>
    </w:tbl>
    <w:p>
      <w:pPr>
        <w:spacing w:before="0" w:after="0" w:line="120" w:lineRule="exact"/>
      </w:pPr>
    </w:p>
    <w:p>
      <w:r>
        <w:rPr>
          <w:rFonts w:ascii="Figtree" w:hAnsi="Figtree"/>
          <w:b w:val="0"/>
          <w:i w:val="0"/>
          <w:sz w:val="22"/>
        </w:rPr>
        <w:t>SettleMint is prepared for SAMA IT governance review sessions, security architecture walkthroughs, and SAMA board-level briefings as appropriate to the procurement process.</w:t>
      </w:r>
    </w:p>
    <w:p>
      <w:r>
        <w:br w:type="page"/>
      </w:r>
    </w:p>
    <w:p>
      <w:r>
        <w:rPr>
          <w:rFonts w:ascii="Figtree" w:hAnsi="Figtree"/>
          <w:b w:val="0"/>
          <w:i/>
          <w:sz w:val="22"/>
        </w:rPr>
        <w:t>End of Commercial Proposal — SAMA Saudi Central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