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Platform and Supervised Market Access</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1.1 Commercial Recommendation</w:t>
          </w:r>
          <w:r>
            <w:tab/>
          </w:r>
          <w:r>
            <w:t xml:space="preserve">6</w:t>
          </w:r>
        </w:p>
        <w:p>
          <w:pPr>
            <w:pStyle w:val="TOC2"/>
            <w:tabs>
              <w:tab w:val="right" w:leader="dot" w:pos="9072"/>
            </w:tabs>
          </w:pPr>
          <w:r>
            <w:t xml:space="preserve">1.2 Summary of Investment</w:t>
          </w:r>
          <w:r>
            <w:tab/>
          </w:r>
          <w:r>
            <w:t xml:space="preserve">7</w:t>
          </w:r>
        </w:p>
        <w:p>
          <w:pPr>
            <w:pStyle w:val="TOC2"/>
            <w:tabs>
              <w:tab w:val="right" w:leader="dot" w:pos="9072"/>
            </w:tabs>
          </w:pPr>
          <w:r>
            <w:t xml:space="preserve">1.3 Why This Commercial Model</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The Cost of Current Approach</w:t>
          </w:r>
          <w:r>
            <w:tab/>
          </w:r>
          <w:r>
            <w:t xml:space="preserve">10</w:t>
          </w:r>
        </w:p>
        <w:p>
          <w:pPr>
            <w:pStyle w:val="TOC2"/>
            <w:tabs>
              <w:tab w:val="right" w:leader="dot" w:pos="9072"/>
            </w:tabs>
          </w:pPr>
          <w:r>
            <w:t xml:space="preserve">2.2 How DALP Changes the Economics</w:t>
          </w:r>
          <w:r>
            <w:tab/>
          </w:r>
          <w:r>
            <w:t xml:space="preserve">11</w:t>
          </w:r>
        </w:p>
        <w:p>
          <w:pPr>
            <w:pStyle w:val="TOC2"/>
            <w:tabs>
              <w:tab w:val="right" w:leader="dot" w:pos="9072"/>
            </w:tabs>
          </w:pPr>
          <w:r>
            <w:t xml:space="preserve">2.3 ROI Framework</w:t>
          </w:r>
          <w:r>
            <w:tab/>
          </w:r>
          <w:r>
            <w:t xml:space="preserve">12</w:t>
          </w:r>
        </w:p>
        <w:p>
          <w:pPr>
            <w:pStyle w:val="TOC1"/>
            <w:tabs>
              <w:tab w:val="right" w:leader="dot" w:pos="9072"/>
            </w:tabs>
          </w:pPr>
          <w:r>
            <w:t xml:space="preserve">3. Proposed Commercial Model</w:t>
          </w:r>
          <w:r>
            <w:tab/>
          </w:r>
          <w:r>
            <w:t xml:space="preserve">13</w:t>
          </w:r>
        </w:p>
        <w:p>
          <w:pPr>
            <w:pStyle w:val="TOC2"/>
            <w:tabs>
              <w:tab w:val="right" w:leader="dot" w:pos="9072"/>
            </w:tabs>
          </w:pPr>
          <w:r>
            <w:t xml:space="preserve">3.1 Commercial Structure</w:t>
          </w:r>
          <w:r>
            <w:tab/>
          </w:r>
          <w:r>
            <w:t xml:space="preserve">14</w:t>
          </w:r>
        </w:p>
        <w:p>
          <w:pPr>
            <w:pStyle w:val="TOC2"/>
            <w:tabs>
              <w:tab w:val="right" w:leader="dot" w:pos="9072"/>
            </w:tabs>
          </w:pPr>
          <w:r>
            <w:t xml:space="preserve">3.2 Deployment Model: Private Cloud</w:t>
          </w:r>
          <w:r>
            <w:tab/>
          </w:r>
          <w:r>
            <w:t xml:space="preserve">15</w:t>
          </w:r>
        </w:p>
        <w:p>
          <w:pPr>
            <w:pStyle w:val="TOC2"/>
            <w:tabs>
              <w:tab w:val="right" w:leader="dot" w:pos="9072"/>
            </w:tabs>
          </w:pPr>
          <w:r>
            <w:t xml:space="preserve">3.3 Support Tier Recommendation</w:t>
          </w:r>
          <w:r>
            <w:tab/>
          </w:r>
          <w:r>
            <w:t xml:space="preserve">16</w:t>
          </w:r>
        </w:p>
        <w:p>
          <w:pPr>
            <w:pStyle w:val="TOC1"/>
            <w:tabs>
              <w:tab w:val="right" w:leader="dot" w:pos="9072"/>
            </w:tabs>
          </w:pPr>
          <w:r>
            <w:t xml:space="preserve">4. Investment Summary</w:t>
          </w:r>
          <w:r>
            <w:tab/>
          </w:r>
          <w:r>
            <w:t xml:space="preserve">17</w:t>
          </w:r>
        </w:p>
        <w:p>
          <w:pPr>
            <w:pStyle w:val="TOC2"/>
            <w:tabs>
              <w:tab w:val="right" w:leader="dot" w:pos="9072"/>
            </w:tabs>
          </w:pPr>
          <w:r>
            <w:t xml:space="preserve">4.1 Investment Components</w:t>
          </w:r>
          <w:r>
            <w:tab/>
          </w:r>
          <w:r>
            <w:t xml:space="preserve">18</w:t>
          </w:r>
        </w:p>
        <w:p>
          <w:pPr>
            <w:pStyle w:val="TOC2"/>
            <w:tabs>
              <w:tab w:val="right" w:leader="dot" w:pos="9072"/>
            </w:tabs>
          </w:pPr>
          <w:r>
            <w:t xml:space="preserve">4.2 Payment Terms</w:t>
          </w:r>
          <w:r>
            <w:tab/>
          </w:r>
          <w:r>
            <w:t xml:space="preserve">19</w:t>
          </w:r>
        </w:p>
        <w:p>
          <w:pPr>
            <w:pStyle w:val="TOC2"/>
            <w:tabs>
              <w:tab w:val="right" w:leader="dot" w:pos="9072"/>
            </w:tabs>
          </w:pPr>
          <w:r>
            <w:t xml:space="preserve">4.3 Assumptions</w:t>
          </w:r>
          <w:r>
            <w:tab/>
          </w:r>
          <w:r>
            <w:t xml:space="preserve">20</w:t>
          </w:r>
        </w:p>
        <w:p>
          <w:pPr>
            <w:pStyle w:val="TOC1"/>
            <w:tabs>
              <w:tab w:val="right" w:leader="dot" w:pos="9072"/>
            </w:tabs>
          </w:pPr>
          <w:r>
            <w:t xml:space="preserve">5. Implementation Investment</w:t>
          </w:r>
          <w:r>
            <w:tab/>
          </w:r>
          <w:r>
            <w:t xml:space="preserve">21</w:t>
          </w:r>
        </w:p>
        <w:p>
          <w:pPr>
            <w:pStyle w:val="TOC2"/>
            <w:tabs>
              <w:tab w:val="right" w:leader="dot" w:pos="9072"/>
            </w:tabs>
          </w:pPr>
          <w:r>
            <w:t xml:space="preserve">5.1 Phase-Based Investment</w:t>
          </w:r>
          <w:r>
            <w:tab/>
          </w:r>
          <w:r>
            <w:t xml:space="preserve">22</w:t>
          </w:r>
        </w:p>
        <w:p>
          <w:pPr>
            <w:pStyle w:val="TOC2"/>
            <w:tabs>
              <w:tab w:val="right" w:leader="dot" w:pos="9072"/>
            </w:tabs>
          </w:pPr>
          <w:r>
            <w:t xml:space="preserve">5.2 Client Investment Contribution</w:t>
          </w:r>
          <w:r>
            <w:tab/>
          </w:r>
          <w:r>
            <w:t xml:space="preserve">23</w:t>
          </w:r>
        </w:p>
        <w:p>
          <w:pPr>
            <w:pStyle w:val="TOC2"/>
            <w:tabs>
              <w:tab w:val="right" w:leader="dot" w:pos="9072"/>
            </w:tabs>
          </w:pPr>
          <w:r>
            <w:t xml:space="preserve">5.3 Investment Protection</w:t>
          </w:r>
          <w:r>
            <w:tab/>
          </w:r>
          <w:r>
            <w:t xml:space="preserve">24</w:t>
          </w:r>
        </w:p>
        <w:p>
          <w:pPr>
            <w:pStyle w:val="TOC1"/>
            <w:tabs>
              <w:tab w:val="right" w:leader="dot" w:pos="9072"/>
            </w:tabs>
          </w:pPr>
          <w:r>
            <w:t xml:space="preserve">6. Ongoing Operational Costs</w:t>
          </w:r>
          <w:r>
            <w:tab/>
          </w:r>
          <w:r>
            <w:t xml:space="preserve">25</w:t>
          </w:r>
        </w:p>
        <w:p>
          <w:pPr>
            <w:pStyle w:val="TOC2"/>
            <w:tabs>
              <w:tab w:val="right" w:leader="dot" w:pos="9072"/>
            </w:tabs>
          </w:pPr>
          <w:r>
            <w:t xml:space="preserve">6.1 Environment Fees</w:t>
          </w:r>
          <w:r>
            <w:tab/>
          </w:r>
          <w:r>
            <w:t xml:space="preserve">26</w:t>
          </w:r>
        </w:p>
        <w:p>
          <w:pPr>
            <w:pStyle w:val="TOC2"/>
            <w:tabs>
              <w:tab w:val="right" w:leader="dot" w:pos="9072"/>
            </w:tabs>
          </w:pPr>
          <w:r>
            <w:t xml:space="preserve">6.2 Support Fees</w:t>
          </w:r>
          <w:r>
            <w:tab/>
          </w:r>
          <w:r>
            <w:t xml:space="preserve">27</w:t>
          </w:r>
        </w:p>
        <w:p>
          <w:pPr>
            <w:pStyle w:val="TOC2"/>
            <w:tabs>
              <w:tab w:val="right" w:leader="dot" w:pos="9072"/>
            </w:tabs>
          </w:pPr>
          <w:r>
            <w:t xml:space="preserve">6.3 Cost Optimization</w:t>
          </w:r>
          <w:r>
            <w:tab/>
          </w:r>
          <w:r>
            <w:t xml:space="preserve">28</w:t>
          </w:r>
        </w:p>
        <w:p>
          <w:pPr>
            <w:pStyle w:val="TOC1"/>
            <w:tabs>
              <w:tab w:val="right" w:leader="dot" w:pos="9072"/>
            </w:tabs>
          </w:pPr>
          <w:r>
            <w:t xml:space="preserve">7. Commercial Terms</w:t>
          </w:r>
          <w:r>
            <w:tab/>
          </w:r>
          <w:r>
            <w:t xml:space="preserve">29</w:t>
          </w:r>
        </w:p>
        <w:p>
          <w:pPr>
            <w:pStyle w:val="TOC2"/>
            <w:tabs>
              <w:tab w:val="right" w:leader="dot" w:pos="9072"/>
            </w:tabs>
          </w:pPr>
          <w:r>
            <w:t xml:space="preserve">7.1 Contract Structure</w:t>
          </w:r>
          <w:r>
            <w:tab/>
          </w:r>
          <w:r>
            <w:t xml:space="preserve">30</w:t>
          </w:r>
        </w:p>
        <w:p>
          <w:pPr>
            <w:pStyle w:val="TOC2"/>
            <w:tabs>
              <w:tab w:val="right" w:leader="dot" w:pos="9072"/>
            </w:tabs>
          </w:pPr>
          <w:r>
            <w:t xml:space="preserve">7.2 Contract Terms</w:t>
          </w:r>
          <w:r>
            <w:tab/>
          </w:r>
          <w:r>
            <w:t xml:space="preserve">31</w:t>
          </w:r>
        </w:p>
        <w:p>
          <w:pPr>
            <w:pStyle w:val="TOC2"/>
            <w:tabs>
              <w:tab w:val="right" w:leader="dot" w:pos="9072"/>
            </w:tabs>
          </w:pPr>
          <w:r>
            <w:t xml:space="preserve">7.3 Service Level Agreement</w:t>
          </w:r>
          <w:r>
            <w:tab/>
          </w:r>
          <w:r>
            <w:t xml:space="preserve">32</w:t>
          </w:r>
        </w:p>
        <w:p>
          <w:pPr>
            <w:pStyle w:val="TOC2"/>
            <w:tabs>
              <w:tab w:val="right" w:leader="dot" w:pos="9072"/>
            </w:tabs>
          </w:pPr>
          <w:r>
            <w:t xml:space="preserve">7.4 Liability and Indemnification</w:t>
          </w:r>
          <w:r>
            <w:tab/>
          </w:r>
          <w:r>
            <w:t xml:space="preserve">33</w:t>
          </w:r>
        </w:p>
        <w:p>
          <w:pPr>
            <w:pStyle w:val="TOC1"/>
            <w:tabs>
              <w:tab w:val="right" w:leader="dot" w:pos="9072"/>
            </w:tabs>
          </w:pPr>
          <w:r>
            <w:t xml:space="preserve">8. Value Analysis and ROI</w:t>
          </w:r>
          <w:r>
            <w:tab/>
          </w:r>
          <w:r>
            <w:t xml:space="preserve">34</w:t>
          </w:r>
        </w:p>
        <w:p>
          <w:pPr>
            <w:pStyle w:val="TOC2"/>
            <w:tabs>
              <w:tab w:val="right" w:leader="dot" w:pos="9072"/>
            </w:tabs>
          </w:pPr>
          <w:r>
            <w:t xml:space="preserve">8.1 Cost-Benefit Framework</w:t>
          </w:r>
          <w:r>
            <w:tab/>
          </w:r>
          <w:r>
            <w:t xml:space="preserve">35</w:t>
          </w:r>
        </w:p>
        <w:p>
          <w:pPr>
            <w:pStyle w:val="TOC3"/>
            <w:tabs>
              <w:tab w:val="right" w:leader="dot" w:pos="9072"/>
            </w:tabs>
          </w:pPr>
          <w:r>
            <w:t xml:space="preserve">Cost Avoidance</w:t>
          </w:r>
          <w:r>
            <w:tab/>
          </w:r>
          <w:r>
            <w:t xml:space="preserve">36</w:t>
          </w:r>
        </w:p>
        <w:p>
          <w:pPr>
            <w:pStyle w:val="TOC3"/>
            <w:tabs>
              <w:tab w:val="right" w:leader="dot" w:pos="9072"/>
            </w:tabs>
          </w:pPr>
          <w:r>
            <w:t xml:space="preserve">Operational Efficiency</w:t>
          </w:r>
          <w:r>
            <w:tab/>
          </w:r>
          <w:r>
            <w:t xml:space="preserve">37</w:t>
          </w:r>
        </w:p>
        <w:p>
          <w:pPr>
            <w:pStyle w:val="TOC3"/>
            <w:tabs>
              <w:tab w:val="right" w:leader="dot" w:pos="9072"/>
            </w:tabs>
          </w:pPr>
          <w:r>
            <w:t xml:space="preserve">Risk Reduction</w:t>
          </w:r>
          <w:r>
            <w:tab/>
          </w:r>
          <w:r>
            <w:t xml:space="preserve">38</w:t>
          </w:r>
        </w:p>
        <w:p>
          <w:pPr>
            <w:pStyle w:val="TOC3"/>
            <w:tabs>
              <w:tab w:val="right" w:leader="dot" w:pos="9072"/>
            </w:tabs>
          </w:pPr>
          <w:r>
            <w:t xml:space="preserve">Strategic Enablement</w:t>
          </w:r>
          <w:r>
            <w:tab/>
          </w:r>
          <w:r>
            <w:t xml:space="preserve">39</w:t>
          </w:r>
        </w:p>
        <w:p>
          <w:pPr>
            <w:pStyle w:val="TOC2"/>
            <w:tabs>
              <w:tab w:val="right" w:leader="dot" w:pos="9072"/>
            </w:tabs>
          </w:pPr>
          <w:r>
            <w:t xml:space="preserve">8.2 Total Cost of Ownership</w:t>
          </w:r>
          <w:r>
            <w:tab/>
          </w:r>
          <w:r>
            <w:t xml:space="preserve">40</w:t>
          </w:r>
        </w:p>
        <w:p>
          <w:pPr>
            <w:pStyle w:val="TOC1"/>
            <w:tabs>
              <w:tab w:val="right" w:leader="dot" w:pos="9072"/>
            </w:tabs>
          </w:pPr>
          <w:r>
            <w:t xml:space="preserve">9. Risk and Mitigation</w:t>
          </w:r>
          <w:r>
            <w:tab/>
          </w:r>
          <w:r>
            <w:t xml:space="preserve">41</w:t>
          </w:r>
        </w:p>
        <w:p>
          <w:pPr>
            <w:pStyle w:val="TOC2"/>
            <w:tabs>
              <w:tab w:val="right" w:leader="dot" w:pos="9072"/>
            </w:tabs>
          </w:pPr>
          <w:r>
            <w:t xml:space="preserve">9.1 Commercial Risks</w:t>
          </w:r>
          <w:r>
            <w:tab/>
          </w:r>
          <w:r>
            <w:t xml:space="preserve">42</w:t>
          </w:r>
        </w:p>
        <w:p>
          <w:pPr>
            <w:pStyle w:val="TOC2"/>
            <w:tabs>
              <w:tab w:val="right" w:leader="dot" w:pos="9072"/>
            </w:tabs>
          </w:pPr>
          <w:r>
            <w:t xml:space="preserve">9.2 SettleMint Commitments</w:t>
          </w:r>
          <w:r>
            <w:tab/>
          </w:r>
          <w:r>
            <w:t xml:space="preserve">43</w:t>
          </w:r>
        </w:p>
        <w:p>
          <w:pPr>
            <w:pStyle w:val="TOC1"/>
            <w:tabs>
              <w:tab w:val="right" w:leader="dot" w:pos="9072"/>
            </w:tabs>
          </w:pPr>
          <w:r>
            <w:t xml:space="preserve">10. Appendix: Commercial Schedule</w:t>
          </w:r>
          <w:r>
            <w:tab/>
          </w:r>
          <w:r>
            <w:t xml:space="preserve">44</w:t>
          </w:r>
        </w:p>
        <w:p>
          <w:pPr>
            <w:pStyle w:val="TOC2"/>
            <w:tabs>
              <w:tab w:val="right" w:leader="dot" w:pos="9072"/>
            </w:tabs>
          </w:pPr>
          <w:r>
            <w:t xml:space="preserve">10.1 Pricing Schedule</w:t>
          </w:r>
          <w:r>
            <w:tab/>
          </w:r>
          <w:r>
            <w:t xml:space="preserve">45</w:t>
          </w:r>
        </w:p>
        <w:p>
          <w:pPr>
            <w:pStyle w:val="TOC2"/>
            <w:tabs>
              <w:tab w:val="right" w:leader="dot" w:pos="9072"/>
            </w:tabs>
          </w:pPr>
          <w:r>
            <w:t xml:space="preserve">10.2 Assumptions and Exclusions</w:t>
          </w:r>
          <w:r>
            <w:tab/>
          </w:r>
          <w:r>
            <w:t xml:space="preserve">46</w:t>
          </w:r>
        </w:p>
        <w:p>
          <w:pPr>
            <w:pStyle w:val="TOC1"/>
            <w:tabs>
              <w:tab w:val="right" w:leader="dot" w:pos="9072"/>
            </w:tabs>
          </w:pPr>
          <w:r>
            <w:t xml:space="preserve">Document Control</w:t>
          </w:r>
          <w:r>
            <w:tab/>
          </w:r>
          <w:r>
            <w:t xml:space="preserve">47</w:t>
          </w:r>
        </w:p>
        <w:p>
          <w:pPr>
            <w:pStyle w:val="TOC1"/>
            <w:tabs>
              <w:tab w:val="right" w:leader="dot" w:pos="9072"/>
            </w:tabs>
          </w:pPr>
          <w:r>
            <w:t xml:space="preserve">8. Value Proposition Analysis</w:t>
          </w:r>
          <w:r>
            <w:tab/>
          </w:r>
          <w:r>
            <w:t xml:space="preserve">48</w:t>
          </w:r>
        </w:p>
        <w:p>
          <w:pPr>
            <w:pStyle w:val="TOC2"/>
            <w:tabs>
              <w:tab w:val="right" w:leader="dot" w:pos="9072"/>
            </w:tabs>
          </w:pPr>
          <w:r>
            <w:t xml:space="preserve">8.1 Total Cost of Ownership</w:t>
          </w:r>
          <w:r>
            <w:tab/>
          </w:r>
          <w:r>
            <w:t xml:space="preserve">49</w:t>
          </w:r>
        </w:p>
        <w:p>
          <w:pPr>
            <w:pStyle w:val="TOC3"/>
            <w:tabs>
              <w:tab w:val="right" w:leader="dot" w:pos="9072"/>
            </w:tabs>
          </w:pPr>
          <w:r>
            <w:t xml:space="preserve">8.1.1 Build Alternative</w:t>
          </w:r>
          <w:r>
            <w:tab/>
          </w:r>
          <w:r>
            <w:t xml:space="preserve">50</w:t>
          </w:r>
        </w:p>
        <w:p>
          <w:pPr>
            <w:pStyle w:val="TOC3"/>
            <w:tabs>
              <w:tab w:val="right" w:leader="dot" w:pos="9072"/>
            </w:tabs>
          </w:pPr>
          <w:r>
            <w:t xml:space="preserve">8.1.2 Point Solution Alternative</w:t>
          </w:r>
          <w:r>
            <w:tab/>
          </w:r>
          <w:r>
            <w:t xml:space="preserve">51</w:t>
          </w:r>
        </w:p>
        <w:p>
          <w:pPr>
            <w:pStyle w:val="TOC3"/>
            <w:tabs>
              <w:tab w:val="right" w:leader="dot" w:pos="9072"/>
            </w:tabs>
          </w:pPr>
          <w:r>
            <w:t xml:space="preserve">8.1.3 DALP Advantage</w:t>
          </w:r>
          <w:r>
            <w:tab/>
          </w:r>
          <w:r>
            <w:t xml:space="preserve">52</w:t>
          </w:r>
        </w:p>
        <w:p>
          <w:pPr>
            <w:pStyle w:val="TOC2"/>
            <w:tabs>
              <w:tab w:val="right" w:leader="dot" w:pos="9072"/>
            </w:tabs>
          </w:pPr>
          <w:r>
            <w:t xml:space="preserve">8.2 Return on Investment</w:t>
          </w:r>
          <w:r>
            <w:tab/>
          </w:r>
          <w:r>
            <w:t xml:space="preserve">53</w:t>
          </w:r>
        </w:p>
        <w:p>
          <w:pPr>
            <w:pStyle w:val="TOC3"/>
            <w:tabs>
              <w:tab w:val="right" w:leader="dot" w:pos="9072"/>
            </w:tabs>
          </w:pPr>
          <w:r>
            <w:t xml:space="preserve">Direct Financial Returns</w:t>
          </w:r>
          <w:r>
            <w:tab/>
          </w:r>
          <w:r>
            <w:t xml:space="preserve">54</w:t>
          </w:r>
        </w:p>
        <w:p>
          <w:pPr>
            <w:pStyle w:val="TOC3"/>
            <w:tabs>
              <w:tab w:val="right" w:leader="dot" w:pos="9072"/>
            </w:tabs>
          </w:pPr>
          <w:r>
            <w:t xml:space="preserve">Strategic Value</w:t>
          </w:r>
          <w:r>
            <w:tab/>
          </w:r>
          <w:r>
            <w:t xml:space="preserve">55</w:t>
          </w:r>
        </w:p>
        <w:p>
          <w:pPr>
            <w:pStyle w:val="TOC2"/>
            <w:tabs>
              <w:tab w:val="right" w:leader="dot" w:pos="9072"/>
            </w:tabs>
          </w:pPr>
          <w:r>
            <w:t xml:space="preserve">8.3 Risk-Adjusted Value</w:t>
          </w:r>
          <w:r>
            <w:tab/>
          </w:r>
          <w:r>
            <w:t xml:space="preserve">56</w:t>
          </w:r>
        </w:p>
        <w:p>
          <w:pPr>
            <w:pStyle w:val="TOC1"/>
            <w:tabs>
              <w:tab w:val="right" w:leader="dot" w:pos="9072"/>
            </w:tabs>
          </w:pPr>
          <w:r>
            <w:t xml:space="preserve">9. Pricing Structure</w:t>
          </w:r>
          <w:r>
            <w:tab/>
          </w:r>
          <w:r>
            <w:t xml:space="preserve">57</w:t>
          </w:r>
        </w:p>
        <w:p>
          <w:pPr>
            <w:pStyle w:val="TOC2"/>
            <w:tabs>
              <w:tab w:val="right" w:leader="dot" w:pos="9072"/>
            </w:tabs>
          </w:pPr>
          <w:r>
            <w:t xml:space="preserve">9.1 Platform License</w:t>
          </w:r>
          <w:r>
            <w:tab/>
          </w:r>
          <w:r>
            <w:t xml:space="preserve">58</w:t>
          </w:r>
        </w:p>
        <w:p>
          <w:pPr>
            <w:pStyle w:val="TOC2"/>
            <w:tabs>
              <w:tab w:val="right" w:leader="dot" w:pos="9072"/>
            </w:tabs>
          </w:pPr>
          <w:r>
            <w:t xml:space="preserve">9.2 Implementation Services</w:t>
          </w:r>
          <w:r>
            <w:tab/>
          </w:r>
          <w:r>
            <w:t xml:space="preserve">59</w:t>
          </w:r>
        </w:p>
        <w:p>
          <w:pPr>
            <w:pStyle w:val="TOC2"/>
            <w:tabs>
              <w:tab w:val="right" w:leader="dot" w:pos="9072"/>
            </w:tabs>
          </w:pPr>
          <w:r>
            <w:t xml:space="preserve">9.3 Support Services</w:t>
          </w:r>
          <w:r>
            <w:tab/>
          </w:r>
          <w:r>
            <w:t xml:space="preserve">60</w:t>
          </w:r>
        </w:p>
        <w:p>
          <w:pPr>
            <w:pStyle w:val="TOC2"/>
            <w:tabs>
              <w:tab w:val="right" w:leader="dot" w:pos="9072"/>
            </w:tabs>
          </w:pPr>
          <w:r>
            <w:t xml:space="preserve">9.4 Summary Investment</w:t>
          </w:r>
          <w:r>
            <w:tab/>
          </w:r>
          <w:r>
            <w:t xml:space="preserve">61</w:t>
          </w:r>
        </w:p>
        <w:p>
          <w:pPr>
            <w:pStyle w:val="TOC1"/>
            <w:tabs>
              <w:tab w:val="right" w:leader="dot" w:pos="9072"/>
            </w:tabs>
          </w:pPr>
          <w:r>
            <w:t xml:space="preserve">10. Commercial Flexibility</w:t>
          </w:r>
          <w:r>
            <w:tab/>
          </w:r>
          <w:r>
            <w:t xml:space="preserve">62</w:t>
          </w:r>
        </w:p>
        <w:p>
          <w:pPr>
            <w:pStyle w:val="TOC2"/>
            <w:tabs>
              <w:tab w:val="right" w:leader="dot" w:pos="9072"/>
            </w:tabs>
          </w:pPr>
          <w:r>
            <w:t xml:space="preserve">10.1 Pricing Options</w:t>
          </w:r>
          <w:r>
            <w:tab/>
          </w:r>
          <w:r>
            <w:t xml:space="preserve">63</w:t>
          </w:r>
        </w:p>
        <w:p>
          <w:pPr>
            <w:pStyle w:val="TOC3"/>
            <w:tabs>
              <w:tab w:val="right" w:leader="dot" w:pos="9072"/>
            </w:tabs>
          </w:pPr>
          <w:r>
            <w:t xml:space="preserve">Multi-Year Discount</w:t>
          </w:r>
          <w:r>
            <w:tab/>
          </w:r>
          <w:r>
            <w:t xml:space="preserve">64</w:t>
          </w:r>
        </w:p>
        <w:p>
          <w:pPr>
            <w:pStyle w:val="TOC3"/>
            <w:tabs>
              <w:tab w:val="right" w:leader="dot" w:pos="9072"/>
            </w:tabs>
          </w:pPr>
          <w:r>
            <w:t xml:space="preserve">Payment Terms</w:t>
          </w:r>
          <w:r>
            <w:tab/>
          </w:r>
          <w:r>
            <w:t xml:space="preserve">65</w:t>
          </w:r>
        </w:p>
        <w:p>
          <w:pPr>
            <w:pStyle w:val="TOC3"/>
            <w:tabs>
              <w:tab w:val="right" w:leader="dot" w:pos="9072"/>
            </w:tabs>
          </w:pPr>
          <w:r>
            <w:t xml:space="preserve">Phased Implementation</w:t>
          </w:r>
          <w:r>
            <w:tab/>
          </w:r>
          <w:r>
            <w:t xml:space="preserve">66</w:t>
          </w:r>
        </w:p>
        <w:p>
          <w:pPr>
            <w:pStyle w:val="TOC2"/>
            <w:tabs>
              <w:tab w:val="right" w:leader="dot" w:pos="9072"/>
            </w:tabs>
          </w:pPr>
          <w:r>
            <w:t xml:space="preserve">10.2 Scope Adjustment</w:t>
          </w:r>
          <w:r>
            <w:tab/>
          </w:r>
          <w:r>
            <w:t xml:space="preserve">67</w:t>
          </w:r>
        </w:p>
        <w:p>
          <w:pPr>
            <w:pStyle w:val="TOC3"/>
            <w:tabs>
              <w:tab w:val="right" w:leader="dot" w:pos="9072"/>
            </w:tabs>
          </w:pPr>
          <w:r>
            <w:t xml:space="preserve">Addition of Asset Classes</w:t>
          </w:r>
          <w:r>
            <w:tab/>
          </w:r>
          <w:r>
            <w:t xml:space="preserve">68</w:t>
          </w:r>
        </w:p>
        <w:p>
          <w:pPr>
            <w:pStyle w:val="TOC3"/>
            <w:tabs>
              <w:tab w:val="right" w:leader="dot" w:pos="9072"/>
            </w:tabs>
          </w:pPr>
          <w:r>
            <w:t xml:space="preserve">Addition of Jurisdictions</w:t>
          </w:r>
          <w:r>
            <w:tab/>
          </w:r>
          <w:r>
            <w:t xml:space="preserve">69</w:t>
          </w:r>
        </w:p>
        <w:p>
          <w:pPr>
            <w:pStyle w:val="TOC3"/>
            <w:tabs>
              <w:tab w:val="right" w:leader="dot" w:pos="9072"/>
            </w:tabs>
          </w:pPr>
          <w:r>
            <w:t xml:space="preserve">Integration Extensions</w:t>
          </w:r>
          <w:r>
            <w:tab/>
          </w:r>
          <w:r>
            <w:t xml:space="preserve">70</w:t>
          </w:r>
        </w:p>
        <w:p>
          <w:pPr>
            <w:pStyle w:val="TOC2"/>
            <w:tabs>
              <w:tab w:val="right" w:leader="dot" w:pos="9072"/>
            </w:tabs>
          </w:pPr>
          <w:r>
            <w:t xml:space="preserve">10.3 Value-Added Services</w:t>
          </w:r>
          <w:r>
            <w:tab/>
          </w:r>
          <w:r>
            <w:t xml:space="preserve">71</w:t>
          </w:r>
        </w:p>
        <w:p>
          <w:pPr>
            <w:pStyle w:val="TOC1"/>
            <w:tabs>
              <w:tab w:val="right" w:leader="dot" w:pos="9072"/>
            </w:tabs>
          </w:pPr>
          <w:r>
            <w:t xml:space="preserve">11. Assurance and Commitments</w:t>
          </w:r>
          <w:r>
            <w:tab/>
          </w:r>
          <w:r>
            <w:t xml:space="preserve">72</w:t>
          </w:r>
        </w:p>
        <w:p>
          <w:pPr>
            <w:pStyle w:val="TOC2"/>
            <w:tabs>
              <w:tab w:val="right" w:leader="dot" w:pos="9072"/>
            </w:tabs>
          </w:pPr>
          <w:r>
            <w:t xml:space="preserve">11.1 Delivery Assurance</w:t>
          </w:r>
          <w:r>
            <w:tab/>
          </w:r>
          <w:r>
            <w:t xml:space="preserve">73</w:t>
          </w:r>
        </w:p>
        <w:p>
          <w:pPr>
            <w:pStyle w:val="TOC3"/>
            <w:tabs>
              <w:tab w:val="right" w:leader="dot" w:pos="9072"/>
            </w:tabs>
          </w:pPr>
          <w:r>
            <w:t xml:space="preserve">milestone-Based Delivery</w:t>
          </w:r>
          <w:r>
            <w:tab/>
          </w:r>
          <w:r>
            <w:t xml:space="preserve">74</w:t>
          </w:r>
        </w:p>
        <w:p>
          <w:pPr>
            <w:pStyle w:val="TOC3"/>
            <w:tabs>
              <w:tab w:val="right" w:leader="dot" w:pos="9072"/>
            </w:tabs>
          </w:pPr>
          <w:r>
            <w:t xml:space="preserve">Fixed Timeline Commitment</w:t>
          </w:r>
          <w:r>
            <w:tab/>
          </w:r>
          <w:r>
            <w:t xml:space="preserve">75</w:t>
          </w:r>
        </w:p>
        <w:p>
          <w:pPr>
            <w:pStyle w:val="TOC3"/>
            <w:tabs>
              <w:tab w:val="right" w:leader="dot" w:pos="9072"/>
            </w:tabs>
          </w:pPr>
          <w:r>
            <w:t xml:space="preserve">Resource Commitment</w:t>
          </w:r>
          <w:r>
            <w:tab/>
          </w:r>
          <w:r>
            <w:t xml:space="preserve">76</w:t>
          </w:r>
        </w:p>
        <w:p>
          <w:pPr>
            <w:pStyle w:val="TOC2"/>
            <w:tabs>
              <w:tab w:val="right" w:leader="dot" w:pos="9072"/>
            </w:tabs>
          </w:pPr>
          <w:r>
            <w:t xml:space="preserve">11.2 Operational Assurance</w:t>
          </w:r>
          <w:r>
            <w:tab/>
          </w:r>
          <w:r>
            <w:t xml:space="preserve">77</w:t>
          </w:r>
        </w:p>
        <w:p>
          <w:pPr>
            <w:pStyle w:val="TOC3"/>
            <w:tabs>
              <w:tab w:val="right" w:leader="dot" w:pos="9072"/>
            </w:tabs>
          </w:pPr>
          <w:r>
            <w:t xml:space="preserve">Availability Commitment</w:t>
          </w:r>
          <w:r>
            <w:tab/>
          </w:r>
          <w:r>
            <w:t xml:space="preserve">78</w:t>
          </w:r>
        </w:p>
        <w:p>
          <w:pPr>
            <w:pStyle w:val="TOC3"/>
            <w:tabs>
              <w:tab w:val="right" w:leader="dot" w:pos="9072"/>
            </w:tabs>
          </w:pPr>
          <w:r>
            <w:t xml:space="preserve">Response Time Commitment</w:t>
          </w:r>
          <w:r>
            <w:tab/>
          </w:r>
          <w:r>
            <w:t xml:space="preserve">79</w:t>
          </w:r>
        </w:p>
        <w:p>
          <w:pPr>
            <w:pStyle w:val="TOC3"/>
            <w:tabs>
              <w:tab w:val="right" w:leader="dot" w:pos="9072"/>
            </w:tabs>
          </w:pPr>
          <w:r>
            <w:t xml:space="preserve">Escalation Commitment</w:t>
          </w:r>
          <w:r>
            <w:tab/>
          </w:r>
          <w:r>
            <w:t xml:space="preserve">80</w:t>
          </w:r>
        </w:p>
        <w:p>
          <w:pPr>
            <w:pStyle w:val="TOC2"/>
            <w:tabs>
              <w:tab w:val="right" w:leader="dot" w:pos="9072"/>
            </w:tabs>
          </w:pPr>
          <w:r>
            <w:t xml:space="preserve">11.3 Commitment to Kingdom of Saudi Arabia</w:t>
          </w:r>
          <w:r>
            <w:tab/>
          </w:r>
          <w:r>
            <w:t xml:space="preserve">81</w:t>
          </w:r>
        </w:p>
        <w:p>
          <w:pPr>
            <w:pStyle w:val="TOC3"/>
            <w:tabs>
              <w:tab w:val="right" w:leader="dot" w:pos="9072"/>
            </w:tabs>
          </w:pPr>
          <w:r>
            <w:t xml:space="preserve">Regional Presence</w:t>
          </w:r>
          <w:r>
            <w:tab/>
          </w:r>
          <w:r>
            <w:t xml:space="preserve">82</w:t>
          </w:r>
        </w:p>
        <w:p>
          <w:pPr>
            <w:pStyle w:val="TOC3"/>
            <w:tabs>
              <w:tab w:val="right" w:leader="dot" w:pos="9072"/>
            </w:tabs>
          </w:pPr>
          <w:r>
            <w:t xml:space="preserve">Local Support</w:t>
          </w:r>
          <w:r>
            <w:tab/>
          </w:r>
          <w:r>
            <w:t xml:space="preserve">83</w:t>
          </w:r>
        </w:p>
        <w:p>
          <w:pPr>
            <w:pStyle w:val="TOC3"/>
            <w:tabs>
              <w:tab w:val="right" w:leader="dot" w:pos="9072"/>
            </w:tabs>
          </w:pPr>
          <w:r>
            <w:t xml:space="preserve">Data Residency</w:t>
          </w:r>
          <w:r>
            <w:tab/>
          </w:r>
          <w:r>
            <w:t xml:space="preserve">84</w:t>
          </w:r>
        </w:p>
        <w:p>
          <w:pPr>
            <w:pStyle w:val="TOC1"/>
            <w:tabs>
              <w:tab w:val="right" w:leader="dot" w:pos="9072"/>
            </w:tabs>
          </w:pPr>
          <w:r>
            <w:t xml:space="preserve">12. Governance and Partnership</w:t>
          </w:r>
          <w:r>
            <w:tab/>
          </w:r>
          <w:r>
            <w:t xml:space="preserve">85</w:t>
          </w:r>
        </w:p>
        <w:p>
          <w:pPr>
            <w:pStyle w:val="TOC2"/>
            <w:tabs>
              <w:tab w:val="right" w:leader="dot" w:pos="9072"/>
            </w:tabs>
          </w:pPr>
          <w:r>
            <w:t xml:space="preserve">12.1 Governance Framework</w:t>
          </w:r>
          <w:r>
            <w:tab/>
          </w:r>
          <w:r>
            <w:t xml:space="preserve">86</w:t>
          </w:r>
        </w:p>
        <w:p>
          <w:pPr>
            <w:pStyle w:val="TOC3"/>
            <w:tabs>
              <w:tab w:val="right" w:leader="dot" w:pos="9072"/>
            </w:tabs>
          </w:pPr>
          <w:r>
            <w:t xml:space="preserve">Programme Governance</w:t>
          </w:r>
          <w:r>
            <w:tab/>
          </w:r>
          <w:r>
            <w:t xml:space="preserve">87</w:t>
          </w:r>
        </w:p>
        <w:p>
          <w:pPr>
            <w:pStyle w:val="TOC3"/>
            <w:tabs>
              <w:tab w:val="right" w:leader="dot" w:pos="9072"/>
            </w:tabs>
          </w:pPr>
          <w:r>
            <w:t xml:space="preserve">Operational Governance</w:t>
          </w:r>
          <w:r>
            <w:tab/>
          </w:r>
          <w:r>
            <w:t xml:space="preserve">88</w:t>
          </w:r>
        </w:p>
        <w:p>
          <w:pPr>
            <w:pStyle w:val="TOC2"/>
            <w:tabs>
              <w:tab w:val="right" w:leader="dot" w:pos="9072"/>
            </w:tabs>
          </w:pPr>
          <w:r>
            <w:t xml:space="preserve">12.2 Relationship Model</w:t>
          </w:r>
          <w:r>
            <w:tab/>
          </w:r>
          <w:r>
            <w:t xml:space="preserve">89</w:t>
          </w:r>
        </w:p>
        <w:p>
          <w:pPr>
            <w:pStyle w:val="TOC3"/>
            <w:tabs>
              <w:tab w:val="right" w:leader="dot" w:pos="9072"/>
            </w:tabs>
          </w:pPr>
          <w:r>
            <w:t xml:space="preserve">Partnership Principles</w:t>
          </w:r>
          <w:r>
            <w:tab/>
          </w:r>
          <w:r>
            <w:t xml:space="preserve">90</w:t>
          </w:r>
        </w:p>
        <w:p>
          <w:pPr>
            <w:pStyle w:val="TOC3"/>
            <w:tabs>
              <w:tab w:val="right" w:leader="dot" w:pos="9072"/>
            </w:tabs>
          </w:pPr>
          <w:r>
            <w:t xml:space="preserve">Success Metrics</w:t>
          </w:r>
          <w:r>
            <w:tab/>
          </w:r>
          <w:r>
            <w:t xml:space="preserve">91</w:t>
          </w:r>
        </w:p>
        <w:p>
          <w:pPr>
            <w:pStyle w:val="TOC1"/>
            <w:tabs>
              <w:tab w:val="right" w:leader="dot" w:pos="9072"/>
            </w:tabs>
          </w:pPr>
          <w:r>
            <w:t xml:space="preserve">Document Control</w:t>
          </w:r>
          <w:r>
            <w:tab/>
          </w:r>
          <w:r>
            <w:t xml:space="preserve">92</w:t>
          </w:r>
        </w:p>
        <w:p>
          <w:pPr>
            <w:pStyle w:val="TOC1"/>
            <w:tabs>
              <w:tab w:val="right" w:leader="dot" w:pos="9072"/>
            </w:tabs>
          </w:pPr>
          <w:r>
            <w:t xml:space="preserve">13. Implementation Investment Details</w:t>
          </w:r>
          <w:r>
            <w:tab/>
          </w:r>
          <w:r>
            <w:t xml:space="preserve">93</w:t>
          </w:r>
        </w:p>
        <w:p>
          <w:pPr>
            <w:pStyle w:val="TOC2"/>
            <w:tabs>
              <w:tab w:val="right" w:leader="dot" w:pos="9072"/>
            </w:tabs>
          </w:pPr>
          <w:r>
            <w:t xml:space="preserve">13.1 Investment Summary</w:t>
          </w:r>
          <w:r>
            <w:tab/>
          </w:r>
          <w:r>
            <w:t xml:space="preserve">94</w:t>
          </w:r>
        </w:p>
        <w:p>
          <w:pPr>
            <w:pStyle w:val="TOC3"/>
            <w:tabs>
              <w:tab w:val="right" w:leader="dot" w:pos="9072"/>
            </w:tabs>
          </w:pPr>
          <w:r>
            <w:t xml:space="preserve">13.1.1 Platform License Investment</w:t>
          </w:r>
          <w:r>
            <w:tab/>
          </w:r>
          <w:r>
            <w:t xml:space="preserve">95</w:t>
          </w:r>
        </w:p>
        <w:p>
          <w:pPr>
            <w:pStyle w:val="TOC3"/>
            <w:tabs>
              <w:tab w:val="right" w:leader="dot" w:pos="9072"/>
            </w:tabs>
          </w:pPr>
          <w:r>
            <w:t xml:space="preserve">13.1.2 Implementation Investment</w:t>
          </w:r>
          <w:r>
            <w:tab/>
          </w:r>
          <w:r>
            <w:t xml:space="preserve">96</w:t>
          </w:r>
        </w:p>
        <w:p>
          <w:pPr>
            <w:pStyle w:val="TOC3"/>
            <w:tabs>
              <w:tab w:val="right" w:leader="dot" w:pos="9072"/>
            </w:tabs>
          </w:pPr>
          <w:r>
            <w:t xml:space="preserve">13.1.3 Support Investment</w:t>
          </w:r>
          <w:r>
            <w:tab/>
          </w:r>
          <w:r>
            <w:t xml:space="preserve">97</w:t>
          </w:r>
        </w:p>
        <w:p>
          <w:pPr>
            <w:pStyle w:val="TOC2"/>
            <w:tabs>
              <w:tab w:val="right" w:leader="dot" w:pos="9072"/>
            </w:tabs>
          </w:pPr>
          <w:r>
            <w:t xml:space="preserve">13.2 Investment Assumptions</w:t>
          </w:r>
          <w:r>
            <w:tab/>
          </w:r>
          <w:r>
            <w:t xml:space="preserve">98</w:t>
          </w:r>
        </w:p>
        <w:p>
          <w:pPr>
            <w:pStyle w:val="TOC2"/>
            <w:tabs>
              <w:tab w:val="right" w:leader="dot" w:pos="9072"/>
            </w:tabs>
          </w:pPr>
          <w:r>
            <w:t xml:space="preserve">13.3 Investment Protection</w:t>
          </w:r>
          <w:r>
            <w:tab/>
          </w:r>
          <w:r>
            <w:t xml:space="preserve">99</w:t>
          </w:r>
        </w:p>
        <w:p>
          <w:pPr>
            <w:pStyle w:val="TOC1"/>
            <w:tabs>
              <w:tab w:val="right" w:leader="dot" w:pos="9072"/>
            </w:tabs>
          </w:pPr>
          <w:r>
            <w:t xml:space="preserve">14. Comparison with Alternatives</w:t>
          </w:r>
          <w:r>
            <w:tab/>
          </w:r>
          <w:r>
            <w:t xml:space="preserve">100</w:t>
          </w:r>
        </w:p>
        <w:p>
          <w:pPr>
            <w:pStyle w:val="TOC2"/>
            <w:tabs>
              <w:tab w:val="right" w:leader="dot" w:pos="9072"/>
            </w:tabs>
          </w:pPr>
          <w:r>
            <w:t xml:space="preserve">14.1 Build vs. Buy Analysis</w:t>
          </w:r>
          <w:r>
            <w:tab/>
          </w:r>
          <w:r>
            <w:t xml:space="preserve">101</w:t>
          </w:r>
        </w:p>
        <w:p>
          <w:pPr>
            <w:pStyle w:val="TOC3"/>
            <w:tabs>
              <w:tab w:val="right" w:leader="dot" w:pos="9072"/>
            </w:tabs>
          </w:pPr>
          <w:r>
            <w:t xml:space="preserve">Build Alternative Costs</w:t>
          </w:r>
          <w:r>
            <w:tab/>
          </w:r>
          <w:r>
            <w:t xml:space="preserve">102</w:t>
          </w:r>
        </w:p>
        <w:p>
          <w:pPr>
            <w:pStyle w:val="TOC3"/>
            <w:tabs>
              <w:tab w:val="right" w:leader="dot" w:pos="9072"/>
            </w:tabs>
          </w:pPr>
          <w:r>
            <w:t xml:space="preserve">DALP Advantage</w:t>
          </w:r>
          <w:r>
            <w:tab/>
          </w:r>
          <w:r>
            <w:t xml:space="preserve">103</w:t>
          </w:r>
        </w:p>
        <w:p>
          <w:pPr>
            <w:pStyle w:val="TOC2"/>
            <w:tabs>
              <w:tab w:val="right" w:leader="dot" w:pos="9072"/>
            </w:tabs>
          </w:pPr>
          <w:r>
            <w:t xml:space="preserve">14.2 Point Solution Comparison</w:t>
          </w:r>
          <w:r>
            <w:tab/>
          </w:r>
          <w:r>
            <w:t xml:space="preserve">104</w:t>
          </w:r>
        </w:p>
        <w:p>
          <w:pPr>
            <w:pStyle w:val="TOC1"/>
            <w:tabs>
              <w:tab w:val="right" w:leader="dot" w:pos="9072"/>
            </w:tabs>
          </w:pPr>
          <w:r>
            <w:t xml:space="preserve">Document Control</w:t>
          </w:r>
          <w:r>
            <w:tab/>
          </w:r>
          <w:r>
            <w:t xml:space="preserve">105</w:t>
          </w:r>
        </w:p>
        <w:p>
          <w:pPr>
            <w:pStyle w:val="TOC1"/>
            <w:tabs>
              <w:tab w:val="right" w:leader="dot" w:pos="9072"/>
            </w:tabs>
          </w:pPr>
          <w:r>
            <w:t xml:space="preserve">15. Support Services Detail</w:t>
          </w:r>
          <w:r>
            <w:tab/>
          </w:r>
          <w:r>
            <w:t xml:space="preserve">106</w:t>
          </w:r>
        </w:p>
        <w:p>
          <w:pPr>
            <w:pStyle w:val="TOC2"/>
            <w:tabs>
              <w:tab w:val="right" w:leader="dot" w:pos="9072"/>
            </w:tabs>
          </w:pPr>
          <w:r>
            <w:t xml:space="preserve">15.1 Service Description</w:t>
          </w:r>
          <w:r>
            <w:tab/>
          </w:r>
          <w:r>
            <w:t xml:space="preserve">107</w:t>
          </w:r>
        </w:p>
        <w:p>
          <w:pPr>
            <w:pStyle w:val="TOC3"/>
            <w:tabs>
              <w:tab w:val="right" w:leader="dot" w:pos="9072"/>
            </w:tabs>
          </w:pPr>
          <w:r>
            <w:t xml:space="preserve">15.1.1 Technical Assistance</w:t>
          </w:r>
          <w:r>
            <w:tab/>
          </w:r>
          <w:r>
            <w:t xml:space="preserve">108</w:t>
          </w:r>
        </w:p>
        <w:p>
          <w:pPr>
            <w:pStyle w:val="TOC3"/>
            <w:tabs>
              <w:tab w:val="right" w:leader="dot" w:pos="9072"/>
            </w:tabs>
          </w:pPr>
          <w:r>
            <w:t xml:space="preserve">15.1.2 Issue Resolution</w:t>
          </w:r>
          <w:r>
            <w:tab/>
          </w:r>
          <w:r>
            <w:t xml:space="preserve">109</w:t>
          </w:r>
        </w:p>
        <w:p>
          <w:pPr>
            <w:pStyle w:val="TOC3"/>
            <w:tabs>
              <w:tab w:val="right" w:leader="dot" w:pos="9072"/>
            </w:tabs>
          </w:pPr>
          <w:r>
            <w:t xml:space="preserve">15.1.3 Platform Updates</w:t>
          </w:r>
          <w:r>
            <w:tab/>
          </w:r>
          <w:r>
            <w:t xml:space="preserve">110</w:t>
          </w:r>
        </w:p>
        <w:p>
          <w:pPr>
            <w:pStyle w:val="TOC2"/>
            <w:tabs>
              <w:tab w:val="right" w:leader="dot" w:pos="9072"/>
            </w:tabs>
          </w:pPr>
          <w:r>
            <w:t xml:space="preserve">15.2 Service Levels</w:t>
          </w:r>
          <w:r>
            <w:tab/>
          </w:r>
          <w:r>
            <w:t xml:space="preserve">111</w:t>
          </w:r>
        </w:p>
        <w:p>
          <w:pPr>
            <w:pStyle w:val="TOC3"/>
            <w:tabs>
              <w:tab w:val="right" w:leader="dot" w:pos="9072"/>
            </w:tabs>
          </w:pPr>
          <w:r>
            <w:t xml:space="preserve">15.2.1 Response Times</w:t>
          </w:r>
          <w:r>
            <w:tab/>
          </w:r>
          <w:r>
            <w:t xml:space="preserve">112</w:t>
          </w:r>
        </w:p>
        <w:p>
          <w:pPr>
            <w:pStyle w:val="TOC3"/>
            <w:tabs>
              <w:tab w:val="right" w:leader="dot" w:pos="9072"/>
            </w:tabs>
          </w:pPr>
          <w:r>
            <w:t xml:space="preserve">15.2.2 Resolution Targets</w:t>
          </w:r>
          <w:r>
            <w:tab/>
          </w:r>
          <w:r>
            <w:t xml:space="preserve">113</w:t>
          </w:r>
        </w:p>
        <w:p>
          <w:pPr>
            <w:pStyle w:val="TOC2"/>
            <w:tabs>
              <w:tab w:val="right" w:leader="dot" w:pos="9072"/>
            </w:tabs>
          </w:pPr>
          <w:r>
            <w:t xml:space="preserve">15.3 Escalation</w:t>
          </w:r>
          <w:r>
            <w:tab/>
          </w:r>
          <w:r>
            <w:t xml:space="preserve">114</w:t>
          </w:r>
        </w:p>
        <w:p>
          <w:pPr>
            <w:pStyle w:val="TOC3"/>
            <w:tabs>
              <w:tab w:val="right" w:leader="dot" w:pos="9072"/>
            </w:tabs>
          </w:pPr>
          <w:r>
            <w:t xml:space="preserve">15.3.1 Escalation Path</w:t>
          </w:r>
          <w:r>
            <w:tab/>
          </w:r>
          <w:r>
            <w:t xml:space="preserve">115</w:t>
          </w:r>
        </w:p>
        <w:p>
          <w:pPr>
            <w:pStyle w:val="TOC3"/>
            <w:tabs>
              <w:tab w:val="right" w:leader="dot" w:pos="9072"/>
            </w:tabs>
          </w:pPr>
          <w:r>
            <w:t xml:space="preserve">15.3.2 Escalation Triggers</w:t>
          </w:r>
          <w:r>
            <w:tab/>
          </w:r>
          <w:r>
            <w:t xml:space="preserve">116</w:t>
          </w:r>
        </w:p>
        <w:p>
          <w:pPr>
            <w:pStyle w:val="TOC1"/>
            <w:tabs>
              <w:tab w:val="right" w:leader="dot" w:pos="9072"/>
            </w:tabs>
          </w:pPr>
          <w:r>
            <w:t xml:space="preserve">16. Terms and Conditions</w:t>
          </w:r>
          <w:r>
            <w:tab/>
          </w:r>
          <w:r>
            <w:t xml:space="preserve">117</w:t>
          </w:r>
        </w:p>
        <w:p>
          <w:pPr>
            <w:pStyle w:val="TOC2"/>
            <w:tabs>
              <w:tab w:val="right" w:leader="dot" w:pos="9072"/>
            </w:tabs>
          </w:pPr>
          <w:r>
            <w:t xml:space="preserve">16.1 Intellectual Property</w:t>
          </w:r>
          <w:r>
            <w:tab/>
          </w:r>
          <w:r>
            <w:t xml:space="preserve">118</w:t>
          </w:r>
        </w:p>
        <w:p>
          <w:pPr>
            <w:pStyle w:val="TOC3"/>
            <w:tabs>
              <w:tab w:val="right" w:leader="dot" w:pos="9072"/>
            </w:tabs>
          </w:pPr>
          <w:r>
            <w:t xml:space="preserve">16.1.1 Platform IP</w:t>
          </w:r>
          <w:r>
            <w:tab/>
          </w:r>
          <w:r>
            <w:t xml:space="preserve">119</w:t>
          </w:r>
        </w:p>
        <w:p>
          <w:pPr>
            <w:pStyle w:val="TOC3"/>
            <w:tabs>
              <w:tab w:val="right" w:leader="dot" w:pos="9072"/>
            </w:tabs>
          </w:pPr>
          <w:r>
            <w:t xml:space="preserve">16.1.2 Customer Data</w:t>
          </w:r>
          <w:r>
            <w:tab/>
          </w:r>
          <w:r>
            <w:t xml:space="preserve">120</w:t>
          </w:r>
        </w:p>
        <w:p>
          <w:pPr>
            <w:pStyle w:val="TOC3"/>
            <w:tabs>
              <w:tab w:val="right" w:leader="dot" w:pos="9072"/>
            </w:tabs>
          </w:pPr>
          <w:r>
            <w:t xml:space="preserve">16.1.3 Customizations</w:t>
          </w:r>
          <w:r>
            <w:tab/>
          </w:r>
          <w:r>
            <w:t xml:space="preserve">121</w:t>
          </w:r>
        </w:p>
        <w:p>
          <w:pPr>
            <w:pStyle w:val="TOC2"/>
            <w:tabs>
              <w:tab w:val="right" w:leader="dot" w:pos="9072"/>
            </w:tabs>
          </w:pPr>
          <w:r>
            <w:t xml:space="preserve">16.2 Liability</w:t>
          </w:r>
          <w:r>
            <w:tab/>
          </w:r>
          <w:r>
            <w:t xml:space="preserve">122</w:t>
          </w:r>
        </w:p>
        <w:p>
          <w:pPr>
            <w:pStyle w:val="TOC3"/>
            <w:tabs>
              <w:tab w:val="right" w:leader="dot" w:pos="9072"/>
            </w:tabs>
          </w:pPr>
          <w:r>
            <w:t xml:space="preserve">16.2.1 Limitation</w:t>
          </w:r>
          <w:r>
            <w:tab/>
          </w:r>
          <w:r>
            <w:t xml:space="preserve">123</w:t>
          </w:r>
        </w:p>
        <w:p>
          <w:pPr>
            <w:pStyle w:val="TOC3"/>
            <w:tabs>
              <w:tab w:val="right" w:leader="dot" w:pos="9072"/>
            </w:tabs>
          </w:pPr>
          <w:r>
            <w:t xml:space="preserve">16.2.2 Exclusions</w:t>
          </w:r>
          <w:r>
            <w:tab/>
          </w:r>
          <w:r>
            <w:t xml:space="preserve">124</w:t>
          </w:r>
        </w:p>
        <w:p>
          <w:pPr>
            <w:pStyle w:val="TOC2"/>
            <w:tabs>
              <w:tab w:val="right" w:leader="dot" w:pos="9072"/>
            </w:tabs>
          </w:pPr>
          <w:r>
            <w:t xml:space="preserve">16.3 Confidentiality</w:t>
          </w:r>
          <w:r>
            <w:tab/>
          </w:r>
          <w:r>
            <w:t xml:space="preserve">125</w:t>
          </w:r>
        </w:p>
        <w:p>
          <w:pPr>
            <w:pStyle w:val="TOC3"/>
            <w:tabs>
              <w:tab w:val="right" w:leader="dot" w:pos="9072"/>
            </w:tabs>
          </w:pPr>
          <w:r>
            <w:t xml:space="preserve">16.3.1 Obligations</w:t>
          </w:r>
          <w:r>
            <w:tab/>
          </w:r>
          <w:r>
            <w:t xml:space="preserve">126</w:t>
          </w:r>
        </w:p>
        <w:p>
          <w:pPr>
            <w:pStyle w:val="TOC3"/>
            <w:tabs>
              <w:tab w:val="right" w:leader="dot" w:pos="9072"/>
            </w:tabs>
          </w:pPr>
          <w:r>
            <w:t xml:space="preserve">16.3.2 Exceptions</w:t>
          </w:r>
          <w:r>
            <w:tab/>
          </w:r>
          <w:r>
            <w:t xml:space="preserve">127</w:t>
          </w:r>
        </w:p>
        <w:p>
          <w:pPr>
            <w:pStyle w:val="TOC1"/>
            <w:tabs>
              <w:tab w:val="right" w:leader="dot" w:pos="9072"/>
            </w:tabs>
          </w:pPr>
          <w:r>
            <w:t xml:space="preserve">Document Control</w:t>
          </w:r>
          <w:r>
            <w:tab/>
          </w:r>
          <w:r>
            <w:t xml:space="preserve">128</w:t>
          </w:r>
        </w:p>
        <w:p>
          <w:pPr>
            <w:pStyle w:val="TOC1"/>
            <w:tabs>
              <w:tab w:val="right" w:leader="dot" w:pos="9072"/>
            </w:tabs>
          </w:pPr>
          <w:r>
            <w:t xml:space="preserve">17. Additional Commercial Details</w:t>
          </w:r>
          <w:r>
            <w:tab/>
          </w:r>
          <w:r>
            <w:t xml:space="preserve">129</w:t>
          </w:r>
        </w:p>
        <w:p>
          <w:pPr>
            <w:pStyle w:val="TOC2"/>
            <w:tabs>
              <w:tab w:val="right" w:leader="dot" w:pos="9072"/>
            </w:tabs>
          </w:pPr>
          <w:r>
            <w:t xml:space="preserve">17.1 Payment Schedule</w:t>
          </w:r>
          <w:r>
            <w:tab/>
          </w:r>
          <w:r>
            <w:t xml:space="preserve">130</w:t>
          </w:r>
        </w:p>
        <w:p>
          <w:pPr>
            <w:pStyle w:val="TOC3"/>
            <w:tabs>
              <w:tab w:val="right" w:leader="dot" w:pos="9072"/>
            </w:tabs>
          </w:pPr>
          <w:r>
            <w:t xml:space="preserve">17.1.1 Implementation Payments</w:t>
          </w:r>
          <w:r>
            <w:tab/>
          </w:r>
          <w:r>
            <w:t xml:space="preserve">131</w:t>
          </w:r>
        </w:p>
        <w:p>
          <w:pPr>
            <w:pStyle w:val="TOC3"/>
            <w:tabs>
              <w:tab w:val="right" w:leader="dot" w:pos="9072"/>
            </w:tabs>
          </w:pPr>
          <w:r>
            <w:t xml:space="preserve">17.1.2 License Payments</w:t>
          </w:r>
          <w:r>
            <w:tab/>
          </w:r>
          <w:r>
            <w:t xml:space="preserve">132</w:t>
          </w:r>
        </w:p>
        <w:p>
          <w:pPr>
            <w:pStyle w:val="TOC3"/>
            <w:tabs>
              <w:tab w:val="right" w:leader="dot" w:pos="9072"/>
            </w:tabs>
          </w:pPr>
          <w:r>
            <w:t xml:space="preserve">17.1.3 Support Payments</w:t>
          </w:r>
          <w:r>
            <w:tab/>
          </w:r>
          <w:r>
            <w:t xml:space="preserve">133</w:t>
          </w:r>
        </w:p>
        <w:p>
          <w:pPr>
            <w:pStyle w:val="TOC2"/>
            <w:tabs>
              <w:tab w:val="right" w:leader="dot" w:pos="9072"/>
            </w:tabs>
          </w:pPr>
          <w:r>
            <w:t xml:space="preserve">17.2 Investment Summary</w:t>
          </w:r>
          <w:r>
            <w:tab/>
          </w:r>
          <w:r>
            <w:t xml:space="preserve">134</w:t>
          </w:r>
        </w:p>
        <w:p>
          <w:pPr>
            <w:pStyle w:val="TOC3"/>
            <w:tabs>
              <w:tab w:val="right" w:leader="dot" w:pos="9072"/>
            </w:tabs>
          </w:pPr>
          <w:r>
            <w:t xml:space="preserve">17.2.1 Three-Year Total Investment</w:t>
          </w:r>
          <w:r>
            <w:tab/>
          </w:r>
          <w:r>
            <w:t xml:space="preserve">135</w:t>
          </w:r>
        </w:p>
        <w:p>
          <w:pPr>
            <w:pStyle w:val="TOC3"/>
            <w:tabs>
              <w:tab w:val="right" w:leader="dot" w:pos="9072"/>
            </w:tabs>
          </w:pPr>
          <w:r>
            <w:t xml:space="preserve">17.2.2 Cost Optimization Opportunities</w:t>
          </w:r>
          <w:r>
            <w:tab/>
          </w:r>
          <w:r>
            <w:t xml:space="preserve">136</w:t>
          </w:r>
        </w:p>
        <w:p>
          <w:pPr>
            <w:pStyle w:val="TOC2"/>
            <w:tabs>
              <w:tab w:val="right" w:leader="dot" w:pos="9072"/>
            </w:tabs>
          </w:pPr>
          <w:r>
            <w:t xml:space="preserve">17.3 Commercial Flexibility</w:t>
          </w:r>
          <w:r>
            <w:tab/>
          </w:r>
          <w:r>
            <w:t xml:space="preserve">137</w:t>
          </w:r>
        </w:p>
        <w:p>
          <w:pPr>
            <w:pStyle w:val="TOC3"/>
            <w:tabs>
              <w:tab w:val="right" w:leader="dot" w:pos="9072"/>
            </w:tabs>
          </w:pPr>
          <w:r>
            <w:t xml:space="preserve">17.3.1 Scope Adjustment</w:t>
          </w:r>
          <w:r>
            <w:tab/>
          </w:r>
          <w:r>
            <w:t xml:space="preserve">138</w:t>
          </w:r>
        </w:p>
        <w:p>
          <w:pPr>
            <w:pStyle w:val="TOC3"/>
            <w:tabs>
              <w:tab w:val="right" w:leader="dot" w:pos="9072"/>
            </w:tabs>
          </w:pPr>
          <w:r>
            <w:t xml:space="preserve">17.3.2 Change Control</w:t>
          </w:r>
          <w:r>
            <w:tab/>
          </w:r>
          <w:r>
            <w:t xml:space="preserve">139</w:t>
          </w:r>
        </w:p>
        <w:p>
          <w:pPr>
            <w:pStyle w:val="TOC3"/>
            <w:tabs>
              <w:tab w:val="right" w:leader="dot" w:pos="9072"/>
            </w:tabs>
          </w:pPr>
          <w:r>
            <w:t xml:space="preserve">17.3.3 Exit Provisions</w:t>
          </w:r>
          <w:r>
            <w:tab/>
          </w:r>
          <w:r>
            <w:t xml:space="preserve">140</w:t>
          </w:r>
        </w:p>
        <w:p>
          <w:pPr>
            <w:pStyle w:val="TOC1"/>
            <w:tabs>
              <w:tab w:val="right" w:leader="dot" w:pos="9072"/>
            </w:tabs>
          </w:pPr>
          <w:r>
            <w:t xml:space="preserve">18. Risk Allocation</w:t>
          </w:r>
          <w:r>
            <w:tab/>
          </w:r>
          <w:r>
            <w:t xml:space="preserve">141</w:t>
          </w:r>
        </w:p>
        <w:p>
          <w:pPr>
            <w:pStyle w:val="TOC2"/>
            <w:tabs>
              <w:tab w:val="right" w:leader="dot" w:pos="9072"/>
            </w:tabs>
          </w:pPr>
          <w:r>
            <w:t xml:space="preserve">18.1 Risk Summary</w:t>
          </w:r>
          <w:r>
            <w:tab/>
          </w:r>
          <w:r>
            <w:t xml:space="preserve">142</w:t>
          </w:r>
        </w:p>
        <w:p>
          <w:pPr>
            <w:pStyle w:val="TOC2"/>
            <w:tabs>
              <w:tab w:val="right" w:leader="dot" w:pos="9072"/>
            </w:tabs>
          </w:pPr>
          <w:r>
            <w:t xml:space="preserve">18.2 Insurance</w:t>
          </w:r>
          <w:r>
            <w:tab/>
          </w:r>
          <w:r>
            <w:t xml:space="preserve">143</w:t>
          </w:r>
        </w:p>
        <w:p>
          <w:pPr>
            <w:pStyle w:val="TOC2"/>
            <w:tabs>
              <w:tab w:val="right" w:leader="dot" w:pos="9072"/>
            </w:tabs>
          </w:pPr>
          <w:r>
            <w:t xml:space="preserve">18.3 Limitation of Liability</w:t>
          </w:r>
          <w:r>
            <w:tab/>
          </w:r>
          <w:r>
            <w:t xml:space="preserve">144</w:t>
          </w:r>
        </w:p>
        <w:p>
          <w:pPr>
            <w:pStyle w:val="TOC1"/>
            <w:tabs>
              <w:tab w:val="right" w:leader="dot" w:pos="9072"/>
            </w:tabs>
          </w:pPr>
          <w:r>
            <w:t xml:space="preserve">Document Control</w:t>
          </w:r>
          <w:r>
            <w:tab/>
          </w:r>
          <w:r>
            <w:t xml:space="preserve">145</w:t>
          </w:r>
        </w:p>
        <w:p>
          <w:pPr>
            <w:pStyle w:val="TOC1"/>
            <w:tabs>
              <w:tab w:val="right" w:leader="dot" w:pos="9072"/>
            </w:tabs>
          </w:pPr>
          <w:r>
            <w:t xml:space="preserve">19. Extended Service Descriptions</w:t>
          </w:r>
          <w:r>
            <w:tab/>
          </w:r>
          <w:r>
            <w:t xml:space="preserve">146</w:t>
          </w:r>
        </w:p>
        <w:p>
          <w:pPr>
            <w:pStyle w:val="TOC2"/>
            <w:tabs>
              <w:tab w:val="right" w:leader="dot" w:pos="9072"/>
            </w:tabs>
          </w:pPr>
          <w:r>
            <w:t xml:space="preserve">19.1 Professional Services</w:t>
          </w:r>
          <w:r>
            <w:tab/>
          </w:r>
          <w:r>
            <w:t xml:space="preserve">147</w:t>
          </w:r>
        </w:p>
        <w:p>
          <w:pPr>
            <w:pStyle w:val="TOC3"/>
            <w:tabs>
              <w:tab w:val="right" w:leader="dot" w:pos="9072"/>
            </w:tabs>
          </w:pPr>
          <w:r>
            <w:t xml:space="preserve">19.1.1 Implementation Services</w:t>
          </w:r>
          <w:r>
            <w:tab/>
          </w:r>
          <w:r>
            <w:t xml:space="preserve">148</w:t>
          </w:r>
        </w:p>
        <w:p>
          <w:pPr>
            <w:pStyle w:val="TOC3"/>
            <w:tabs>
              <w:tab w:val="right" w:leader="dot" w:pos="9072"/>
            </w:tabs>
          </w:pPr>
          <w:r>
            <w:t xml:space="preserve">19.1.2 Training Services</w:t>
          </w:r>
          <w:r>
            <w:tab/>
          </w:r>
          <w:r>
            <w:t xml:space="preserve">149</w:t>
          </w:r>
        </w:p>
        <w:p>
          <w:pPr>
            <w:pStyle w:val="TOC3"/>
            <w:tabs>
              <w:tab w:val="right" w:leader="dot" w:pos="9072"/>
            </w:tabs>
          </w:pPr>
          <w:r>
            <w:t xml:space="preserve">19.1.3 Advisory Services</w:t>
          </w:r>
          <w:r>
            <w:tab/>
          </w:r>
          <w:r>
            <w:t xml:space="preserve">150</w:t>
          </w:r>
        </w:p>
        <w:p>
          <w:pPr>
            <w:pStyle w:val="TOC2"/>
            <w:tabs>
              <w:tab w:val="right" w:leader="dot" w:pos="9072"/>
            </w:tabs>
          </w:pPr>
          <w:r>
            <w:t xml:space="preserve">19.2 Managed Services</w:t>
          </w:r>
          <w:r>
            <w:tab/>
          </w:r>
          <w:r>
            <w:t xml:space="preserve">151</w:t>
          </w:r>
        </w:p>
        <w:p>
          <w:pPr>
            <w:pStyle w:val="TOC3"/>
            <w:tabs>
              <w:tab w:val="right" w:leader="dot" w:pos="9072"/>
            </w:tabs>
          </w:pPr>
          <w:r>
            <w:t xml:space="preserve">19.2.1 Platform Management</w:t>
          </w:r>
          <w:r>
            <w:tab/>
          </w:r>
          <w:r>
            <w:t xml:space="preserve">152</w:t>
          </w:r>
        </w:p>
        <w:p>
          <w:pPr>
            <w:pStyle w:val="TOC3"/>
            <w:tabs>
              <w:tab w:val="right" w:leader="dot" w:pos="9072"/>
            </w:tabs>
          </w:pPr>
          <w:r>
            <w:t xml:space="preserve">19.2.2 Integration Management</w:t>
          </w:r>
          <w:r>
            <w:tab/>
          </w:r>
          <w:r>
            <w:t xml:space="preserve">153</w:t>
          </w:r>
        </w:p>
        <w:p>
          <w:pPr>
            <w:pStyle w:val="TOC2"/>
            <w:tabs>
              <w:tab w:val="right" w:leader="dot" w:pos="9072"/>
            </w:tabs>
          </w:pPr>
          <w:r>
            <w:t xml:space="preserve">19.3 Value-Added Services</w:t>
          </w:r>
          <w:r>
            <w:tab/>
          </w:r>
          <w:r>
            <w:t xml:space="preserve">154</w:t>
          </w:r>
        </w:p>
        <w:p>
          <w:pPr>
            <w:pStyle w:val="TOC3"/>
            <w:tabs>
              <w:tab w:val="right" w:leader="dot" w:pos="9072"/>
            </w:tabs>
          </w:pPr>
          <w:r>
            <w:t xml:space="preserve">19.3.1 Health Checks</w:t>
          </w:r>
          <w:r>
            <w:tab/>
          </w:r>
          <w:r>
            <w:t xml:space="preserve">155</w:t>
          </w:r>
        </w:p>
        <w:p>
          <w:pPr>
            <w:pStyle w:val="TOC3"/>
            <w:tabs>
              <w:tab w:val="right" w:leader="dot" w:pos="9072"/>
            </w:tabs>
          </w:pPr>
          <w:r>
            <w:t xml:space="preserve">19.3.2 Upgrade Services</w:t>
          </w:r>
          <w:r>
            <w:tab/>
          </w:r>
          <w:r>
            <w:t xml:space="preserve">156</w:t>
          </w:r>
        </w:p>
        <w:p>
          <w:pPr>
            <w:pStyle w:val="TOC3"/>
            <w:tabs>
              <w:tab w:val="right" w:leader="dot" w:pos="9072"/>
            </w:tabs>
          </w:pPr>
          <w:r>
            <w:t xml:space="preserve">19.3.3 Custom Development</w:t>
          </w:r>
          <w:r>
            <w:tab/>
          </w:r>
          <w:r>
            <w:t xml:space="preserve">157</w:t>
          </w:r>
        </w:p>
        <w:p>
          <w:pPr>
            <w:pStyle w:val="TOC1"/>
            <w:tabs>
              <w:tab w:val="right" w:leader="dot" w:pos="9072"/>
            </w:tabs>
          </w:pPr>
          <w:r>
            <w:t xml:space="preserve">20. Contract Framework</w:t>
          </w:r>
          <w:r>
            <w:tab/>
          </w:r>
          <w:r>
            <w:t xml:space="preserve">158</w:t>
          </w:r>
        </w:p>
        <w:p>
          <w:pPr>
            <w:pStyle w:val="TOC2"/>
            <w:tabs>
              <w:tab w:val="right" w:leader="dot" w:pos="9072"/>
            </w:tabs>
          </w:pPr>
          <w:r>
            <w:t xml:space="preserve">20.1 Agreement Structure</w:t>
          </w:r>
          <w:r>
            <w:tab/>
          </w:r>
          <w:r>
            <w:t xml:space="preserve">159</w:t>
          </w:r>
        </w:p>
        <w:p>
          <w:pPr>
            <w:pStyle w:val="TOC2"/>
            <w:tabs>
              <w:tab w:val="right" w:leader="dot" w:pos="9072"/>
            </w:tabs>
          </w:pPr>
          <w:r>
            <w:t xml:space="preserve">20.2 Order Documents</w:t>
          </w:r>
          <w:r>
            <w:tab/>
          </w:r>
          <w:r>
            <w:t xml:space="preserve">160</w:t>
          </w:r>
        </w:p>
        <w:p>
          <w:pPr>
            <w:pStyle w:val="TOC2"/>
            <w:tabs>
              <w:tab w:val="right" w:leader="dot" w:pos="9072"/>
            </w:tabs>
          </w:pPr>
          <w:r>
            <w:t xml:space="preserve">20.3 Amendment Process</w:t>
          </w:r>
          <w:r>
            <w:tab/>
          </w:r>
          <w:r>
            <w:t xml:space="preserve">161</w:t>
          </w:r>
        </w:p>
        <w:p>
          <w:pPr>
            <w:pStyle w:val="TOC2"/>
            <w:tabs>
              <w:tab w:val="right" w:leader="dot" w:pos="9072"/>
            </w:tabs>
          </w:pPr>
          <w:r>
            <w:t xml:space="preserve">20.4 Dispute Resolution</w:t>
          </w:r>
          <w:r>
            <w:tab/>
          </w:r>
          <w:r>
            <w:t xml:space="preserve">162</w:t>
          </w:r>
        </w:p>
        <w:p>
          <w:pPr>
            <w:pStyle w:val="TOC1"/>
            <w:tabs>
              <w:tab w:val="right" w:leader="dot" w:pos="9072"/>
            </w:tabs>
          </w:pPr>
          <w:r>
            <w:t xml:space="preserve">Document Control</w:t>
          </w:r>
          <w:r>
            <w:tab/>
          </w:r>
          <w:r>
            <w:t xml:space="preserve">163</w:t>
          </w:r>
        </w:p>
        <w:p>
          <w:pPr>
            <w:pStyle w:val="TOC1"/>
            <w:tabs>
              <w:tab w:val="right" w:leader="dot" w:pos="9072"/>
            </w:tabs>
          </w:pPr>
          <w:r>
            <w:t xml:space="preserve">21. Client Responsibilities</w:t>
          </w:r>
          <w:r>
            <w:tab/>
          </w:r>
          <w:r>
            <w:t xml:space="preserve">164</w:t>
          </w:r>
        </w:p>
        <w:p>
          <w:pPr>
            <w:pStyle w:val="TOC2"/>
            <w:tabs>
              <w:tab w:val="right" w:leader="dot" w:pos="9072"/>
            </w:tabs>
          </w:pPr>
          <w:r>
            <w:t xml:space="preserve">21.1 Project Responsibilities</w:t>
          </w:r>
          <w:r>
            <w:tab/>
          </w:r>
          <w:r>
            <w:t xml:space="preserve">165</w:t>
          </w:r>
        </w:p>
        <w:p>
          <w:pPr>
            <w:pStyle w:val="TOC3"/>
            <w:tabs>
              <w:tab w:val="right" w:leader="dot" w:pos="9072"/>
            </w:tabs>
          </w:pPr>
          <w:r>
            <w:t xml:space="preserve">21.1.1 Governance and Decision Making</w:t>
          </w:r>
          <w:r>
            <w:tab/>
          </w:r>
          <w:r>
            <w:t xml:space="preserve">166</w:t>
          </w:r>
        </w:p>
        <w:p>
          <w:pPr>
            <w:pStyle w:val="TOC3"/>
            <w:tabs>
              <w:tab w:val="right" w:leader="dot" w:pos="9072"/>
            </w:tabs>
          </w:pPr>
          <w:r>
            <w:t xml:space="preserve">21.1.2 Resources</w:t>
          </w:r>
          <w:r>
            <w:tab/>
          </w:r>
          <w:r>
            <w:t xml:space="preserve">167</w:t>
          </w:r>
        </w:p>
        <w:p>
          <w:pPr>
            <w:pStyle w:val="TOC3"/>
            <w:tabs>
              <w:tab w:val="right" w:leader="dot" w:pos="9072"/>
            </w:tabs>
          </w:pPr>
          <w:r>
            <w:t xml:space="preserve">21.1.3 Information</w:t>
          </w:r>
          <w:r>
            <w:tab/>
          </w:r>
          <w:r>
            <w:t xml:space="preserve">168</w:t>
          </w:r>
        </w:p>
        <w:p>
          <w:pPr>
            <w:pStyle w:val="TOC2"/>
            <w:tabs>
              <w:tab w:val="right" w:leader="dot" w:pos="9072"/>
            </w:tabs>
          </w:pPr>
          <w:r>
            <w:t xml:space="preserve">21.2 Technical Responsibilities</w:t>
          </w:r>
          <w:r>
            <w:tab/>
          </w:r>
          <w:r>
            <w:t xml:space="preserve">169</w:t>
          </w:r>
        </w:p>
        <w:p>
          <w:pPr>
            <w:pStyle w:val="TOC3"/>
            <w:tabs>
              <w:tab w:val="right" w:leader="dot" w:pos="9072"/>
            </w:tabs>
          </w:pPr>
          <w:r>
            <w:t xml:space="preserve">21.2.1 Infrastructure</w:t>
          </w:r>
          <w:r>
            <w:tab/>
          </w:r>
          <w:r>
            <w:t xml:space="preserve">170</w:t>
          </w:r>
        </w:p>
        <w:p>
          <w:pPr>
            <w:pStyle w:val="TOC3"/>
            <w:tabs>
              <w:tab w:val="right" w:leader="dot" w:pos="9072"/>
            </w:tabs>
          </w:pPr>
          <w:r>
            <w:t xml:space="preserve">21.2.2 Integrations</w:t>
          </w:r>
          <w:r>
            <w:tab/>
          </w:r>
          <w:r>
            <w:t xml:space="preserve">171</w:t>
          </w:r>
        </w:p>
        <w:p>
          <w:pPr>
            <w:pStyle w:val="TOC3"/>
            <w:tabs>
              <w:tab w:val="right" w:leader="dot" w:pos="9072"/>
            </w:tabs>
          </w:pPr>
          <w:r>
            <w:t xml:space="preserve">21.2.3 Data</w:t>
          </w:r>
          <w:r>
            <w:tab/>
          </w:r>
          <w:r>
            <w:t xml:space="preserve">172</w:t>
          </w:r>
        </w:p>
        <w:p>
          <w:pPr>
            <w:pStyle w:val="TOC2"/>
            <w:tabs>
              <w:tab w:val="right" w:leader="dot" w:pos="9072"/>
            </w:tabs>
          </w:pPr>
          <w:r>
            <w:t xml:space="preserve">21.3 Operational Responsibilities</w:t>
          </w:r>
          <w:r>
            <w:tab/>
          </w:r>
          <w:r>
            <w:t xml:space="preserve">173</w:t>
          </w:r>
        </w:p>
        <w:p>
          <w:pPr>
            <w:pStyle w:val="TOC3"/>
            <w:tabs>
              <w:tab w:val="right" w:leader="dot" w:pos="9072"/>
            </w:tabs>
          </w:pPr>
          <w:r>
            <w:t xml:space="preserve">21.3.1 Training</w:t>
          </w:r>
          <w:r>
            <w:tab/>
          </w:r>
          <w:r>
            <w:t xml:space="preserve">174</w:t>
          </w:r>
        </w:p>
        <w:p>
          <w:pPr>
            <w:pStyle w:val="TOC3"/>
            <w:tabs>
              <w:tab w:val="right" w:leader="dot" w:pos="9072"/>
            </w:tabs>
          </w:pPr>
          <w:r>
            <w:t xml:space="preserve">21.3.2 Support Transition</w:t>
          </w:r>
          <w:r>
            <w:tab/>
          </w:r>
          <w:r>
            <w:t xml:space="preserve">175</w:t>
          </w:r>
        </w:p>
        <w:p>
          <w:pPr>
            <w:pStyle w:val="TOC1"/>
            <w:tabs>
              <w:tab w:val="right" w:leader="dot" w:pos="9072"/>
            </w:tabs>
          </w:pPr>
          <w:r>
            <w:t xml:space="preserve">22. Success Factors</w:t>
          </w:r>
          <w:r>
            <w:tab/>
          </w:r>
          <w:r>
            <w:t xml:space="preserve">176</w:t>
          </w:r>
        </w:p>
        <w:p>
          <w:pPr>
            <w:pStyle w:val="TOC2"/>
            <w:tabs>
              <w:tab w:val="right" w:leader="dot" w:pos="9072"/>
            </w:tabs>
          </w:pPr>
          <w:r>
            <w:t xml:space="preserve">22.1 Critical Success Factors</w:t>
          </w:r>
          <w:r>
            <w:tab/>
          </w:r>
          <w:r>
            <w:t xml:space="preserve">177</w:t>
          </w:r>
        </w:p>
        <w:p>
          <w:pPr>
            <w:pStyle w:val="TOC3"/>
            <w:tabs>
              <w:tab w:val="right" w:leader="dot" w:pos="9072"/>
            </w:tabs>
          </w:pPr>
          <w:r>
            <w:t xml:space="preserve">22.1.1 Executive Sponsorship</w:t>
          </w:r>
          <w:r>
            <w:tab/>
          </w:r>
          <w:r>
            <w:t xml:space="preserve">178</w:t>
          </w:r>
        </w:p>
        <w:p>
          <w:pPr>
            <w:pStyle w:val="TOC3"/>
            <w:tabs>
              <w:tab w:val="right" w:leader="dot" w:pos="9072"/>
            </w:tabs>
          </w:pPr>
          <w:r>
            <w:t xml:space="preserve">22.1.2 Requirements Stability</w:t>
          </w:r>
          <w:r>
            <w:tab/>
          </w:r>
          <w:r>
            <w:t xml:space="preserve">179</w:t>
          </w:r>
        </w:p>
        <w:p>
          <w:pPr>
            <w:pStyle w:val="TOC3"/>
            <w:tabs>
              <w:tab w:val="right" w:leader="dot" w:pos="9072"/>
            </w:tabs>
          </w:pPr>
          <w:r>
            <w:t xml:space="preserve">22.1.3 Resource Availability</w:t>
          </w:r>
          <w:r>
            <w:tab/>
          </w:r>
          <w:r>
            <w:t xml:space="preserve">180</w:t>
          </w:r>
        </w:p>
        <w:p>
          <w:pPr>
            <w:pStyle w:val="TOC3"/>
            <w:tabs>
              <w:tab w:val="right" w:leader="dot" w:pos="9072"/>
            </w:tabs>
          </w:pPr>
          <w:r>
            <w:t xml:space="preserve">22.1.4 Decision Making</w:t>
          </w:r>
          <w:r>
            <w:tab/>
          </w:r>
          <w:r>
            <w:t xml:space="preserve">181</w:t>
          </w:r>
        </w:p>
        <w:p>
          <w:pPr>
            <w:pStyle w:val="TOC2"/>
            <w:tabs>
              <w:tab w:val="right" w:leader="dot" w:pos="9072"/>
            </w:tabs>
          </w:pPr>
          <w:r>
            <w:t xml:space="preserve">22.2 Risk Mitigation</w:t>
          </w:r>
          <w:r>
            <w:tab/>
          </w:r>
          <w:r>
            <w:t xml:space="preserve">182</w:t>
          </w:r>
        </w:p>
        <w:p>
          <w:pPr>
            <w:pStyle w:val="TOC3"/>
            <w:tabs>
              <w:tab w:val="right" w:leader="dot" w:pos="9072"/>
            </w:tabs>
          </w:pPr>
          <w:r>
            <w:t xml:space="preserve">22.2.1 Resource Risk</w:t>
          </w:r>
          <w:r>
            <w:tab/>
          </w:r>
          <w:r>
            <w:t xml:space="preserve">183</w:t>
          </w:r>
        </w:p>
        <w:p>
          <w:pPr>
            <w:pStyle w:val="TOC3"/>
            <w:tabs>
              <w:tab w:val="right" w:leader="dot" w:pos="9072"/>
            </w:tabs>
          </w:pPr>
          <w:r>
            <w:t xml:space="preserve">22.2.2 Technical Risk</w:t>
          </w:r>
          <w:r>
            <w:tab/>
          </w:r>
          <w:r>
            <w:t xml:space="preserve">184</w:t>
          </w:r>
        </w:p>
        <w:p>
          <w:pPr>
            <w:pStyle w:val="TOC3"/>
            <w:tabs>
              <w:tab w:val="right" w:leader="dot" w:pos="9072"/>
            </w:tabs>
          </w:pPr>
          <w:r>
            <w:t xml:space="preserve">22.2.3 Schedule Risk</w:t>
          </w:r>
          <w:r>
            <w:tab/>
          </w:r>
          <w:r>
            <w:t xml:space="preserve">185</w:t>
          </w:r>
        </w:p>
        <w:p>
          <w:pPr>
            <w:pStyle w:val="TOC1"/>
            <w:tabs>
              <w:tab w:val="right" w:leader="dot" w:pos="9072"/>
            </w:tabs>
          </w:pPr>
          <w:r>
            <w:t xml:space="preserve">Document Control</w:t>
          </w:r>
          <w:r>
            <w:tab/>
          </w:r>
          <w:r>
            <w:t xml:space="preserve">186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Platform and Supervised Market Access</w:t>
      </w:r>
    </w:p>
    <w:p>
      <w:r>
        <w:br w:type="page"/>
      </w:r>
    </w:p>
    <w:p>
      <w:r>
        <w:rPr>
          <w:rFonts w:ascii="Figtree" w:hAnsi="Figtree"/>
          <w:b/>
          <w:i w:val="0"/>
          <w:sz w:val="22"/>
        </w:rPr>
        <w:t>Document Title:</w:t>
      </w:r>
      <w:r>
        <w:rPr>
          <w:rFonts w:ascii="Figtree" w:hAnsi="Figtree"/>
          <w:b w:val="0"/>
          <w:i w:val="0"/>
          <w:sz w:val="22"/>
        </w:rPr>
        <w:t xml:space="preserve"> Commercial Proposal — Digital Asset Regulatory Platform and Supervised Market Access</w:t>
      </w:r>
    </w:p>
    <w:p>
      <w:r>
        <w:rPr>
          <w:rFonts w:ascii="Figtree" w:hAnsi="Figtree"/>
          <w:b/>
          <w:i w:val="0"/>
          <w:sz w:val="22"/>
        </w:rPr>
        <w:t>Client:</w:t>
      </w:r>
      <w:r>
        <w:rPr>
          <w:rFonts w:ascii="Figtree" w:hAnsi="Figtree"/>
          <w:b w:val="0"/>
          <w:i w:val="0"/>
          <w:sz w:val="22"/>
        </w:rPr>
        <w:t xml:space="preserve"> Tadawul Saudi Exchange</w:t>
      </w:r>
    </w:p>
    <w:p>
      <w:r>
        <w:rPr>
          <w:rFonts w:ascii="Figtree" w:hAnsi="Figtree"/>
          <w:b/>
          <w:i w:val="0"/>
          <w:sz w:val="22"/>
        </w:rPr>
        <w:t>Submission Date:</w:t>
      </w:r>
      <w:r>
        <w:rPr>
          <w:rFonts w:ascii="Figtree" w:hAnsi="Figtree"/>
          <w:b w:val="0"/>
          <w:i w:val="0"/>
          <w:sz w:val="22"/>
        </w:rPr>
        <w:t xml:space="preserve"> 2026-03-17</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commercial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Proposed Commercial Model</w:t>
      </w:r>
    </w:p>
    <w:p>
      <w:pPr>
        <w:pStyle w:val="ListParagraph"/>
        <w:numPr>
          <w:ilvl w:val="0"/>
          <w:numId w:val="6"/>
        </w:numPr>
      </w:pPr>
      <w:r>
        <w:rPr>
          <w:rFonts w:ascii="Figtree" w:hAnsi="Figtree"/>
          <w:b w:val="0"/>
          <w:i w:val="0"/>
          <w:sz w:val="22"/>
        </w:rPr>
        <w:t>Investment Summary</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Ongoing Operational Costs</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Value Analysis and ROI</w:t>
      </w:r>
    </w:p>
    <w:p>
      <w:pPr>
        <w:pStyle w:val="ListParagraph"/>
        <w:numPr>
          <w:ilvl w:val="0"/>
          <w:numId w:val="6"/>
        </w:numPr>
      </w:pPr>
      <w:r>
        <w:rPr>
          <w:rFonts w:ascii="Figtree" w:hAnsi="Figtree"/>
          <w:b w:val="0"/>
          <w:i w:val="0"/>
          <w:sz w:val="22"/>
        </w:rPr>
        <w:t>Risk and Mitigation</w:t>
      </w:r>
    </w:p>
    <w:p>
      <w:pPr>
        <w:pStyle w:val="ListParagraph"/>
        <w:numPr>
          <w:ilvl w:val="0"/>
          <w:numId w:val="6"/>
        </w:numPr>
      </w:pPr>
      <w:r>
        <w:rPr>
          <w:rFonts w:ascii="Figtree" w:hAnsi="Figtree"/>
          <w:b w:val="0"/>
          <w:i w:val="0"/>
          <w:sz w:val="22"/>
        </w:rPr>
        <w:t>Appendix: Commercial Schedule</w:t>
      </w:r>
    </w:p>
    <w:p>
      <w:r>
        <w:br w:type="page"/>
      </w:r>
    </w:p>
    <w:p>
      <w:pPr>
        <w:pStyle w:val="H1"/>
        <w:numPr>
          <w:ilvl w:val="0"/>
          <w:numId w:val="1"/>
        </w:numPr>
      </w:pPr>
      <w:r>
        <w:t>1. Executive Summary</w:t>
      </w:r>
    </w:p>
    <w:p>
      <w:pPr>
        <w:pStyle w:val="H2"/>
        <w:numPr>
          <w:ilvl w:val="1"/>
          <w:numId w:val="1"/>
        </w:numPr>
      </w:pPr>
      <w:r>
        <w:t>1.1 Commercial Recommendation</w:t>
      </w:r>
    </w:p>
    <w:p>
      <w:r>
        <w:rPr>
          <w:rFonts w:ascii="Figtree" w:hAnsi="Figtree"/>
          <w:b w:val="0"/>
          <w:i w:val="0"/>
          <w:sz w:val="22"/>
        </w:rPr>
        <w:t>SettleMint recommends a commercial model for the Tadawul Saudi Exchange's digital asset regulatory platform based on private cloud deployment with enterprise support. The model provides the Central Bank with full control over infrastructure and data residency while leveraging DALP's pre-built capabilities to minimize implementation risk and time-to-value.</w:t>
      </w:r>
    </w:p>
    <w:p>
      <w:r>
        <w:rPr>
          <w:rFonts w:ascii="Figtree" w:hAnsi="Figtree"/>
          <w:b w:val="0"/>
          <w:i w:val="0"/>
          <w:sz w:val="22"/>
        </w:rPr>
        <w:t>The recommended approach combines platform licensing, implementation services, and ongoing support into a structured commercial framework that provides transparency, predictability, and alignment with the Central Bank's procurement objectives.</w:t>
      </w:r>
    </w:p>
    <w:p>
      <w:pPr>
        <w:pStyle w:val="H2"/>
        <w:numPr>
          <w:ilvl w:val="1"/>
          <w:numId w:val="1"/>
        </w:numPr>
      </w:pPr>
      <w:r>
        <w:t>1.2 Summary of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16"/>
        <w:gridCol w:w="31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 (USD)</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(3-year term)</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 weeks)</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Environment Fees (monthly)</w:t>
            </w:r>
          </w:p>
        </w:tc>
        <w:tc>
          <w:tcPr>
            <w:tcW w:type="dxa" w:w="4873"/>
            <w:vAlign w:val="center"/>
          </w:tcPr>
          <w:p>
            <w:pPr>
              <w:spacing w:line="276" w:lineRule="auto" w:before="0" w:after="0"/>
            </w:pPr>
            <w:r/>
            <w:r>
              <w:rPr>
                <w:rFonts w:ascii="Figtree" w:hAnsi="Figtree"/>
                <w:b w:val="0"/>
                <w:i w:val="0"/>
                <w:sz w:val="20"/>
              </w:rPr>
              <w:t>Upon agreement</w:t>
            </w:r>
          </w:p>
        </w:tc>
      </w:tr>
      <w:tr>
        <w:trPr>
          <w:trHeight w:val="425" w:hRule="atLeast"/>
        </w:trPr>
        <w:tc>
          <w:tcPr>
            <w:tcW w:type="dxa" w:w="4873"/>
            <w:vAlign w:val="center"/>
          </w:tcPr>
          <w:p>
            <w:pPr>
              <w:spacing w:line="276" w:lineRule="auto" w:before="0" w:after="0"/>
            </w:pPr>
            <w:r/>
            <w:r>
              <w:rPr>
                <w:rFonts w:ascii="Figtree" w:hAnsi="Figtree"/>
                <w:b w:val="0"/>
                <w:i w:val="0"/>
                <w:sz w:val="20"/>
              </w:rPr>
              <w:t>Support Tier (Enterprise 24/7)</w:t>
            </w:r>
          </w:p>
        </w:tc>
        <w:tc>
          <w:tcPr>
            <w:tcW w:type="dxa" w:w="4873"/>
            <w:vAlign w:val="center"/>
          </w:tcPr>
          <w:p>
            <w:pPr>
              <w:spacing w:line="276" w:lineRule="auto" w:before="0" w:after="0"/>
            </w:pPr>
            <w:r/>
            <w:r>
              <w:rPr>
                <w:rFonts w:ascii="Figtree" w:hAnsi="Figtree"/>
                <w:b w:val="0"/>
                <w:i w:val="0"/>
                <w:sz w:val="20"/>
              </w:rPr>
              <w:t>Upon agreement</w:t>
            </w:r>
          </w:p>
        </w:tc>
      </w:tr>
    </w:tbl>
    <w:p>
      <w:pPr>
        <w:spacing w:before="0" w:after="0" w:line="120" w:lineRule="exact"/>
      </w:pPr>
    </w:p>
    <w:p>
      <w:r>
        <w:rPr>
          <w:rFonts w:ascii="Figtree" w:hAnsi="Figtree"/>
          <w:b w:val="0"/>
          <w:i w:val="0"/>
          <w:sz w:val="22"/>
        </w:rPr>
        <w:t>The total cost of ownership over a three-year period will be provided following commercial validation sessions. All pricing is in USD unless otherwise stated.</w:t>
      </w:r>
    </w:p>
    <w:p>
      <w:pPr>
        <w:pStyle w:val="H2"/>
        <w:numPr>
          <w:ilvl w:val="1"/>
          <w:numId w:val="1"/>
        </w:numPr>
      </w:pPr>
      <w:r>
        <w:t>1.3 Why This Commercial Model</w:t>
      </w:r>
    </w:p>
    <w:p>
      <w:r>
        <w:rPr>
          <w:rFonts w:ascii="Figtree" w:hAnsi="Figtree"/>
          <w:b w:val="0"/>
          <w:i w:val="0"/>
          <w:sz w:val="22"/>
        </w:rPr>
        <w:t>The proposed model reflects SettleMint's experience with regulated institutions in the Middle East. The private cloud deployment ensures data residency within Kingdom of Saudi Arabia while providing the operational flexibility required for regulatory supervision. The phased implementation approach aligns with the Central Bank's governance requirements, with clear acceptance gates and decision points throughout the programme.</w:t>
      </w:r>
    </w:p>
    <w:p>
      <w:r>
        <w:rPr>
          <w:rFonts w:ascii="Figtree" w:hAnsi="Figtree"/>
          <w:b w:val="0"/>
          <w:i w:val="0"/>
          <w:sz w:val="22"/>
        </w:rPr>
        <w:t>The commercial structure provides predictability: environment fees are monthly and fixed; support tiers have defined response times and escalation paths; implementation investment is phased across the delivery timeline. This enables accurate budgeting and reduces the commercial uncertainty that often accompanies complex technology programmes.</w:t>
      </w:r>
    </w:p>
    <w:p>
      <w:r>
        <w:br w:type="page"/>
      </w:r>
    </w:p>
    <w:p>
      <w:pPr>
        <w:pStyle w:val="H1"/>
        <w:numPr>
          <w:ilvl w:val="0"/>
          <w:numId w:val="1"/>
        </w:numPr>
      </w:pPr>
      <w:r>
        <w:t>2. Investment Rationale</w:t>
      </w:r>
    </w:p>
    <w:p>
      <w:pPr>
        <w:pStyle w:val="H2"/>
        <w:numPr>
          <w:ilvl w:val="1"/>
          <w:numId w:val="1"/>
        </w:numPr>
      </w:pPr>
      <w:r>
        <w:t>2.1 The Cost of Current Approach</w:t>
      </w:r>
    </w:p>
    <w:p>
      <w:r>
        <w:rPr>
          <w:rFonts w:ascii="Figtree" w:hAnsi="Figtree"/>
          <w:b w:val="0"/>
          <w:i w:val="0"/>
          <w:sz w:val="22"/>
        </w:rPr>
        <w:t>The Tadawul Saudi Exchange faces a decision about how to build digital asset regulatory infrastructure. The alternative approaches each carry distinct cost profiles and risk characteristics.</w:t>
      </w:r>
    </w:p>
    <w:p>
      <w:r>
        <w:rPr>
          <w:rFonts w:ascii="Figtree" w:hAnsi="Figtree"/>
          <w:b/>
          <w:i w:val="0"/>
          <w:sz w:val="22"/>
        </w:rPr>
        <w:t>Build Approach:</w:t>
      </w:r>
      <w:r>
        <w:rPr>
          <w:rFonts w:ascii="Figtree" w:hAnsi="Figtree"/>
          <w:b w:val="0"/>
          <w:i w:val="0"/>
          <w:sz w:val="22"/>
        </w:rPr>
        <w:t xml:space="preserve"> Developing a bespoke platform internally would require significant engineering investment, regulatory expertise, and ongoing operational capability. The cost of building compliant digital asset infrastructure from scratch typically ranges from USD 8-15 million for initial development, with annual operational costs of USD 2-4 million. More critically, build approaches carry execution risk: most financial institutions that attempt bespoke development experience significant delays, scope creep, and regulatory challenges that extend timelines by 12-24 months beyond initial estimates.</w:t>
      </w:r>
    </w:p>
    <w:p>
      <w:r>
        <w:rPr>
          <w:rFonts w:ascii="Figtree" w:hAnsi="Figtree"/>
          <w:b/>
          <w:i w:val="0"/>
          <w:sz w:val="22"/>
        </w:rPr>
        <w:t>Multi-Vendor Assembly:</w:t>
      </w:r>
      <w:r>
        <w:rPr>
          <w:rFonts w:ascii="Figtree" w:hAnsi="Figtree"/>
          <w:b w:val="0"/>
          <w:i w:val="0"/>
          <w:sz w:val="22"/>
        </w:rPr>
        <w:t xml:space="preserve"> Assembling a solution from multiple point vendors introduces integration complexity, vendor coordination overhead, and governance burden. Each vendor brings separate contractual relationships, support escalations, and technology roadmaps. The operational cost of managing a multi-vendor environment typically adds 30-50% to the base technology cost through integration work, reconciliation effort, and coordination overhead. The governance burden also slows decision-making, as changes requiring coordinated vendor response take weeks or months rather than days.</w:t>
      </w:r>
    </w:p>
    <w:p>
      <w:r>
        <w:rPr>
          <w:rFonts w:ascii="Figtree" w:hAnsi="Figtree"/>
          <w:b/>
          <w:i w:val="0"/>
          <w:sz w:val="22"/>
        </w:rPr>
        <w:t>Platform-Based Approach:</w:t>
      </w:r>
      <w:r>
        <w:rPr>
          <w:rFonts w:ascii="Figtree" w:hAnsi="Figtree"/>
          <w:b w:val="0"/>
          <w:i w:val="0"/>
          <w:sz w:val="22"/>
        </w:rPr>
        <w:t xml:space="preserve"> DALP provides a pre-built, production-tested platform that addresses the full digital asset lifecycle. The platform has been refined through 14 production deployments, including sovereign-scale programmes in the Gulf region. This approach reduces implementation risk, accelerates time-to-value, and provides a single point of accountability for platform operations.</w:t>
      </w:r>
    </w:p>
    <w:p>
      <w:pPr>
        <w:pStyle w:val="H2"/>
        <w:numPr>
          <w:ilvl w:val="1"/>
          <w:numId w:val="1"/>
        </w:numPr>
      </w:pPr>
      <w:r>
        <w:t>2.2 How DALP Changes the Economics</w:t>
      </w:r>
    </w:p>
    <w:p>
      <w:r>
        <w:rPr>
          <w:rFonts w:ascii="Figtree" w:hAnsi="Figtree"/>
          <w:b w:val="0"/>
          <w:i w:val="0"/>
          <w:sz w:val="22"/>
        </w:rPr>
        <w:t>DALP transforms the economics of digital asset regulatory infrastructure through three mechanisms:</w:t>
      </w:r>
    </w:p>
    <w:p>
      <w:r>
        <w:rPr>
          <w:rFonts w:ascii="Figtree" w:hAnsi="Figtree"/>
          <w:b/>
          <w:i w:val="0"/>
          <w:sz w:val="22"/>
        </w:rPr>
        <w:t>Configuration Over Development:</w:t>
      </w:r>
      <w:r>
        <w:rPr>
          <w:rFonts w:ascii="Figtree" w:hAnsi="Figtree"/>
          <w:b w:val="0"/>
          <w:i w:val="0"/>
          <w:sz w:val="22"/>
        </w:rPr>
        <w:t xml:space="preserve"> DALP provides pre-built asset templates, compliance modules, and operational workflows that would otherwise require custom development. A bond tokenization capability that might take 6-9 months to build bespoke is available through configuration in days. The compliance library includes templates for major regulatory frameworks, eliminating the need to build compliance logic from first principles. This compression of configuration time relative to development time directly reduces implementation investment.</w:t>
      </w:r>
    </w:p>
    <w:p>
      <w:r>
        <w:rPr>
          <w:rFonts w:ascii="Figtree" w:hAnsi="Figtree"/>
          <w:b/>
          <w:i w:val="0"/>
          <w:sz w:val="22"/>
        </w:rPr>
        <w:t>Shared Investment Recovery:</w:t>
      </w:r>
      <w:r>
        <w:rPr>
          <w:rFonts w:ascii="Figtree" w:hAnsi="Figtree"/>
          <w:b w:val="0"/>
          <w:i w:val="0"/>
          <w:sz w:val="22"/>
        </w:rPr>
        <w:t xml:space="preserve"> The DALP platform represents accumulated investment across multiple deployments and use cases. SettleMint's customers collectively benefit from the platform's maturity, as each deployment contributes to bug fixes, performance improvements, and capability enhancements that flow to all customers. This shared investment model means the Central Bank benefits from capabilities funded by previous deployments without bearing the full cost of their development.</w:t>
      </w:r>
    </w:p>
    <w:p>
      <w:r>
        <w:rPr>
          <w:rFonts w:ascii="Figtree" w:hAnsi="Figtree"/>
          <w:b/>
          <w:i w:val="0"/>
          <w:sz w:val="22"/>
        </w:rPr>
        <w:t>Operational Efficiency:</w:t>
      </w:r>
      <w:r>
        <w:rPr>
          <w:rFonts w:ascii="Figtree" w:hAnsi="Figtree"/>
          <w:b w:val="0"/>
          <w:i w:val="0"/>
          <w:sz w:val="22"/>
        </w:rPr>
        <w:t xml:space="preserve"> DALP's unified operational model eliminates the reconciliation overhead that characterises multi-vendor environments. The platform's on-chain compliance enforcement reduces manual review burden. The comprehensive audit trail reduces evidence-gathering costs for regulatory and internal audit review. These operational efficiencies compound over the platform's lifecycle, reducing the ongoing cost of operations relative to alternative approaches.</w:t>
      </w:r>
    </w:p>
    <w:p>
      <w:pPr>
        <w:pStyle w:val="H2"/>
        <w:numPr>
          <w:ilvl w:val="1"/>
          <w:numId w:val="1"/>
        </w:numPr>
      </w:pPr>
      <w:r>
        <w:t>2.3 ROI Framework</w:t>
      </w:r>
    </w:p>
    <w:p>
      <w:r>
        <w:rPr>
          <w:rFonts w:ascii="Figtree" w:hAnsi="Figtree"/>
          <w:b w:val="0"/>
          <w:i w:val="0"/>
          <w:sz w:val="22"/>
        </w:rPr>
        <w:t>The return on investment for DALP manifests across four value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5"/>
        <w:gridCol w:w="4663"/>
        <w:gridCol w:w="30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Approach</w:t>
            </w:r>
          </w:p>
        </w:tc>
      </w:tr>
      <w:tr>
        <w:trPr>
          <w:trHeight w:val="425" w:hRule="atLeast"/>
        </w:trPr>
        <w:tc>
          <w:tcPr>
            <w:tcW w:type="dxa" w:w="3249"/>
            <w:vAlign w:val="center"/>
          </w:tcPr>
          <w:p>
            <w:pPr>
              <w:spacing w:line="276" w:lineRule="auto" w:before="0" w:after="0"/>
            </w:pPr>
            <w:r/>
            <w:r>
              <w:rPr>
                <w:rFonts w:ascii="Figtree" w:hAnsi="Figtree"/>
                <w:b w:val="0"/>
                <w:i w:val="0"/>
                <w:sz w:val="20"/>
              </w:rPr>
              <w:t>Cost Avoidance</w:t>
            </w:r>
          </w:p>
        </w:tc>
        <w:tc>
          <w:tcPr>
            <w:tcW w:type="dxa" w:w="3249"/>
            <w:vAlign w:val="center"/>
          </w:tcPr>
          <w:p>
            <w:pPr>
              <w:spacing w:line="276" w:lineRule="auto" w:before="0" w:after="0"/>
            </w:pPr>
            <w:r/>
            <w:r>
              <w:rPr>
                <w:rFonts w:ascii="Figtree" w:hAnsi="Figtree"/>
                <w:b w:val="0"/>
                <w:i w:val="0"/>
                <w:sz w:val="20"/>
              </w:rPr>
              <w:t>Avoided custom development, reduced integration effort</w:t>
            </w:r>
          </w:p>
        </w:tc>
        <w:tc>
          <w:tcPr>
            <w:tcW w:type="dxa" w:w="3249"/>
            <w:vAlign w:val="center"/>
          </w:tcPr>
          <w:p>
            <w:pPr>
              <w:spacing w:line="276" w:lineRule="auto" w:before="0" w:after="0"/>
            </w:pPr>
            <w:r/>
            <w:r>
              <w:rPr>
                <w:rFonts w:ascii="Figtree" w:hAnsi="Figtree"/>
                <w:b w:val="0"/>
                <w:i w:val="0"/>
                <w:sz w:val="20"/>
              </w:rPr>
              <w:t>Compare implementation cost to build estimate</w:t>
            </w:r>
          </w:p>
        </w:tc>
      </w:tr>
      <w:tr>
        <w:trPr>
          <w:trHeight w:val="425" w:hRule="atLeast"/>
        </w:trPr>
        <w:tc>
          <w:tcPr>
            <w:tcW w:type="dxa" w:w="3249"/>
            <w:vAlign w:val="center"/>
          </w:tcPr>
          <w:p>
            <w:pPr>
              <w:spacing w:line="276" w:lineRule="auto" w:before="0" w:after="0"/>
            </w:pPr>
            <w:r/>
            <w:r>
              <w:rPr>
                <w:rFonts w:ascii="Figtree" w:hAnsi="Figtree"/>
                <w:b w:val="0"/>
                <w:i w:val="0"/>
                <w:sz w:val="20"/>
              </w:rPr>
              <w:t>Operational Efficiency</w:t>
            </w:r>
          </w:p>
        </w:tc>
        <w:tc>
          <w:tcPr>
            <w:tcW w:type="dxa" w:w="3249"/>
            <w:vAlign w:val="center"/>
          </w:tcPr>
          <w:p>
            <w:pPr>
              <w:spacing w:line="276" w:lineRule="auto" w:before="0" w:after="0"/>
            </w:pPr>
            <w:r/>
            <w:r>
              <w:rPr>
                <w:rFonts w:ascii="Figtree" w:hAnsi="Figtree"/>
                <w:b w:val="0"/>
                <w:i w:val="0"/>
                <w:sz w:val="20"/>
              </w:rPr>
              <w:t>Reduced reconciliation, automated compliance, streamlined audit</w:t>
            </w:r>
          </w:p>
        </w:tc>
        <w:tc>
          <w:tcPr>
            <w:tcW w:type="dxa" w:w="3249"/>
            <w:vAlign w:val="center"/>
          </w:tcPr>
          <w:p>
            <w:pPr>
              <w:spacing w:line="276" w:lineRule="auto" w:before="0" w:after="0"/>
            </w:pPr>
            <w:r/>
            <w:r>
              <w:rPr>
                <w:rFonts w:ascii="Figtree" w:hAnsi="Figtree"/>
                <w:b w:val="0"/>
                <w:i w:val="0"/>
                <w:sz w:val="20"/>
              </w:rPr>
              <w:t>Measure operational staff hours saved</w:t>
            </w:r>
          </w:p>
        </w:tc>
      </w:tr>
      <w:tr>
        <w:trPr>
          <w:trHeight w:val="425" w:hRule="atLeast"/>
        </w:trPr>
        <w:tc>
          <w:tcPr>
            <w:tcW w:type="dxa" w:w="3249"/>
            <w:vAlign w:val="center"/>
          </w:tcPr>
          <w:p>
            <w:pPr>
              <w:spacing w:line="276" w:lineRule="auto" w:before="0" w:after="0"/>
            </w:pPr>
            <w:r/>
            <w:r>
              <w:rPr>
                <w:rFonts w:ascii="Figtree" w:hAnsi="Figtree"/>
                <w:b w:val="0"/>
                <w:i w:val="0"/>
                <w:sz w:val="20"/>
              </w:rPr>
              <w:t>Risk Reduction</w:t>
            </w:r>
          </w:p>
        </w:tc>
        <w:tc>
          <w:tcPr>
            <w:tcW w:type="dxa" w:w="3249"/>
            <w:vAlign w:val="center"/>
          </w:tcPr>
          <w:p>
            <w:pPr>
              <w:spacing w:line="276" w:lineRule="auto" w:before="0" w:after="0"/>
            </w:pPr>
            <w:r/>
            <w:r>
              <w:rPr>
                <w:rFonts w:ascii="Figtree" w:hAnsi="Figtree"/>
                <w:b w:val="0"/>
                <w:i w:val="0"/>
                <w:sz w:val="20"/>
              </w:rPr>
              <w:t>Production-tested platform, regulatory alignment, security certifications</w:t>
            </w:r>
          </w:p>
        </w:tc>
        <w:tc>
          <w:tcPr>
            <w:tcW w:type="dxa" w:w="3249"/>
            <w:vAlign w:val="center"/>
          </w:tcPr>
          <w:p>
            <w:pPr>
              <w:spacing w:line="276" w:lineRule="auto" w:before="0" w:after="0"/>
            </w:pPr>
            <w:r/>
            <w:r>
              <w:rPr>
                <w:rFonts w:ascii="Figtree" w:hAnsi="Figtree"/>
                <w:b w:val="0"/>
                <w:i w:val="0"/>
                <w:sz w:val="20"/>
              </w:rPr>
              <w:t>Assess avoided regulatory and operational risk</w:t>
            </w:r>
          </w:p>
        </w:tc>
      </w:tr>
      <w:tr>
        <w:trPr>
          <w:trHeight w:val="425" w:hRule="atLeast"/>
        </w:trPr>
        <w:tc>
          <w:tcPr>
            <w:tcW w:type="dxa" w:w="3249"/>
            <w:vAlign w:val="center"/>
          </w:tcPr>
          <w:p>
            <w:pPr>
              <w:spacing w:line="276" w:lineRule="auto" w:before="0" w:after="0"/>
            </w:pPr>
            <w:r/>
            <w:r>
              <w:rPr>
                <w:rFonts w:ascii="Figtree" w:hAnsi="Figtree"/>
                <w:b w:val="0"/>
                <w:i w:val="0"/>
                <w:sz w:val="20"/>
              </w:rPr>
              <w:t>Strategic Enablement</w:t>
            </w:r>
          </w:p>
        </w:tc>
        <w:tc>
          <w:tcPr>
            <w:tcW w:type="dxa" w:w="3249"/>
            <w:vAlign w:val="center"/>
          </w:tcPr>
          <w:p>
            <w:pPr>
              <w:spacing w:line="276" w:lineRule="auto" w:before="0" w:after="0"/>
            </w:pPr>
            <w:r/>
            <w:r>
              <w:rPr>
                <w:rFonts w:ascii="Figtree" w:hAnsi="Figtree"/>
                <w:b w:val="0"/>
                <w:i w:val="0"/>
                <w:sz w:val="20"/>
              </w:rPr>
              <w:t>Faster time-to-market for digital asset initiatives</w:t>
            </w:r>
          </w:p>
        </w:tc>
        <w:tc>
          <w:tcPr>
            <w:tcW w:type="dxa" w:w="3249"/>
            <w:vAlign w:val="center"/>
          </w:tcPr>
          <w:p>
            <w:pPr>
              <w:spacing w:line="276" w:lineRule="auto" w:before="0" w:after="0"/>
            </w:pPr>
            <w:r/>
            <w:r>
              <w:rPr>
                <w:rFonts w:ascii="Figtree" w:hAnsi="Figtree"/>
                <w:b w:val="0"/>
                <w:i w:val="0"/>
                <w:sz w:val="20"/>
              </w:rPr>
              <w:t>Evaluate opportunity cost of delayed capability</w:t>
            </w:r>
          </w:p>
        </w:tc>
      </w:tr>
    </w:tbl>
    <w:p>
      <w:pPr>
        <w:spacing w:before="0" w:after="0" w:line="120" w:lineRule="exact"/>
      </w:pPr>
    </w:p>
    <w:p>
      <w:r>
        <w:rPr>
          <w:rFonts w:ascii="Figtree" w:hAnsi="Figtree"/>
          <w:b w:val="0"/>
          <w:i w:val="0"/>
          <w:sz w:val="22"/>
        </w:rPr>
        <w:t>SettleMint will work with the Central Bank during Phase 1 to develop specific ROI metrics aligned with the programme's objectives.</w:t>
      </w:r>
    </w:p>
    <w:p>
      <w:r>
        <w:br w:type="page"/>
      </w:r>
    </w:p>
    <w:p>
      <w:pPr>
        <w:pStyle w:val="H1"/>
        <w:numPr>
          <w:ilvl w:val="0"/>
          <w:numId w:val="1"/>
        </w:numPr>
      </w:pPr>
      <w:r>
        <w:t>3. Proposed Commercial Model</w:t>
      </w:r>
    </w:p>
    <w:p>
      <w:pPr>
        <w:pStyle w:val="H2"/>
        <w:numPr>
          <w:ilvl w:val="1"/>
          <w:numId w:val="1"/>
        </w:numPr>
      </w:pPr>
      <w:r>
        <w:t>3.1 Commercial Structure</w:t>
      </w:r>
    </w:p>
    <w:p>
      <w:r>
        <w:rPr>
          <w:rFonts w:ascii="Figtree" w:hAnsi="Figtree"/>
          <w:b w:val="0"/>
          <w:i w:val="0"/>
          <w:sz w:val="22"/>
        </w:rPr>
        <w:t>SettleMint proposes a commercial model consisting of four components:</w:t>
      </w:r>
    </w:p>
    <w:p>
      <w:r>
        <w:rPr>
          <w:rFonts w:ascii="Figtree" w:hAnsi="Figtree"/>
          <w:b/>
          <w:i w:val="0"/>
          <w:sz w:val="22"/>
        </w:rPr>
        <w:t>Platform License:</w:t>
      </w:r>
      <w:r>
        <w:rPr>
          <w:rFonts w:ascii="Figtree" w:hAnsi="Figtree"/>
          <w:b w:val="0"/>
          <w:i w:val="0"/>
          <w:sz w:val="22"/>
        </w:rPr>
        <w:t xml:space="preserve"> DALP platform access under a term license. The license provides access to the DALP software, including the application layer, API services, middleware components, and smart contracts. License terms are annual with three-year commitment for pricing purposes.</w:t>
      </w:r>
    </w:p>
    <w:p>
      <w:r>
        <w:rPr>
          <w:rFonts w:ascii="Figtree" w:hAnsi="Figtree"/>
          <w:b/>
          <w:i w:val="0"/>
          <w:sz w:val="22"/>
        </w:rPr>
        <w:t>Implementation Services:</w:t>
      </w:r>
      <w:r>
        <w:rPr>
          <w:rFonts w:ascii="Figtree" w:hAnsi="Figtree"/>
          <w:b w:val="0"/>
          <w:i w:val="0"/>
          <w:sz w:val="22"/>
        </w:rPr>
        <w:t xml:space="preserve"> Professional services for programme delivery following SettleMint's 19-week methodology. Implementation includes discovery, configuration, integration, testing, and go-live support. Services are priced on a fixed-fee basis with defined deliverables and acceptance criteria.</w:t>
      </w:r>
    </w:p>
    <w:p>
      <w:r>
        <w:rPr>
          <w:rFonts w:ascii="Figtree" w:hAnsi="Figtree"/>
          <w:b/>
          <w:i w:val="0"/>
          <w:sz w:val="22"/>
        </w:rPr>
        <w:t>Environment Fees:</w:t>
      </w:r>
      <w:r>
        <w:rPr>
          <w:rFonts w:ascii="Figtree" w:hAnsi="Figtree"/>
          <w:b w:val="0"/>
          <w:i w:val="0"/>
          <w:sz w:val="22"/>
        </w:rPr>
        <w:t xml:space="preserve"> Monthly fees for the platform infrastructure. Environment fees cover the Kubernetes clusters, database, object storage, blockchain network, and observability stack required to operate DALP. Fees are per-environment (development, staging, production) and fixed monthly.</w:t>
      </w:r>
    </w:p>
    <w:p>
      <w:r>
        <w:rPr>
          <w:rFonts w:ascii="Figtree" w:hAnsi="Figtree"/>
          <w:b/>
          <w:i w:val="0"/>
          <w:sz w:val="22"/>
        </w:rPr>
        <w:t>Support Services:</w:t>
      </w:r>
      <w:r>
        <w:rPr>
          <w:rFonts w:ascii="Figtree" w:hAnsi="Figtree"/>
          <w:b w:val="0"/>
          <w:i w:val="0"/>
          <w:sz w:val="22"/>
        </w:rPr>
        <w:t xml:space="preserve"> Ongoing support services following the go-live transition. Support tiers define response times, escalation paths, and service scope. The Enterprise tier (24/7) is recommended for regulatory infrastructure.</w:t>
      </w:r>
    </w:p>
    <w:p>
      <w:pPr>
        <w:pStyle w:val="H2"/>
        <w:numPr>
          <w:ilvl w:val="1"/>
          <w:numId w:val="1"/>
        </w:numPr>
      </w:pPr>
      <w:r>
        <w:t>3.2 Deployment Model: Private Cloud</w:t>
      </w:r>
    </w:p>
    <w:p>
      <w:r>
        <w:rPr>
          <w:rFonts w:ascii="Figtree" w:hAnsi="Figtree"/>
          <w:b w:val="0"/>
          <w:i w:val="0"/>
          <w:sz w:val="22"/>
        </w:rPr>
        <w:t>The proposed commercial model is based on private cloud deployment within the Central Bank's specified cloud environment (AWS, Azure, or GCP). This deployment model provides:</w:t>
      </w:r>
    </w:p>
    <w:p>
      <w:r>
        <w:rPr>
          <w:rFonts w:ascii="Figtree" w:hAnsi="Figtree"/>
          <w:b/>
          <w:i w:val="0"/>
          <w:sz w:val="22"/>
        </w:rPr>
        <w:t>Data Residency:</w:t>
      </w:r>
      <w:r>
        <w:rPr>
          <w:rFonts w:ascii="Figtree" w:hAnsi="Figtree"/>
          <w:b w:val="0"/>
          <w:i w:val="0"/>
          <w:sz w:val="22"/>
        </w:rPr>
        <w:t xml:space="preserve"> All data remains within Kingdom of Saudi Arabia. No data is transferred to external regions or third parties without explicit Central Bank approval.</w:t>
      </w:r>
    </w:p>
    <w:p>
      <w:r>
        <w:rPr>
          <w:rFonts w:ascii="Figtree" w:hAnsi="Figtree"/>
          <w:b/>
          <w:i w:val="0"/>
          <w:sz w:val="22"/>
        </w:rPr>
        <w:t>Infrastructure Control:</w:t>
      </w:r>
      <w:r>
        <w:rPr>
          <w:rFonts w:ascii="Figtree" w:hAnsi="Figtree"/>
          <w:b w:val="0"/>
          <w:i w:val="0"/>
          <w:sz w:val="22"/>
        </w:rPr>
        <w:t xml:space="preserve"> The Central Bank maintains control over infrastructure sizing, network configuration, and security policies. SettleMint provides platform management but does not have independent access to production infrastructure.</w:t>
      </w:r>
    </w:p>
    <w:p>
      <w:r>
        <w:rPr>
          <w:rFonts w:ascii="Figtree" w:hAnsi="Figtree"/>
          <w:b/>
          <w:i w:val="0"/>
          <w:sz w:val="22"/>
        </w:rPr>
        <w:t>Cost Transparency:</w:t>
      </w:r>
      <w:r>
        <w:rPr>
          <w:rFonts w:ascii="Figtree" w:hAnsi="Figtree"/>
          <w:b w:val="0"/>
          <w:i w:val="0"/>
          <w:sz w:val="22"/>
        </w:rPr>
        <w:t xml:space="preserve"> Environment fees are directly tied to infrastructure costs (compute, storage, network). The Central Bank can optimize costs through right-sizing and resource management.</w:t>
      </w:r>
    </w:p>
    <w:p>
      <w:r>
        <w:rPr>
          <w:rFonts w:ascii="Figtree" w:hAnsi="Figtree"/>
          <w:b/>
          <w:i w:val="0"/>
          <w:sz w:val="22"/>
        </w:rPr>
        <w:t>Regulatory Alignment:</w:t>
      </w:r>
      <w:r>
        <w:rPr>
          <w:rFonts w:ascii="Figtree" w:hAnsi="Figtree"/>
          <w:b w:val="0"/>
          <w:i w:val="0"/>
          <w:sz w:val="22"/>
        </w:rPr>
        <w:t xml:space="preserve"> Private cloud deployment aligns with Tadawul's data localisation requirements and regulatory expectations for supervised market infrastructure.</w:t>
      </w:r>
    </w:p>
    <w:p>
      <w:pPr>
        <w:pStyle w:val="H2"/>
        <w:numPr>
          <w:ilvl w:val="1"/>
          <w:numId w:val="1"/>
        </w:numPr>
      </w:pPr>
      <w:r>
        <w:t>3.3 Support Tier Recommendation</w:t>
      </w:r>
    </w:p>
    <w:p>
      <w:r>
        <w:rPr>
          <w:rFonts w:ascii="Figtree" w:hAnsi="Figtree"/>
          <w:b w:val="0"/>
          <w:i w:val="0"/>
          <w:sz w:val="22"/>
        </w:rPr>
        <w:t>SettleMint recommends the Enterprise support tier (24/7) for the Central Bank's digital asset regulatory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2177"/>
        <w:gridCol w:w="3447"/>
        <w:gridCol w:w="16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 (8x5)</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(12x7)</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(24/7)</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09:00-18:00 CET, Mon-Fri</w:t>
            </w:r>
          </w:p>
        </w:tc>
        <w:tc>
          <w:tcPr>
            <w:tcW w:type="dxa" w:w="2436"/>
            <w:vAlign w:val="center"/>
          </w:tcPr>
          <w:p>
            <w:pPr>
              <w:spacing w:line="276" w:lineRule="auto" w:before="0" w:after="0"/>
            </w:pPr>
            <w:r/>
            <w:r>
              <w:rPr>
                <w:rFonts w:ascii="Figtree" w:hAnsi="Figtree"/>
                <w:b w:val="0"/>
                <w:i w:val="0"/>
                <w:sz w:val="20"/>
              </w:rPr>
              <w:t>07:00-22:00 CET, Mon-Fri + P1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 Time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 phone</w:t>
            </w:r>
          </w:p>
        </w:tc>
        <w:tc>
          <w:tcPr>
            <w:tcW w:type="dxa" w:w="2436"/>
            <w:vAlign w:val="center"/>
          </w:tcPr>
          <w:p>
            <w:pPr>
              <w:spacing w:line="276" w:lineRule="auto" w:before="0" w:after="0"/>
            </w:pPr>
            <w:r/>
            <w:r>
              <w:rPr>
                <w:rFonts w:ascii="Figtree" w:hAnsi="Figtree"/>
                <w:b w:val="0"/>
                <w:i w:val="0"/>
                <w:sz w:val="20"/>
              </w:rPr>
              <w:t>+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Assigned Engineer</w:t>
            </w:r>
          </w:p>
        </w:tc>
        <w:tc>
          <w:tcPr>
            <w:tcW w:type="dxa" w:w="2436"/>
            <w:vAlign w:val="center"/>
          </w:tcPr>
          <w:p>
            <w:pPr>
              <w:spacing w:line="276" w:lineRule="auto" w:before="0" w:after="0"/>
            </w:pPr>
            <w:r/>
            <w:r>
              <w:rPr>
                <w:rFonts w:ascii="Figtree" w:hAnsi="Figtree"/>
                <w:b w:val="0"/>
                <w:i w:val="0"/>
                <w:sz w:val="20"/>
              </w:rPr>
              <w:t>Shared pool</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Release Cadence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r>
        <w:trPr>
          <w:trHeight w:val="425" w:hRule="atLeast"/>
        </w:trPr>
        <w:tc>
          <w:tcPr>
            <w:tcW w:type="dxa" w:w="2436"/>
            <w:vAlign w:val="center"/>
          </w:tcPr>
          <w:p>
            <w:pPr>
              <w:spacing w:line="276" w:lineRule="auto" w:before="0" w:after="0"/>
            </w:pPr>
            <w:r/>
            <w:r>
              <w:rPr>
                <w:rFonts w:ascii="Figtree" w:hAnsi="Figtree"/>
                <w:b w:val="0"/>
                <w:i w:val="0"/>
                <w:sz w:val="20"/>
              </w:rPr>
              <w:t>Business Reviews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None</w:t>
            </w:r>
          </w:p>
        </w:tc>
        <w:tc>
          <w:tcPr>
            <w:tcW w:type="dxa" w:w="2436"/>
            <w:vAlign w:val="center"/>
          </w:tcPr>
          <w:p>
            <w:pPr>
              <w:spacing w:line="276" w:lineRule="auto" w:before="0" w:after="0"/>
            </w:pPr>
            <w:r/>
            <w:r>
              <w:rPr>
                <w:rFonts w:ascii="Figtree" w:hAnsi="Figtree"/>
                <w:b w:val="0"/>
                <w:i w:val="0"/>
                <w:sz w:val="20"/>
              </w:rPr>
              <w:t>Quarterly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The Enterprise tier ensures that regulatory infrastructure has immediate access to engineering expertise when issues arise, with the response times and resolution targets appropriate for systems that support market supervision.</w:t>
      </w:r>
    </w:p>
    <w:p>
      <w:r>
        <w:br w:type="page"/>
      </w:r>
    </w:p>
    <w:p>
      <w:pPr>
        <w:pStyle w:val="H1"/>
        <w:numPr>
          <w:ilvl w:val="0"/>
          <w:numId w:val="1"/>
        </w:numPr>
      </w:pPr>
      <w:r>
        <w:t>4. Investment Summary</w:t>
      </w:r>
    </w:p>
    <w:p>
      <w:pPr>
        <w:pStyle w:val="H2"/>
        <w:numPr>
          <w:ilvl w:val="1"/>
          <w:numId w:val="1"/>
        </w:numPr>
      </w:pPr>
      <w:r>
        <w:t>4.1 Investment Components</w:t>
      </w:r>
    </w:p>
    <w:p>
      <w:r>
        <w:rPr>
          <w:rFonts w:ascii="Figtree" w:hAnsi="Figtree"/>
          <w:b w:val="0"/>
          <w:i w:val="0"/>
          <w:sz w:val="22"/>
        </w:rPr>
        <w:t>The following table summarizes the investment components. Specific figures will be finalised following commercial validation: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1"/>
        <w:gridCol w:w="4044"/>
        <w:gridCol w:w="20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3249"/>
            <w:vAlign w:val="center"/>
          </w:tcPr>
          <w:p>
            <w:pPr>
              <w:spacing w:line="276" w:lineRule="auto" w:before="0" w:after="0"/>
            </w:pPr>
            <w:r/>
            <w:r>
              <w:rPr>
                <w:rFonts w:ascii="Figtree" w:hAnsi="Figtree"/>
                <w:b/>
                <w:i w:val="0"/>
                <w:sz w:val="20"/>
              </w:rPr>
              <w:t>Platform License</w:t>
            </w:r>
          </w:p>
        </w:tc>
        <w:tc>
          <w:tcPr>
            <w:tcW w:type="dxa" w:w="3249"/>
            <w:vAlign w:val="center"/>
          </w:tcPr>
          <w:p>
            <w:pPr>
              <w:spacing w:line="276" w:lineRule="auto" w:before="0" w:after="0"/>
            </w:pPr>
            <w:r/>
            <w:r>
              <w:rPr>
                <w:rFonts w:ascii="Figtree" w:hAnsi="Figtree"/>
                <w:b w:val="0"/>
                <w:i w:val="0"/>
                <w:sz w:val="20"/>
              </w:rPr>
              <w:t>DALP software access for 3-year term</w:t>
            </w:r>
          </w:p>
        </w:tc>
        <w:tc>
          <w:tcPr>
            <w:tcW w:type="dxa" w:w="3249"/>
            <w:vAlign w:val="center"/>
          </w:tcPr>
          <w:p>
            <w:pPr>
              <w:spacing w:line="276" w:lineRule="auto" w:before="0" w:after="0"/>
            </w:pPr>
            <w:r/>
            <w:r>
              <w:rPr>
                <w:rFonts w:ascii="Figtree" w:hAnsi="Figtree"/>
                <w:b w:val="0"/>
                <w:i w:val="0"/>
                <w:sz w:val="20"/>
              </w:rPr>
              <w:t>Annual license fee</w:t>
            </w:r>
          </w:p>
        </w:tc>
      </w:tr>
      <w:tr>
        <w:trPr>
          <w:trHeight w:val="425" w:hRule="atLeast"/>
        </w:trPr>
        <w:tc>
          <w:tcPr>
            <w:tcW w:type="dxa" w:w="3249"/>
            <w:vAlign w:val="center"/>
          </w:tcPr>
          <w:p>
            <w:pPr>
              <w:spacing w:line="276" w:lineRule="auto" w:before="0" w:after="0"/>
            </w:pPr>
            <w:r/>
            <w:r>
              <w:rPr>
                <w:rFonts w:ascii="Figtree" w:hAnsi="Figtree"/>
                <w:b/>
                <w:i w:val="0"/>
                <w:sz w:val="20"/>
              </w:rPr>
              <w:t>Implementation Services</w:t>
            </w:r>
          </w:p>
        </w:tc>
        <w:tc>
          <w:tcPr>
            <w:tcW w:type="dxa" w:w="3249"/>
            <w:vAlign w:val="center"/>
          </w:tcPr>
          <w:p>
            <w:pPr>
              <w:spacing w:line="276" w:lineRule="auto" w:before="0" w:after="0"/>
            </w:pPr>
            <w:r/>
            <w:r>
              <w:rPr>
                <w:rFonts w:ascii="Figtree" w:hAnsi="Figtree"/>
                <w:b w:val="0"/>
                <w:i w:val="0"/>
                <w:sz w:val="20"/>
              </w:rPr>
              <w:t>19-week delivery programme</w:t>
            </w:r>
          </w:p>
        </w:tc>
        <w:tc>
          <w:tcPr>
            <w:tcW w:type="dxa" w:w="3249"/>
            <w:vAlign w:val="center"/>
          </w:tcPr>
          <w:p>
            <w:pPr>
              <w:spacing w:line="276" w:lineRule="auto" w:before="0" w:after="0"/>
            </w:pPr>
            <w:r/>
            <w:r>
              <w:rPr>
                <w:rFonts w:ascii="Figtree" w:hAnsi="Figtree"/>
                <w:b w:val="0"/>
                <w:i w:val="0"/>
                <w:sz w:val="20"/>
              </w:rPr>
              <w:t>Fixed fee per phase</w:t>
            </w:r>
          </w:p>
        </w:tc>
      </w:tr>
      <w:tr>
        <w:trPr>
          <w:trHeight w:val="425" w:hRule="atLeast"/>
        </w:trPr>
        <w:tc>
          <w:tcPr>
            <w:tcW w:type="dxa" w:w="3249"/>
            <w:vAlign w:val="center"/>
          </w:tcPr>
          <w:p>
            <w:pPr>
              <w:spacing w:line="276" w:lineRule="auto" w:before="0" w:after="0"/>
            </w:pPr>
            <w:r/>
            <w:r>
              <w:rPr>
                <w:rFonts w:ascii="Figtree" w:hAnsi="Figtree"/>
                <w:b/>
                <w:i w:val="0"/>
                <w:sz w:val="20"/>
              </w:rPr>
              <w:t>Development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Staging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Production Environment</w:t>
            </w:r>
          </w:p>
        </w:tc>
        <w:tc>
          <w:tcPr>
            <w:tcW w:type="dxa" w:w="3249"/>
            <w:vAlign w:val="center"/>
          </w:tcPr>
          <w:p>
            <w:pPr>
              <w:spacing w:line="276" w:lineRule="auto" w:before="0" w:after="0"/>
            </w:pPr>
            <w:r/>
            <w:r>
              <w:rPr>
                <w:rFonts w:ascii="Figtree" w:hAnsi="Figtree"/>
                <w:b w:val="0"/>
                <w:i w:val="0"/>
                <w:sz w:val="20"/>
              </w:rPr>
              <w:t>Kubernetes cluster, database, storage</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Blockchain Network</w:t>
            </w:r>
          </w:p>
        </w:tc>
        <w:tc>
          <w:tcPr>
            <w:tcW w:type="dxa" w:w="3249"/>
            <w:vAlign w:val="center"/>
          </w:tcPr>
          <w:p>
            <w:pPr>
              <w:spacing w:line="276" w:lineRule="auto" w:before="0" w:after="0"/>
            </w:pPr>
            <w:r/>
            <w:r>
              <w:rPr>
                <w:rFonts w:ascii="Figtree" w:hAnsi="Figtree"/>
                <w:b w:val="0"/>
                <w:i w:val="0"/>
                <w:sz w:val="20"/>
              </w:rPr>
              <w:t>Hyperledger Besu nodes</w:t>
            </w:r>
          </w:p>
        </w:tc>
        <w:tc>
          <w:tcPr>
            <w:tcW w:type="dxa" w:w="3249"/>
            <w:vAlign w:val="center"/>
          </w:tcPr>
          <w:p>
            <w:pPr>
              <w:spacing w:line="276" w:lineRule="auto" w:before="0" w:after="0"/>
            </w:pPr>
            <w:r/>
            <w:r>
              <w:rPr>
                <w:rFonts w:ascii="Figtree" w:hAnsi="Figtree"/>
                <w:b w:val="0"/>
                <w:i w:val="0"/>
                <w:sz w:val="20"/>
              </w:rPr>
              <w:t>Monthly fee</w:t>
            </w:r>
          </w:p>
        </w:tc>
      </w:tr>
      <w:tr>
        <w:trPr>
          <w:trHeight w:val="425" w:hRule="atLeast"/>
        </w:trPr>
        <w:tc>
          <w:tcPr>
            <w:tcW w:type="dxa" w:w="3249"/>
            <w:vAlign w:val="center"/>
          </w:tcPr>
          <w:p>
            <w:pPr>
              <w:spacing w:line="276" w:lineRule="auto" w:before="0" w:after="0"/>
            </w:pPr>
            <w:r/>
            <w:r>
              <w:rPr>
                <w:rFonts w:ascii="Figtree" w:hAnsi="Figtree"/>
                <w:b/>
                <w:i w:val="0"/>
                <w:sz w:val="20"/>
              </w:rPr>
              <w:t>Support Services</w:t>
            </w:r>
          </w:p>
        </w:tc>
        <w:tc>
          <w:tcPr>
            <w:tcW w:type="dxa" w:w="3249"/>
            <w:vAlign w:val="center"/>
          </w:tcPr>
          <w:p>
            <w:pPr>
              <w:spacing w:line="276" w:lineRule="auto" w:before="0" w:after="0"/>
            </w:pPr>
            <w:r/>
            <w:r>
              <w:rPr>
                <w:rFonts w:ascii="Figtree" w:hAnsi="Figtree"/>
                <w:b w:val="0"/>
                <w:i w:val="0"/>
                <w:sz w:val="20"/>
              </w:rPr>
              <w:t>Enterprise tier 24/7</w:t>
            </w:r>
          </w:p>
        </w:tc>
        <w:tc>
          <w:tcPr>
            <w:tcW w:type="dxa" w:w="3249"/>
            <w:vAlign w:val="center"/>
          </w:tcPr>
          <w:p>
            <w:pPr>
              <w:spacing w:line="276" w:lineRule="auto" w:before="0" w:after="0"/>
            </w:pPr>
            <w:r/>
            <w:r>
              <w:rPr>
                <w:rFonts w:ascii="Figtree" w:hAnsi="Figtree"/>
                <w:b w:val="0"/>
                <w:i w:val="0"/>
                <w:sz w:val="20"/>
              </w:rPr>
              <w:t>Monthly fee</w:t>
            </w:r>
          </w:p>
        </w:tc>
      </w:tr>
    </w:tbl>
    <w:p>
      <w:pPr>
        <w:spacing w:before="0" w:after="0" w:line="120" w:lineRule="exact"/>
      </w:pPr>
    </w:p>
    <w:p>
      <w:pPr>
        <w:pStyle w:val="H2"/>
        <w:numPr>
          <w:ilvl w:val="1"/>
          <w:numId w:val="1"/>
        </w:numPr>
      </w:pPr>
      <w:r>
        <w:t>4.2 Payment Terms</w:t>
      </w:r>
    </w:p>
    <w:p>
      <w:r>
        <w:rPr>
          <w:rFonts w:ascii="Figtree" w:hAnsi="Figtree"/>
          <w:b w:val="0"/>
          <w:i w:val="0"/>
          <w:sz w:val="22"/>
        </w:rPr>
        <w:t>SettleMint proposes the following payment structure:</w:t>
      </w:r>
    </w:p>
    <w:p>
      <w:r>
        <w:rPr>
          <w:rFonts w:ascii="Figtree" w:hAnsi="Figtree"/>
          <w:b/>
          <w:i w:val="0"/>
          <w:sz w:val="22"/>
        </w:rPr>
        <w:t>Implementation Services:</w:t>
      </w:r>
      <w:r>
        <w:rPr>
          <w:rFonts w:ascii="Figtree" w:hAnsi="Figtree"/>
          <w:b w:val="0"/>
          <w:i w:val="0"/>
          <w:sz w:val="22"/>
        </w:rPr>
        <w:t xml:space="preserve"> Payment on milestone completion aligned to phase gates. Payment triggers upon acceptance of phase deliverables:</w:t>
      </w:r>
    </w:p>
    <w:p>
      <w:pPr>
        <w:pStyle w:val="ListParagraph"/>
        <w:numPr>
          <w:ilvl w:val="0"/>
          <w:numId w:val="4"/>
        </w:numPr>
      </w:pPr>
      <w:r>
        <w:rPr>
          <w:rFonts w:ascii="Figtree" w:hAnsi="Figtree"/>
          <w:b w:val="0"/>
          <w:i w:val="0"/>
          <w:sz w:val="22"/>
        </w:rPr>
        <w:t>20% upon Phase 1 completion (Requirements sign-off)</w:t>
      </w:r>
    </w:p>
    <w:p>
      <w:pPr>
        <w:pStyle w:val="ListParagraph"/>
        <w:numPr>
          <w:ilvl w:val="0"/>
          <w:numId w:val="4"/>
        </w:numPr>
      </w:pPr>
      <w:r>
        <w:rPr>
          <w:rFonts w:ascii="Figtree" w:hAnsi="Figtree"/>
          <w:b w:val="0"/>
          <w:i w:val="0"/>
          <w:sz w:val="22"/>
        </w:rPr>
        <w:t>30% upon Phase 2 completion (Environment readiness)</w:t>
      </w:r>
    </w:p>
    <w:p>
      <w:pPr>
        <w:pStyle w:val="ListParagraph"/>
        <w:numPr>
          <w:ilvl w:val="0"/>
          <w:numId w:val="4"/>
        </w:numPr>
      </w:pPr>
      <w:r>
        <w:rPr>
          <w:rFonts w:ascii="Figtree" w:hAnsi="Figtree"/>
          <w:b w:val="0"/>
          <w:i w:val="0"/>
          <w:sz w:val="22"/>
        </w:rPr>
        <w:t>30% upon Phase 4 completion (UAT sign-off)</w:t>
      </w:r>
    </w:p>
    <w:p>
      <w:pPr>
        <w:pStyle w:val="ListParagraph"/>
        <w:numPr>
          <w:ilvl w:val="0"/>
          <w:numId w:val="4"/>
        </w:numPr>
      </w:pPr>
      <w:r>
        <w:rPr>
          <w:rFonts w:ascii="Figtree" w:hAnsi="Figtree"/>
          <w:b w:val="0"/>
          <w:i w:val="0"/>
          <w:sz w:val="22"/>
        </w:rPr>
        <w:t>20% upon Phase 5 completion (Go-live confirmation)</w:t>
      </w:r>
    </w:p>
    <w:p>
      <w:r>
        <w:rPr>
          <w:rFonts w:ascii="Figtree" w:hAnsi="Figtree"/>
          <w:b/>
          <w:i w:val="0"/>
          <w:sz w:val="22"/>
        </w:rPr>
        <w:t>Environment Fees:</w:t>
      </w:r>
      <w:r>
        <w:rPr>
          <w:rFonts w:ascii="Figtree" w:hAnsi="Figtree"/>
          <w:b w:val="0"/>
          <w:i w:val="0"/>
          <w:sz w:val="22"/>
        </w:rPr>
        <w:t xml:space="preserve"> Monthly in arrears, starting from environment provisioning.</w:t>
      </w:r>
    </w:p>
    <w:p>
      <w:r>
        <w:rPr>
          <w:rFonts w:ascii="Figtree" w:hAnsi="Figtree"/>
          <w:b/>
          <w:i w:val="0"/>
          <w:sz w:val="22"/>
        </w:rPr>
        <w:t>Support Services:</w:t>
      </w:r>
      <w:r>
        <w:rPr>
          <w:rFonts w:ascii="Figtree" w:hAnsi="Figtree"/>
          <w:b w:val="0"/>
          <w:i w:val="0"/>
          <w:sz w:val="22"/>
        </w:rPr>
        <w:t xml:space="preserve"> Monthly in arrears, starting from go-live.</w:t>
      </w:r>
    </w:p>
    <w:p>
      <w:r>
        <w:rPr>
          <w:rFonts w:ascii="Figtree" w:hAnsi="Figtree"/>
          <w:b/>
          <w:i w:val="0"/>
          <w:sz w:val="22"/>
        </w:rPr>
        <w:t>Platform License:</w:t>
      </w:r>
      <w:r>
        <w:rPr>
          <w:rFonts w:ascii="Figtree" w:hAnsi="Figtree"/>
          <w:b w:val="0"/>
          <w:i w:val="0"/>
          <w:sz w:val="22"/>
        </w:rPr>
        <w:t xml:space="preserve"> Annual in advance, with first payment due upon contract signature.</w:t>
      </w:r>
    </w:p>
    <w:p>
      <w:pPr>
        <w:pStyle w:val="H2"/>
        <w:numPr>
          <w:ilvl w:val="1"/>
          <w:numId w:val="1"/>
        </w:numPr>
      </w:pPr>
      <w:r>
        <w:t>4.3 Assumptions</w:t>
      </w:r>
    </w:p>
    <w:p>
      <w:r>
        <w:rPr>
          <w:rFonts w:ascii="Figtree" w:hAnsi="Figtree"/>
          <w:b w:val="0"/>
          <w:i w:val="0"/>
          <w:sz w:val="22"/>
        </w:rPr>
        <w:t>The investment summary is based on the following assumptions:</w:t>
      </w:r>
    </w:p>
    <w:p>
      <w:pPr>
        <w:pStyle w:val="ListParagraph"/>
        <w:numPr>
          <w:ilvl w:val="0"/>
          <w:numId w:val="4"/>
        </w:numPr>
      </w:pPr>
      <w:r>
        <w:rPr>
          <w:rFonts w:ascii="Figtree" w:hAnsi="Figtree"/>
          <w:b w:val="0"/>
          <w:i w:val="0"/>
          <w:sz w:val="22"/>
        </w:rPr>
        <w:t>Single deployment region (Kingdom of Saudi Arabia)</w:t>
      </w:r>
    </w:p>
    <w:p>
      <w:pPr>
        <w:pStyle w:val="ListParagraph"/>
        <w:numPr>
          <w:ilvl w:val="0"/>
          <w:numId w:val="4"/>
        </w:numPr>
      </w:pPr>
      <w:r>
        <w:rPr>
          <w:rFonts w:ascii="Figtree" w:hAnsi="Figtree"/>
          <w:b w:val="0"/>
          <w:i w:val="0"/>
          <w:sz w:val="22"/>
        </w:rPr>
        <w:t>Up to 3 asset classes in initial scope</w:t>
      </w:r>
    </w:p>
    <w:p>
      <w:pPr>
        <w:pStyle w:val="ListParagraph"/>
        <w:numPr>
          <w:ilvl w:val="0"/>
          <w:numId w:val="4"/>
        </w:numPr>
      </w:pPr>
      <w:r>
        <w:rPr>
          <w:rFonts w:ascii="Figtree" w:hAnsi="Figtree"/>
          <w:b w:val="0"/>
          <w:i w:val="0"/>
          <w:sz w:val="22"/>
        </w:rPr>
        <w:t>Up to 5 external integrations</w:t>
      </w:r>
    </w:p>
    <w:p>
      <w:pPr>
        <w:pStyle w:val="ListParagraph"/>
        <w:numPr>
          <w:ilvl w:val="0"/>
          <w:numId w:val="4"/>
        </w:numPr>
      </w:pPr>
      <w:r>
        <w:rPr>
          <w:rFonts w:ascii="Figtree" w:hAnsi="Figtree"/>
          <w:b w:val="0"/>
          <w:i w:val="0"/>
          <w:sz w:val="22"/>
        </w:rPr>
        <w:t>Standard compliance configuration (pre-built templates)</w:t>
      </w:r>
    </w:p>
    <w:p>
      <w:pPr>
        <w:pStyle w:val="ListParagraph"/>
        <w:numPr>
          <w:ilvl w:val="0"/>
          <w:numId w:val="4"/>
        </w:numPr>
      </w:pPr>
      <w:r>
        <w:rPr>
          <w:rFonts w:ascii="Figtree" w:hAnsi="Figtree"/>
          <w:b w:val="0"/>
          <w:i w:val="0"/>
          <w:sz w:val="22"/>
        </w:rPr>
        <w:t>Enterprise support tier</w:t>
      </w:r>
    </w:p>
    <w:p>
      <w:pPr>
        <w:pStyle w:val="ListParagraph"/>
        <w:numPr>
          <w:ilvl w:val="0"/>
          <w:numId w:val="4"/>
        </w:numPr>
      </w:pPr>
      <w:r>
        <w:rPr>
          <w:rFonts w:ascii="Figtree" w:hAnsi="Figtree"/>
          <w:b w:val="0"/>
          <w:i w:val="0"/>
          <w:sz w:val="22"/>
        </w:rPr>
        <w:t>Client team availability per the RACI matrix</w:t>
      </w:r>
    </w:p>
    <w:p>
      <w:r>
        <w:rPr>
          <w:rFonts w:ascii="Figtree" w:hAnsi="Figtree"/>
          <w:b w:val="0"/>
          <w:i w:val="0"/>
          <w:sz w:val="22"/>
        </w:rPr>
        <w:t>Additional asset classes, jurisdictions, integrations, or multi-region deployment would result in adjusted pricing.</w:t>
      </w:r>
    </w:p>
    <w:p>
      <w:r>
        <w:br w:type="page"/>
      </w:r>
    </w:p>
    <w:p>
      <w:pPr>
        <w:pStyle w:val="H1"/>
        <w:numPr>
          <w:ilvl w:val="0"/>
          <w:numId w:val="1"/>
        </w:numPr>
      </w:pPr>
      <w:r>
        <w:t>5. Implementation Investment</w:t>
      </w:r>
    </w:p>
    <w:p>
      <w:pPr>
        <w:pStyle w:val="H2"/>
        <w:numPr>
          <w:ilvl w:val="1"/>
          <w:numId w:val="1"/>
        </w:numPr>
      </w:pPr>
      <w:r>
        <w:t>5.1 Phase-Based Investment</w:t>
      </w:r>
    </w:p>
    <w:p>
      <w:r>
        <w:rPr>
          <w:rFonts w:ascii="Figtree" w:hAnsi="Figtree"/>
          <w:b w:val="0"/>
          <w:i w:val="0"/>
          <w:sz w:val="22"/>
        </w:rPr>
        <w:t>Implementation investment is structured across the five delivery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4"/>
        <w:gridCol w:w="723"/>
        <w:gridCol w:w="3787"/>
        <w:gridCol w:w="137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 Basis</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document, architecture, roadmap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Provisioned environments, network setup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Configured platform, compliance setup</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Integrated system, test reports, UAT</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knowledge transfer</w:t>
            </w:r>
          </w:p>
        </w:tc>
        <w:tc>
          <w:tcPr>
            <w:tcW w:type="dxa" w:w="2436"/>
            <w:vAlign w:val="center"/>
          </w:tcPr>
          <w:p>
            <w:pPr>
              <w:spacing w:line="276" w:lineRule="auto" w:before="0" w:after="0"/>
            </w:pPr>
            <w:r/>
            <w:r>
              <w:rPr>
                <w:rFonts w:ascii="Figtree" w:hAnsi="Figtree"/>
                <w:b w:val="0"/>
                <w:i w:val="0"/>
                <w:sz w:val="20"/>
              </w:rPr>
              <w:t>Fixed fee</w:t>
            </w:r>
          </w:p>
        </w:tc>
      </w:tr>
    </w:tbl>
    <w:p>
      <w:pPr>
        <w:spacing w:before="0" w:after="0" w:line="120" w:lineRule="exact"/>
      </w:pPr>
    </w:p>
    <w:p>
      <w:pPr>
        <w:pStyle w:val="H2"/>
        <w:numPr>
          <w:ilvl w:val="1"/>
          <w:numId w:val="1"/>
        </w:numPr>
      </w:pPr>
      <w:r>
        <w:t>5.2 Client Investment Contribution</w:t>
      </w:r>
    </w:p>
    <w:p>
      <w:r>
        <w:rPr>
          <w:rFonts w:ascii="Figtree" w:hAnsi="Figtree"/>
          <w:b w:val="0"/>
          <w:i w:val="0"/>
          <w:sz w:val="22"/>
        </w:rPr>
        <w:t>Successful implementation requires active participation from the Central Bank's team. The following client-side investments are assumed:</w:t>
      </w:r>
    </w:p>
    <w:p>
      <w:r>
        <w:rPr>
          <w:rFonts w:ascii="Figtree" w:hAnsi="Figtree"/>
          <w:b/>
          <w:i w:val="0"/>
          <w:sz w:val="22"/>
        </w:rPr>
        <w:t>Personnel:</w:t>
      </w:r>
      <w:r>
        <w:rPr>
          <w:rFonts w:ascii="Figtree" w:hAnsi="Figtree"/>
          <w:b w:val="0"/>
          <w:i w:val="0"/>
          <w:sz w:val="22"/>
        </w:rPr>
        <w:t xml:space="preserve"> Project Manager, Technical Lead, DevOps/Infrastructure, Compliance/Risk resources available per the RACI matrix.</w:t>
      </w:r>
    </w:p>
    <w:p>
      <w:r>
        <w:rPr>
          <w:rFonts w:ascii="Figtree" w:hAnsi="Figtree"/>
          <w:b/>
          <w:i w:val="0"/>
          <w:sz w:val="22"/>
        </w:rPr>
        <w:t>Infrastructure:</w:t>
      </w:r>
      <w:r>
        <w:rPr>
          <w:rFonts w:ascii="Figtree" w:hAnsi="Figtree"/>
          <w:b w:val="0"/>
          <w:i w:val="0"/>
          <w:sz w:val="22"/>
        </w:rPr>
        <w:t xml:space="preserve"> Cloud account access, Kubernetes clusters, database instances, networking, DNS, TLS certificates. SettleMint will provide specific requirements during Phase 1.</w:t>
      </w:r>
    </w:p>
    <w:p>
      <w:r>
        <w:rPr>
          <w:rFonts w:ascii="Figtree" w:hAnsi="Figtree"/>
          <w:b/>
          <w:i w:val="0"/>
          <w:sz w:val="22"/>
        </w:rPr>
        <w:t>Integration:</w:t>
      </w:r>
      <w:r>
        <w:rPr>
          <w:rFonts w:ascii="Figtree" w:hAnsi="Figtree"/>
          <w:b w:val="0"/>
          <w:i w:val="0"/>
          <w:sz w:val="22"/>
        </w:rPr>
        <w:t xml:space="preserve"> API access, credentials, and test environments for core banking, custody, AML, and reporting systems.</w:t>
      </w:r>
    </w:p>
    <w:p>
      <w:r>
        <w:rPr>
          <w:rFonts w:ascii="Figtree" w:hAnsi="Figtree"/>
          <w:b/>
          <w:i w:val="0"/>
          <w:sz w:val="22"/>
        </w:rPr>
        <w:t>Decision-Making:</w:t>
      </w:r>
      <w:r>
        <w:rPr>
          <w:rFonts w:ascii="Figtree" w:hAnsi="Figtree"/>
          <w:b w:val="0"/>
          <w:i w:val="0"/>
          <w:sz w:val="22"/>
        </w:rPr>
        <w:t xml:space="preserve"> Timely responses to clarification requests, sign-off on configuration decisions, participation in gate reviews.</w:t>
      </w:r>
    </w:p>
    <w:p>
      <w:r>
        <w:rPr>
          <w:rFonts w:ascii="Figtree" w:hAnsi="Figtree"/>
          <w:b w:val="0"/>
          <w:i w:val="0"/>
          <w:sz w:val="22"/>
        </w:rPr>
        <w:t>SettleMint will provide detailed responsibility definitions during the programme kick-off.</w:t>
      </w:r>
    </w:p>
    <w:p>
      <w:pPr>
        <w:pStyle w:val="H2"/>
        <w:numPr>
          <w:ilvl w:val="1"/>
          <w:numId w:val="1"/>
        </w:numPr>
      </w:pPr>
      <w:r>
        <w:t>5.3 Investment Protection</w:t>
      </w:r>
    </w:p>
    <w:p>
      <w:r>
        <w:rPr>
          <w:rFonts w:ascii="Figtree" w:hAnsi="Figtree"/>
          <w:b w:val="0"/>
          <w:i w:val="0"/>
          <w:sz w:val="22"/>
        </w:rPr>
        <w:t>SettleMint provides the following protections for the Central Bank's implementation investment:</w:t>
      </w:r>
    </w:p>
    <w:p>
      <w:r>
        <w:rPr>
          <w:rFonts w:ascii="Figtree" w:hAnsi="Figtree"/>
          <w:b/>
          <w:i w:val="0"/>
          <w:sz w:val="22"/>
        </w:rPr>
        <w:t>Deliverable Acceptance:</w:t>
      </w:r>
      <w:r>
        <w:rPr>
          <w:rFonts w:ascii="Figtree" w:hAnsi="Figtree"/>
          <w:b w:val="0"/>
          <w:i w:val="0"/>
          <w:sz w:val="22"/>
        </w:rPr>
        <w:t xml:space="preserve"> Each phase concludes with formal acceptance criteria and gate review. Payment is triggered by acceptance, not by time elapsed.</w:t>
      </w:r>
    </w:p>
    <w:p>
      <w:r>
        <w:rPr>
          <w:rFonts w:ascii="Figtree" w:hAnsi="Figtree"/>
          <w:b/>
          <w:i w:val="0"/>
          <w:sz w:val="22"/>
        </w:rPr>
        <w:t>Knowledge Transfer:</w:t>
      </w:r>
      <w:r>
        <w:rPr>
          <w:rFonts w:ascii="Figtree" w:hAnsi="Figtree"/>
          <w:b w:val="0"/>
          <w:i w:val="0"/>
          <w:sz w:val="22"/>
        </w:rPr>
        <w:t xml:space="preserve"> The implementation methodology includes explicit knowledge transfer during Phase 5 (Hypercare). By programme conclusion, the Central Bank's team will have operational capability to manage the platform independently.</w:t>
      </w:r>
    </w:p>
    <w:p>
      <w:r>
        <w:rPr>
          <w:rFonts w:ascii="Figtree" w:hAnsi="Figtree"/>
          <w:b/>
          <w:i w:val="0"/>
          <w:sz w:val="22"/>
        </w:rPr>
        <w:t>Documentation:</w:t>
      </w:r>
      <w:r>
        <w:rPr>
          <w:rFonts w:ascii="Figtree" w:hAnsi="Figtree"/>
          <w:b w:val="0"/>
          <w:i w:val="0"/>
          <w:sz w:val="22"/>
        </w:rPr>
        <w:t xml:space="preserve"> All implementation artefacts (configuration documentation, integration specifications, operational procedures, runbooks) are delivered as part of the implementation investment.</w:t>
      </w:r>
    </w:p>
    <w:p>
      <w:r>
        <w:br w:type="page"/>
      </w:r>
    </w:p>
    <w:p>
      <w:pPr>
        <w:pStyle w:val="H1"/>
        <w:numPr>
          <w:ilvl w:val="0"/>
          <w:numId w:val="1"/>
        </w:numPr>
      </w:pPr>
      <w:r>
        <w:t>6. Ongoing Operational Costs</w:t>
      </w:r>
    </w:p>
    <w:p>
      <w:pPr>
        <w:pStyle w:val="H2"/>
        <w:numPr>
          <w:ilvl w:val="1"/>
          <w:numId w:val="1"/>
        </w:numPr>
      </w:pPr>
      <w:r>
        <w:t>6.1 Environment Fees</w:t>
      </w:r>
    </w:p>
    <w:p>
      <w:r>
        <w:rPr>
          <w:rFonts w:ascii="Figtree" w:hAnsi="Figtree"/>
          <w:b w:val="0"/>
          <w:i w:val="0"/>
          <w:sz w:val="22"/>
        </w:rPr>
        <w:t>Environment fees cover the infrastructure required to operate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70"/>
        <w:gridCol w:w="5957"/>
        <w:gridCol w:w="2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Components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Monthly Range</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Kubernetes cluster, PostgreSQL, Redis, storage</w:t>
            </w:r>
          </w:p>
        </w:tc>
        <w:tc>
          <w:tcPr>
            <w:tcW w:type="dxa" w:w="3249"/>
            <w:vAlign w:val="center"/>
          </w:tcPr>
          <w:p>
            <w:pPr>
              <w:spacing w:line="276" w:lineRule="auto" w:before="0" w:after="0"/>
            </w:pPr>
            <w:r/>
            <w:r>
              <w:rPr>
                <w:rFonts w:ascii="Figtree" w:hAnsi="Figtree"/>
                <w:b w:val="0"/>
                <w:i w:val="0"/>
                <w:sz w:val="20"/>
              </w:rPr>
              <w:t>USD 8,000-12,000</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Kubernetes cluster, PostgreSQL, Redis, storage</w:t>
            </w:r>
          </w:p>
        </w:tc>
        <w:tc>
          <w:tcPr>
            <w:tcW w:type="dxa" w:w="3249"/>
            <w:vAlign w:val="center"/>
          </w:tcPr>
          <w:p>
            <w:pPr>
              <w:spacing w:line="276" w:lineRule="auto" w:before="0" w:after="0"/>
            </w:pPr>
            <w:r/>
            <w:r>
              <w:rPr>
                <w:rFonts w:ascii="Figtree" w:hAnsi="Figtree"/>
                <w:b w:val="0"/>
                <w:i w:val="0"/>
                <w:sz w:val="20"/>
              </w:rPr>
              <w:t>USD 12,000-18,000</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Kubernetes cluster (HA), PostgreSQL (HA), Redis, storage, Besu network</w:t>
            </w:r>
          </w:p>
        </w:tc>
        <w:tc>
          <w:tcPr>
            <w:tcW w:type="dxa" w:w="3249"/>
            <w:vAlign w:val="center"/>
          </w:tcPr>
          <w:p>
            <w:pPr>
              <w:spacing w:line="276" w:lineRule="auto" w:before="0" w:after="0"/>
            </w:pPr>
            <w:r/>
            <w:r>
              <w:rPr>
                <w:rFonts w:ascii="Figtree" w:hAnsi="Figtree"/>
                <w:b w:val="0"/>
                <w:i w:val="0"/>
                <w:sz w:val="20"/>
              </w:rPr>
              <w:t>USD 25,000-40,000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USD 45,000-70,000</w:t>
            </w:r>
          </w:p>
        </w:tc>
      </w:tr>
    </w:tbl>
    <w:p>
      <w:pPr>
        <w:spacing w:before="0" w:after="0" w:line="120" w:lineRule="exact"/>
      </w:pPr>
    </w:p>
    <w:p>
      <w:r>
        <w:rPr>
          <w:rFonts w:ascii="Figtree" w:hAnsi="Figtree"/>
          <w:b w:val="0"/>
          <w:i w:val="0"/>
          <w:sz w:val="22"/>
        </w:rPr>
        <w:t>Exact fees depend on the selected cloud provider, instance sizes, storage volumes, and network configuration. The figures above are indicative ranges for a production-grade deployment with high availability.</w:t>
      </w:r>
    </w:p>
    <w:p>
      <w:pPr>
        <w:pStyle w:val="H2"/>
        <w:numPr>
          <w:ilvl w:val="1"/>
          <w:numId w:val="1"/>
        </w:numPr>
      </w:pPr>
      <w:r>
        <w:t>6.2 Support Fees</w:t>
      </w:r>
    </w:p>
    <w:p>
      <w:r>
        <w:rPr>
          <w:rFonts w:ascii="Figtree" w:hAnsi="Figtree"/>
          <w:b w:val="0"/>
          <w:i w:val="0"/>
          <w:sz w:val="22"/>
        </w:rPr>
        <w:t>Support fees depend on the selected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Range</w:t>
            </w:r>
          </w:p>
        </w:tc>
      </w:tr>
      <w:tr>
        <w:trPr>
          <w:trHeight w:val="425" w:hRule="atLeast"/>
        </w:trPr>
        <w:tc>
          <w:tcPr>
            <w:tcW w:type="dxa" w:w="4873"/>
            <w:vAlign w:val="center"/>
          </w:tcPr>
          <w:p>
            <w:pPr>
              <w:spacing w:line="276" w:lineRule="auto" w:before="0" w:after="0"/>
            </w:pPr>
            <w:r/>
            <w:r>
              <w:rPr>
                <w:rFonts w:ascii="Figtree" w:hAnsi="Figtree"/>
                <w:b w:val="0"/>
                <w:i w:val="0"/>
                <w:sz w:val="20"/>
              </w:rPr>
              <w:t>Standard (8x5)</w:t>
            </w:r>
          </w:p>
        </w:tc>
        <w:tc>
          <w:tcPr>
            <w:tcW w:type="dxa" w:w="4873"/>
            <w:vAlign w:val="center"/>
          </w:tcPr>
          <w:p>
            <w:pPr>
              <w:spacing w:line="276" w:lineRule="auto" w:before="0" w:after="0"/>
            </w:pPr>
            <w:r/>
            <w:r>
              <w:rPr>
                <w:rFonts w:ascii="Figtree" w:hAnsi="Figtree"/>
                <w:b w:val="0"/>
                <w:i w:val="0"/>
                <w:sz w:val="20"/>
              </w:rPr>
              <w:t>USD 8,000-12,000</w:t>
            </w:r>
          </w:p>
        </w:tc>
      </w:tr>
      <w:tr>
        <w:trPr>
          <w:trHeight w:val="425" w:hRule="atLeast"/>
        </w:trPr>
        <w:tc>
          <w:tcPr>
            <w:tcW w:type="dxa" w:w="4873"/>
            <w:vAlign w:val="center"/>
          </w:tcPr>
          <w:p>
            <w:pPr>
              <w:spacing w:line="276" w:lineRule="auto" w:before="0" w:after="0"/>
            </w:pPr>
            <w:r/>
            <w:r>
              <w:rPr>
                <w:rFonts w:ascii="Figtree" w:hAnsi="Figtree"/>
                <w:b w:val="0"/>
                <w:i w:val="0"/>
                <w:sz w:val="20"/>
              </w:rPr>
              <w:t>Premium (12x7)</w:t>
            </w:r>
          </w:p>
        </w:tc>
        <w:tc>
          <w:tcPr>
            <w:tcW w:type="dxa" w:w="4873"/>
            <w:vAlign w:val="center"/>
          </w:tcPr>
          <w:p>
            <w:pPr>
              <w:spacing w:line="276" w:lineRule="auto" w:before="0" w:after="0"/>
            </w:pPr>
            <w:r/>
            <w:r>
              <w:rPr>
                <w:rFonts w:ascii="Figtree" w:hAnsi="Figtree"/>
                <w:b w:val="0"/>
                <w:i w:val="0"/>
                <w:sz w:val="20"/>
              </w:rPr>
              <w:t>USD 15,000-22,000</w:t>
            </w:r>
          </w:p>
        </w:tc>
      </w:tr>
      <w:tr>
        <w:trPr>
          <w:trHeight w:val="425" w:hRule="atLeast"/>
        </w:trPr>
        <w:tc>
          <w:tcPr>
            <w:tcW w:type="dxa" w:w="4873"/>
            <w:vAlign w:val="center"/>
          </w:tcPr>
          <w:p>
            <w:pPr>
              <w:spacing w:line="276" w:lineRule="auto" w:before="0" w:after="0"/>
            </w:pPr>
            <w:r/>
            <w:r>
              <w:rPr>
                <w:rFonts w:ascii="Figtree" w:hAnsi="Figtree"/>
                <w:b w:val="0"/>
                <w:i w:val="0"/>
                <w:sz w:val="20"/>
              </w:rPr>
              <w:t>Enterprise (24/7)</w:t>
            </w:r>
          </w:p>
        </w:tc>
        <w:tc>
          <w:tcPr>
            <w:tcW w:type="dxa" w:w="4873"/>
            <w:vAlign w:val="center"/>
          </w:tcPr>
          <w:p>
            <w:pPr>
              <w:spacing w:line="276" w:lineRule="auto" w:before="0" w:after="0"/>
            </w:pPr>
            <w:r/>
            <w:r>
              <w:rPr>
                <w:rFonts w:ascii="Figtree" w:hAnsi="Figtree"/>
                <w:b w:val="0"/>
                <w:i w:val="0"/>
                <w:sz w:val="20"/>
              </w:rPr>
              <w:t>USD 25,000-35,000</w:t>
            </w:r>
          </w:p>
        </w:tc>
      </w:tr>
    </w:tbl>
    <w:p>
      <w:pPr>
        <w:spacing w:before="0" w:after="0" w:line="120" w:lineRule="exact"/>
      </w:pPr>
    </w:p>
    <w:p>
      <w:r>
        <w:rPr>
          <w:rFonts w:ascii="Figtree" w:hAnsi="Figtree"/>
          <w:b w:val="0"/>
          <w:i w:val="0"/>
          <w:sz w:val="22"/>
        </w:rPr>
        <w:t>The Enterprise tier is recommended for regulatory infrastructure requiring 24/7 availability and immediate escalation capability.</w:t>
      </w:r>
    </w:p>
    <w:p>
      <w:pPr>
        <w:pStyle w:val="H2"/>
        <w:numPr>
          <w:ilvl w:val="1"/>
          <w:numId w:val="1"/>
        </w:numPr>
      </w:pPr>
      <w:r>
        <w:t>6.3 Cost Optimization</w:t>
      </w:r>
    </w:p>
    <w:p>
      <w:r>
        <w:rPr>
          <w:rFonts w:ascii="Figtree" w:hAnsi="Figtree"/>
          <w:b w:val="0"/>
          <w:i w:val="0"/>
          <w:sz w:val="22"/>
        </w:rPr>
        <w:t>SettleMint provides the following cost optimisation opportunities:</w:t>
      </w:r>
    </w:p>
    <w:p>
      <w:r>
        <w:rPr>
          <w:rFonts w:ascii="Figtree" w:hAnsi="Figtree"/>
          <w:b/>
          <w:i w:val="0"/>
          <w:sz w:val="22"/>
        </w:rPr>
        <w:t>Environment Rightsizing:</w:t>
      </w:r>
      <w:r>
        <w:rPr>
          <w:rFonts w:ascii="Figtree" w:hAnsi="Figtree"/>
          <w:b w:val="0"/>
          <w:i w:val="0"/>
          <w:sz w:val="22"/>
        </w:rPr>
        <w:t xml:space="preserve"> Quarterly review of resource utilisation with recommendations for cost optimisation. Development environments can be scaled down when not in active use.</w:t>
      </w:r>
    </w:p>
    <w:p>
      <w:r>
        <w:rPr>
          <w:rFonts w:ascii="Figtree" w:hAnsi="Figtree"/>
          <w:b/>
          <w:i w:val="0"/>
          <w:sz w:val="22"/>
        </w:rPr>
        <w:t>Reserved Capacity:</w:t>
      </w:r>
      <w:r>
        <w:rPr>
          <w:rFonts w:ascii="Figtree" w:hAnsi="Figtree"/>
          <w:b w:val="0"/>
          <w:i w:val="0"/>
          <w:sz w:val="22"/>
        </w:rPr>
        <w:t xml:space="preserve"> Annual commitment for production environment can reduce monthly fees by 15-20%.</w:t>
      </w:r>
    </w:p>
    <w:p>
      <w:r>
        <w:rPr>
          <w:rFonts w:ascii="Figtree" w:hAnsi="Figtree"/>
          <w:b/>
          <w:i w:val="0"/>
          <w:sz w:val="22"/>
        </w:rPr>
        <w:t>Growth Model:</w:t>
      </w:r>
      <w:r>
        <w:rPr>
          <w:rFonts w:ascii="Figtree" w:hAnsi="Figtree"/>
          <w:b w:val="0"/>
          <w:i w:val="0"/>
          <w:sz w:val="22"/>
        </w:rPr>
        <w:t xml:space="preserve"> Additional asset classes, jurisdictions, or integrations can be added post-go-live at standard rates, avoiding the incremental cost of including them in initial scope.</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SettleMint proposes a single master agreement covering platform license, implementation services, and support services. The contract structure provides:</w:t>
      </w:r>
    </w:p>
    <w:p>
      <w:r>
        <w:rPr>
          <w:rFonts w:ascii="Figtree" w:hAnsi="Figtree"/>
          <w:b/>
          <w:i w:val="0"/>
          <w:sz w:val="22"/>
        </w:rPr>
        <w:t>Single Accountability:</w:t>
      </w:r>
      <w:r>
        <w:rPr>
          <w:rFonts w:ascii="Figtree" w:hAnsi="Figtree"/>
          <w:b w:val="0"/>
          <w:i w:val="0"/>
          <w:sz w:val="22"/>
        </w:rPr>
        <w:t xml:space="preserve"> One agreement, one point of contact, one governance framework for the entire programme.</w:t>
      </w:r>
    </w:p>
    <w:p>
      <w:r>
        <w:rPr>
          <w:rFonts w:ascii="Figtree" w:hAnsi="Figtree"/>
          <w:b/>
          <w:i w:val="0"/>
          <w:sz w:val="22"/>
        </w:rPr>
        <w:t>Phased Commitment:</w:t>
      </w:r>
      <w:r>
        <w:rPr>
          <w:rFonts w:ascii="Figtree" w:hAnsi="Figtree"/>
          <w:b w:val="0"/>
          <w:i w:val="0"/>
          <w:sz w:val="22"/>
        </w:rPr>
        <w:t xml:space="preserve"> Implementation is committed phase-by-phase. The Central Bank can evaluate progress before committing to subsequent phases.</w:t>
      </w:r>
    </w:p>
    <w:p>
      <w:r>
        <w:rPr>
          <w:rFonts w:ascii="Figtree" w:hAnsi="Figtree"/>
          <w:b/>
          <w:i w:val="0"/>
          <w:sz w:val="22"/>
        </w:rPr>
        <w:t>Flexibility:</w:t>
      </w:r>
      <w:r>
        <w:rPr>
          <w:rFonts w:ascii="Figtree" w:hAnsi="Figtree"/>
          <w:b w:val="0"/>
          <w:i w:val="0"/>
          <w:sz w:val="22"/>
        </w:rPr>
        <w:t xml:space="preserve"> Change control provisions allow scope adjustment with clear impact assessment and approval process.</w:t>
      </w:r>
    </w:p>
    <w:p>
      <w:pPr>
        <w:pStyle w:val="H2"/>
        <w:numPr>
          <w:ilvl w:val="1"/>
          <w:numId w:val="1"/>
        </w:numPr>
      </w:pPr>
      <w:r>
        <w:t>7.2 Contract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0"/>
        <w:gridCol w:w="714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Proposal</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3 years for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Annual renewal thereafter at prevailing rates</w:t>
            </w:r>
          </w:p>
        </w:tc>
      </w:tr>
      <w:tr>
        <w:trPr>
          <w:trHeight w:val="425" w:hRule="atLeast"/>
        </w:trPr>
        <w:tc>
          <w:tcPr>
            <w:tcW w:type="dxa" w:w="4873"/>
            <w:vAlign w:val="center"/>
          </w:tcPr>
          <w:p>
            <w:pPr>
              <w:spacing w:line="276" w:lineRule="auto" w:before="0" w:after="0"/>
            </w:pPr>
            <w:r/>
            <w:r>
              <w:rPr>
                <w:rFonts w:ascii="Figtree" w:hAnsi="Figtree"/>
                <w:b w:val="0"/>
                <w:i w:val="0"/>
                <w:sz w:val="20"/>
              </w:rPr>
              <w:t>Termination</w:t>
            </w:r>
          </w:p>
        </w:tc>
        <w:tc>
          <w:tcPr>
            <w:tcW w:type="dxa" w:w="4873"/>
            <w:vAlign w:val="center"/>
          </w:tcPr>
          <w:p>
            <w:pPr>
              <w:spacing w:line="276" w:lineRule="auto" w:before="0" w:after="0"/>
            </w:pPr>
            <w:r/>
            <w:r>
              <w:rPr>
                <w:rFonts w:ascii="Figtree" w:hAnsi="Figtree"/>
                <w:b w:val="0"/>
                <w:i w:val="0"/>
                <w:sz w:val="20"/>
              </w:rPr>
              <w:t>90 days notice for convenience; cause-based termination rights</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90-day transition assistance included</w:t>
            </w:r>
          </w:p>
        </w:tc>
      </w:tr>
      <w:tr>
        <w:trPr>
          <w:trHeight w:val="425" w:hRule="atLeast"/>
        </w:trPr>
        <w:tc>
          <w:tcPr>
            <w:tcW w:type="dxa" w:w="4873"/>
            <w:vAlign w:val="center"/>
          </w:tcPr>
          <w:p>
            <w:pPr>
              <w:spacing w:line="276" w:lineRule="auto" w:before="0" w:after="0"/>
            </w:pPr>
            <w:r/>
            <w:r>
              <w:rPr>
                <w:rFonts w:ascii="Figtree" w:hAnsi="Figtree"/>
                <w:b w:val="0"/>
                <w:i w:val="0"/>
                <w:sz w:val="20"/>
              </w:rPr>
              <w:t>Data Export</w:t>
            </w:r>
          </w:p>
        </w:tc>
        <w:tc>
          <w:tcPr>
            <w:tcW w:type="dxa" w:w="4873"/>
            <w:vAlign w:val="center"/>
          </w:tcPr>
          <w:p>
            <w:pPr>
              <w:spacing w:line="276" w:lineRule="auto" w:before="0" w:after="0"/>
            </w:pPr>
            <w:r/>
            <w:r>
              <w:rPr>
                <w:rFonts w:ascii="Figtree" w:hAnsi="Figtree"/>
                <w:b w:val="0"/>
                <w:i w:val="0"/>
                <w:sz w:val="20"/>
              </w:rPr>
              <w:t>Full data export in standard formats upon termination</w:t>
            </w:r>
          </w:p>
        </w:tc>
      </w:tr>
    </w:tbl>
    <w:p>
      <w:pPr>
        <w:spacing w:before="0" w:after="0" w:line="120" w:lineRule="exact"/>
      </w:pPr>
    </w:p>
    <w:p>
      <w:pPr>
        <w:pStyle w:val="H2"/>
        <w:numPr>
          <w:ilvl w:val="1"/>
          <w:numId w:val="1"/>
        </w:numPr>
      </w:pPr>
      <w:r>
        <w:t>7.3 Service Level Agreement</w:t>
      </w:r>
    </w:p>
    <w:p>
      <w:r>
        <w:rPr>
          <w:rFonts w:ascii="Figtree" w:hAnsi="Figtree"/>
          <w:b w:val="0"/>
          <w:i w:val="0"/>
          <w:sz w:val="22"/>
        </w:rPr>
        <w:t>The Enterprise support tier includes the following service level commitments:</w:t>
      </w:r>
    </w:p>
    <w:p>
      <w:r>
        <w:rPr>
          <w:rFonts w:ascii="Figtree" w:hAnsi="Figtree"/>
          <w:b/>
          <w:i w:val="0"/>
          <w:sz w:val="22"/>
        </w:rPr>
        <w:t>Uptime:</w:t>
      </w:r>
      <w:r>
        <w:rPr>
          <w:rFonts w:ascii="Figtree" w:hAnsi="Figtree"/>
          <w:b w:val="0"/>
          <w:i w:val="0"/>
          <w:sz w:val="22"/>
        </w:rPr>
        <w:t xml:space="preserve"> 99.99% availability for production environment, excluding planned maintenance with 72-hour notice.</w:t>
      </w:r>
    </w:p>
    <w:p>
      <w:r>
        <w:rPr>
          <w:rFonts w:ascii="Figtree" w:hAnsi="Figtree"/>
          <w:b/>
          <w:i w:val="0"/>
          <w:sz w:val="22"/>
        </w:rPr>
        <w:t>Response Times:</w:t>
      </w:r>
    </w:p>
    <w:p>
      <w:pPr>
        <w:pStyle w:val="ListParagraph"/>
        <w:numPr>
          <w:ilvl w:val="0"/>
          <w:numId w:val="4"/>
        </w:numPr>
      </w:pPr>
      <w:r>
        <w:rPr>
          <w:rFonts w:ascii="Figtree" w:hAnsi="Figtree"/>
          <w:b w:val="0"/>
          <w:i w:val="0"/>
          <w:sz w:val="22"/>
        </w:rPr>
        <w:t>P1 (Critical): 15 minutes response, 2-hour resolution target</w:t>
      </w:r>
    </w:p>
    <w:p>
      <w:pPr>
        <w:pStyle w:val="ListParagraph"/>
        <w:numPr>
          <w:ilvl w:val="0"/>
          <w:numId w:val="4"/>
        </w:numPr>
      </w:pPr>
      <w:r>
        <w:rPr>
          <w:rFonts w:ascii="Figtree" w:hAnsi="Figtree"/>
          <w:b w:val="0"/>
          <w:i w:val="0"/>
          <w:sz w:val="22"/>
        </w:rPr>
        <w:t>P2 (High): 1 hour response, 4-hour resolution target</w:t>
      </w:r>
    </w:p>
    <w:p>
      <w:pPr>
        <w:pStyle w:val="ListParagraph"/>
        <w:numPr>
          <w:ilvl w:val="0"/>
          <w:numId w:val="4"/>
        </w:numPr>
      </w:pPr>
      <w:r>
        <w:rPr>
          <w:rFonts w:ascii="Figtree" w:hAnsi="Figtree"/>
          <w:b w:val="0"/>
          <w:i w:val="0"/>
          <w:sz w:val="22"/>
        </w:rPr>
        <w:t>P3 (Medium): 4 hours response, next business day resolution</w:t>
      </w:r>
    </w:p>
    <w:p>
      <w:pPr>
        <w:pStyle w:val="ListParagraph"/>
        <w:numPr>
          <w:ilvl w:val="0"/>
          <w:numId w:val="4"/>
        </w:numPr>
      </w:pPr>
      <w:r>
        <w:rPr>
          <w:rFonts w:ascii="Figtree" w:hAnsi="Figtree"/>
          <w:b w:val="0"/>
          <w:i w:val="0"/>
          <w:sz w:val="22"/>
        </w:rPr>
        <w:t>P4 (Low): Next business day response, 5-day resolution</w:t>
      </w:r>
    </w:p>
    <w:p>
      <w:r>
        <w:rPr>
          <w:rFonts w:ascii="Figtree" w:hAnsi="Figtree"/>
          <w:b/>
          <w:i w:val="0"/>
          <w:sz w:val="22"/>
        </w:rPr>
        <w:t>Resolution Credits:</w:t>
      </w:r>
      <w:r>
        <w:rPr>
          <w:rFonts w:ascii="Figtree" w:hAnsi="Figtree"/>
          <w:b w:val="0"/>
          <w:i w:val="0"/>
          <w:sz w:val="22"/>
        </w:rPr>
        <w:t xml:space="preserve"> Service credits for SLA failures above threshold, capped at monthly support fees.</w:t>
      </w:r>
    </w:p>
    <w:p>
      <w:pPr>
        <w:pStyle w:val="H2"/>
        <w:numPr>
          <w:ilvl w:val="1"/>
          <w:numId w:val="1"/>
        </w:numPr>
      </w:pPr>
      <w:r>
        <w:t>7.4 Liability and Indemnification</w:t>
      </w:r>
    </w:p>
    <w:p>
      <w:r>
        <w:rPr>
          <w:rFonts w:ascii="Figtree" w:hAnsi="Figtree"/>
          <w:b w:val="0"/>
          <w:i w:val="0"/>
          <w:sz w:val="22"/>
        </w:rPr>
        <w:t>SettleMint maintains appropriate insurance coverage including professional indemnity and cyber insurance. Standard contractual provisions include:</w:t>
      </w:r>
    </w:p>
    <w:p>
      <w:pPr>
        <w:pStyle w:val="ListParagraph"/>
        <w:numPr>
          <w:ilvl w:val="0"/>
          <w:numId w:val="4"/>
        </w:numPr>
      </w:pPr>
      <w:r>
        <w:rPr>
          <w:rFonts w:ascii="Figtree" w:hAnsi="Figtree"/>
          <w:b w:val="0"/>
          <w:i w:val="0"/>
          <w:sz w:val="22"/>
        </w:rPr>
        <w:t>Limitation of liability for direct damages up to contract value</w:t>
      </w:r>
    </w:p>
    <w:p>
      <w:pPr>
        <w:pStyle w:val="ListParagraph"/>
        <w:numPr>
          <w:ilvl w:val="0"/>
          <w:numId w:val="4"/>
        </w:numPr>
      </w:pPr>
      <w:r>
        <w:rPr>
          <w:rFonts w:ascii="Figtree" w:hAnsi="Figtree"/>
          <w:b w:val="0"/>
          <w:i w:val="0"/>
          <w:sz w:val="22"/>
        </w:rPr>
        <w:t>Exclusions for consequential damages</w:t>
      </w:r>
    </w:p>
    <w:p>
      <w:pPr>
        <w:pStyle w:val="ListParagraph"/>
        <w:numPr>
          <w:ilvl w:val="0"/>
          <w:numId w:val="4"/>
        </w:numPr>
      </w:pPr>
      <w:r>
        <w:rPr>
          <w:rFonts w:ascii="Figtree" w:hAnsi="Figtree"/>
          <w:b w:val="0"/>
          <w:i w:val="0"/>
          <w:sz w:val="22"/>
        </w:rPr>
        <w:t>Intellectual property indemnification</w:t>
      </w:r>
    </w:p>
    <w:p>
      <w:pPr>
        <w:pStyle w:val="ListParagraph"/>
        <w:numPr>
          <w:ilvl w:val="0"/>
          <w:numId w:val="4"/>
        </w:numPr>
      </w:pPr>
      <w:r>
        <w:rPr>
          <w:rFonts w:ascii="Figtree" w:hAnsi="Figtree"/>
          <w:b w:val="0"/>
          <w:i w:val="0"/>
          <w:sz w:val="22"/>
        </w:rPr>
        <w:t>Data protection provisions aligned with applicable regulations</w:t>
      </w:r>
    </w:p>
    <w:p>
      <w:r>
        <w:rPr>
          <w:rFonts w:ascii="Figtree" w:hAnsi="Figtree"/>
          <w:b w:val="0"/>
          <w:i w:val="0"/>
          <w:sz w:val="22"/>
        </w:rPr>
        <w:t>Detailed terms will be negotiated during contract finalisation.</w:t>
      </w:r>
    </w:p>
    <w:p>
      <w:r>
        <w:br w:type="page"/>
      </w:r>
    </w:p>
    <w:p>
      <w:pPr>
        <w:pStyle w:val="H1"/>
        <w:numPr>
          <w:ilvl w:val="0"/>
          <w:numId w:val="1"/>
        </w:numPr>
      </w:pPr>
      <w:r>
        <w:t>8. Value Analysis and ROI</w:t>
      </w:r>
    </w:p>
    <w:p>
      <w:pPr>
        <w:pStyle w:val="H2"/>
        <w:numPr>
          <w:ilvl w:val="1"/>
          <w:numId w:val="1"/>
        </w:numPr>
      </w:pPr>
      <w:r>
        <w:t>8.1 Cost-Benefit Framework</w:t>
      </w:r>
    </w:p>
    <w:p>
      <w:r>
        <w:rPr>
          <w:rFonts w:ascii="Figtree" w:hAnsi="Figtree"/>
          <w:b w:val="0"/>
          <w:i w:val="0"/>
          <w:sz w:val="22"/>
        </w:rPr>
        <w:t>The value analysis for the digital asset regulatory platform considers four benefit categories:</w:t>
      </w:r>
    </w:p>
    <w:p>
      <w:pPr>
        <w:pStyle w:val="H3"/>
        <w:numPr>
          <w:ilvl w:val="2"/>
          <w:numId w:val="1"/>
        </w:numPr>
      </w:pPr>
      <w:r>
        <w:t>Cost Avoidance</w:t>
      </w:r>
    </w:p>
    <w:p>
      <w:r>
        <w:rPr>
          <w:rFonts w:ascii="Figtree" w:hAnsi="Figtree"/>
          <w:b w:val="0"/>
          <w:i w:val="0"/>
          <w:sz w:val="22"/>
        </w:rPr>
        <w:t>DALP reduces implementation cost relative to alternative approaches: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5"/>
        <w:gridCol w:w="1476"/>
        <w:gridCol w:w="2426"/>
        <w:gridCol w:w="17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Alternative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Avoided Cost</w:t>
            </w:r>
          </w:p>
        </w:tc>
      </w:tr>
      <w:tr>
        <w:trPr>
          <w:trHeight w:val="425" w:hRule="atLeast"/>
        </w:trPr>
        <w:tc>
          <w:tcPr>
            <w:tcW w:type="dxa" w:w="2436"/>
            <w:vAlign w:val="center"/>
          </w:tcPr>
          <w:p>
            <w:pPr>
              <w:spacing w:line="276" w:lineRule="auto" w:before="0" w:after="0"/>
            </w:pPr>
            <w:r/>
            <w:r>
              <w:rPr>
                <w:rFonts w:ascii="Figtree" w:hAnsi="Figtree"/>
                <w:b w:val="0"/>
                <w:i w:val="0"/>
                <w:sz w:val="20"/>
              </w:rPr>
              <w:t>Bespoke development</w:t>
            </w:r>
          </w:p>
        </w:tc>
        <w:tc>
          <w:tcPr>
            <w:tcW w:type="dxa" w:w="2436"/>
            <w:vAlign w:val="center"/>
          </w:tcPr>
          <w:p>
            <w:pPr>
              <w:spacing w:line="276" w:lineRule="auto" w:before="0" w:after="0"/>
            </w:pPr>
            <w:r/>
            <w:r>
              <w:rPr>
                <w:rFonts w:ascii="Figtree" w:hAnsi="Figtree"/>
                <w:b w:val="0"/>
                <w:i w:val="0"/>
                <w:sz w:val="20"/>
              </w:rPr>
              <w:t>USD 10-15M</w:t>
            </w:r>
          </w:p>
        </w:tc>
        <w:tc>
          <w:tcPr>
            <w:tcW w:type="dxa" w:w="2436"/>
            <w:vAlign w:val="center"/>
          </w:tcPr>
          <w:p>
            <w:pPr>
              <w:spacing w:line="276" w:lineRule="auto" w:before="0" w:after="0"/>
            </w:pPr>
            <w:r/>
            <w:r>
              <w:rPr>
                <w:rFonts w:ascii="Figtree" w:hAnsi="Figtree"/>
                <w:b w:val="0"/>
                <w:i w:val="0"/>
                <w:sz w:val="20"/>
              </w:rPr>
              <w:t>Implementation services</w:t>
            </w:r>
          </w:p>
        </w:tc>
        <w:tc>
          <w:tcPr>
            <w:tcW w:type="dxa" w:w="2436"/>
            <w:vAlign w:val="center"/>
          </w:tcPr>
          <w:p>
            <w:pPr>
              <w:spacing w:line="276" w:lineRule="auto" w:before="0" w:after="0"/>
            </w:pPr>
            <w:r/>
            <w:r>
              <w:rPr>
                <w:rFonts w:ascii="Figtree" w:hAnsi="Figtree"/>
                <w:b w:val="0"/>
                <w:i w:val="0"/>
                <w:sz w:val="20"/>
              </w:rPr>
              <w:t>USD 8-12M</w:t>
            </w:r>
          </w:p>
        </w:tc>
      </w:tr>
      <w:tr>
        <w:trPr>
          <w:trHeight w:val="425" w:hRule="atLeast"/>
        </w:trPr>
        <w:tc>
          <w:tcPr>
            <w:tcW w:type="dxa" w:w="2436"/>
            <w:vAlign w:val="center"/>
          </w:tcPr>
          <w:p>
            <w:pPr>
              <w:spacing w:line="276" w:lineRule="auto" w:before="0" w:after="0"/>
            </w:pPr>
            <w:r/>
            <w:r>
              <w:rPr>
                <w:rFonts w:ascii="Figtree" w:hAnsi="Figtree"/>
                <w:b w:val="0"/>
                <w:i w:val="0"/>
                <w:sz w:val="20"/>
              </w:rPr>
              <w:t>Multi-vendor assembly</w:t>
            </w:r>
          </w:p>
        </w:tc>
        <w:tc>
          <w:tcPr>
            <w:tcW w:type="dxa" w:w="2436"/>
            <w:vAlign w:val="center"/>
          </w:tcPr>
          <w:p>
            <w:pPr>
              <w:spacing w:line="276" w:lineRule="auto" w:before="0" w:after="0"/>
            </w:pPr>
            <w:r/>
            <w:r>
              <w:rPr>
                <w:rFonts w:ascii="Figtree" w:hAnsi="Figtree"/>
                <w:b w:val="0"/>
                <w:i w:val="0"/>
                <w:sz w:val="20"/>
              </w:rPr>
              <w:t>USD 6-10M</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USD 4-7M</w:t>
            </w:r>
          </w:p>
        </w:tc>
      </w:tr>
      <w:tr>
        <w:trPr>
          <w:trHeight w:val="425" w:hRule="atLeast"/>
        </w:trPr>
        <w:tc>
          <w:tcPr>
            <w:tcW w:type="dxa" w:w="2436"/>
            <w:vAlign w:val="center"/>
          </w:tcPr>
          <w:p>
            <w:pPr>
              <w:spacing w:line="276" w:lineRule="auto" w:before="0" w:after="0"/>
            </w:pPr>
            <w:r/>
            <w:r>
              <w:rPr>
                <w:rFonts w:ascii="Figtree" w:hAnsi="Figtree"/>
                <w:b w:val="0"/>
                <w:i w:val="0"/>
                <w:sz w:val="20"/>
              </w:rPr>
              <w:t>Extended timeline (12-24 months)</w:t>
            </w:r>
          </w:p>
        </w:tc>
        <w:tc>
          <w:tcPr>
            <w:tcW w:type="dxa" w:w="2436"/>
            <w:vAlign w:val="center"/>
          </w:tcPr>
          <w:p>
            <w:pPr>
              <w:spacing w:line="276" w:lineRule="auto" w:before="0" w:after="0"/>
            </w:pPr>
            <w:r/>
            <w:r>
              <w:rPr>
                <w:rFonts w:ascii="Figtree" w:hAnsi="Figtree"/>
                <w:b w:val="0"/>
                <w:i w:val="0"/>
                <w:sz w:val="20"/>
              </w:rPr>
              <w:t>Significant</w:t>
            </w:r>
          </w:p>
        </w:tc>
        <w:tc>
          <w:tcPr>
            <w:tcW w:type="dxa" w:w="2436"/>
            <w:vAlign w:val="center"/>
          </w:tcPr>
          <w:p>
            <w:pPr>
              <w:spacing w:line="276" w:lineRule="auto" w:before="0" w:after="0"/>
            </w:pPr>
            <w:r/>
            <w:r>
              <w:rPr>
                <w:rFonts w:ascii="Figtree" w:hAnsi="Figtree"/>
                <w:b w:val="0"/>
                <w:i w:val="0"/>
                <w:sz w:val="20"/>
              </w:rPr>
              <w:t>19-week delivery</w:t>
            </w:r>
          </w:p>
        </w:tc>
        <w:tc>
          <w:tcPr>
            <w:tcW w:type="dxa" w:w="2436"/>
            <w:vAlign w:val="center"/>
          </w:tcPr>
          <w:p>
            <w:pPr>
              <w:spacing w:line="276" w:lineRule="auto" w:before="0" w:after="0"/>
            </w:pPr>
            <w:r/>
            <w:r>
              <w:rPr>
                <w:rFonts w:ascii="Figtree" w:hAnsi="Figtree"/>
                <w:b w:val="0"/>
                <w:i w:val="0"/>
                <w:sz w:val="20"/>
              </w:rPr>
              <w:t>Reduced by 50-75%</w:t>
            </w:r>
          </w:p>
        </w:tc>
      </w:tr>
    </w:tbl>
    <w:p>
      <w:pPr>
        <w:spacing w:before="0" w:after="0" w:line="120" w:lineRule="exact"/>
      </w:pPr>
    </w:p>
    <w:p>
      <w:r>
        <w:rPr>
          <w:rFonts w:ascii="Figtree" w:hAnsi="Figtree"/>
          <w:b w:val="0"/>
          <w:i w:val="0"/>
          <w:sz w:val="22"/>
        </w:rPr>
        <w:t>The cost avoidance calculation compares DALP implementation to the estimated cost of building equivalent capability from scratch. The figure represents direct cost comparison; it does not include the opportunity cost of delayed capability or the risk cost of execution uncertainty.</w:t>
      </w:r>
    </w:p>
    <w:p>
      <w:pPr>
        <w:pStyle w:val="H3"/>
        <w:numPr>
          <w:ilvl w:val="2"/>
          <w:numId w:val="1"/>
        </w:numPr>
      </w:pPr>
      <w:r>
        <w:t>Operational Efficiency</w:t>
      </w:r>
    </w:p>
    <w:p>
      <w:r>
        <w:rPr>
          <w:rFonts w:ascii="Figtree" w:hAnsi="Figtree"/>
          <w:b w:val="0"/>
          <w:i w:val="0"/>
          <w:sz w:val="22"/>
        </w:rPr>
        <w:t>DALP generates ongoing operational efficiencies: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1"/>
        <w:gridCol w:w="3870"/>
        <w:gridCol w:w="254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Estimate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Automated on-chain enforcement</w:t>
            </w:r>
          </w:p>
        </w:tc>
        <w:tc>
          <w:tcPr>
            <w:tcW w:type="dxa" w:w="3249"/>
            <w:vAlign w:val="center"/>
          </w:tcPr>
          <w:p>
            <w:pPr>
              <w:spacing w:line="276" w:lineRule="auto" w:before="0" w:after="0"/>
            </w:pPr>
            <w:r/>
            <w:r>
              <w:rPr>
                <w:rFonts w:ascii="Figtree" w:hAnsi="Figtree"/>
                <w:b w:val="0"/>
                <w:i w:val="0"/>
                <w:sz w:val="20"/>
              </w:rPr>
              <w:t>USD 200-400K</w:t>
            </w:r>
          </w:p>
        </w:tc>
      </w:tr>
      <w:tr>
        <w:trPr>
          <w:trHeight w:val="425" w:hRule="atLeast"/>
        </w:trPr>
        <w:tc>
          <w:tcPr>
            <w:tcW w:type="dxa" w:w="3249"/>
            <w:vAlign w:val="center"/>
          </w:tcPr>
          <w:p>
            <w:pPr>
              <w:spacing w:line="276" w:lineRule="auto" w:before="0" w:after="0"/>
            </w:pPr>
            <w:r/>
            <w:r>
              <w:rPr>
                <w:rFonts w:ascii="Figtree" w:hAnsi="Figtree"/>
                <w:b w:val="0"/>
                <w:i w:val="0"/>
                <w:sz w:val="20"/>
              </w:rPr>
              <w:t>Audit and reporting</w:t>
            </w:r>
          </w:p>
        </w:tc>
        <w:tc>
          <w:tcPr>
            <w:tcW w:type="dxa" w:w="3249"/>
            <w:vAlign w:val="center"/>
          </w:tcPr>
          <w:p>
            <w:pPr>
              <w:spacing w:line="276" w:lineRule="auto" w:before="0" w:after="0"/>
            </w:pPr>
            <w:r/>
            <w:r>
              <w:rPr>
                <w:rFonts w:ascii="Figtree" w:hAnsi="Figtree"/>
                <w:b w:val="0"/>
                <w:i w:val="0"/>
                <w:sz w:val="20"/>
              </w:rPr>
              <w:t>Native audit trails, dashboards</w:t>
            </w:r>
          </w:p>
        </w:tc>
        <w:tc>
          <w:tcPr>
            <w:tcW w:type="dxa" w:w="3249"/>
            <w:vAlign w:val="center"/>
          </w:tcPr>
          <w:p>
            <w:pPr>
              <w:spacing w:line="276" w:lineRule="auto" w:before="0" w:after="0"/>
            </w:pPr>
            <w:r/>
            <w:r>
              <w:rPr>
                <w:rFonts w:ascii="Figtree" w:hAnsi="Figtree"/>
                <w:b w:val="0"/>
                <w:i w:val="0"/>
                <w:sz w:val="20"/>
              </w:rPr>
              <w:t>USD 100-200K</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Platform-native, not manual</w:t>
            </w:r>
          </w:p>
        </w:tc>
        <w:tc>
          <w:tcPr>
            <w:tcW w:type="dxa" w:w="3249"/>
            <w:vAlign w:val="center"/>
          </w:tcPr>
          <w:p>
            <w:pPr>
              <w:spacing w:line="276" w:lineRule="auto" w:before="0" w:after="0"/>
            </w:pPr>
            <w:r/>
            <w:r>
              <w:rPr>
                <w:rFonts w:ascii="Figtree" w:hAnsi="Figtree"/>
                <w:b w:val="0"/>
                <w:i w:val="0"/>
                <w:sz w:val="20"/>
              </w:rPr>
              <w:t>USD 50-150K</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Observability, rapid diagnostics</w:t>
            </w:r>
          </w:p>
        </w:tc>
        <w:tc>
          <w:tcPr>
            <w:tcW w:type="dxa" w:w="3249"/>
            <w:vAlign w:val="center"/>
          </w:tcPr>
          <w:p>
            <w:pPr>
              <w:spacing w:line="276" w:lineRule="auto" w:before="0" w:after="0"/>
            </w:pPr>
            <w:r/>
            <w:r>
              <w:rPr>
                <w:rFonts w:ascii="Figtree" w:hAnsi="Figtree"/>
                <w:b w:val="0"/>
                <w:i w:val="0"/>
                <w:sz w:val="20"/>
              </w:rPr>
              <w:t>USD 50-100K</w:t>
            </w:r>
          </w:p>
        </w:tc>
      </w:tr>
    </w:tbl>
    <w:p>
      <w:pPr>
        <w:spacing w:before="0" w:after="0" w:line="120" w:lineRule="exact"/>
      </w:pPr>
    </w:p>
    <w:p>
      <w:r>
        <w:rPr>
          <w:rFonts w:ascii="Figtree" w:hAnsi="Figtree"/>
          <w:b w:val="0"/>
          <w:i w:val="0"/>
          <w:sz w:val="22"/>
        </w:rPr>
        <w:t>The operational efficiency value varies based on the Central Bank's current operational model and the volume of digital asset activity. These estimates assume moderate activity levels; higher volumes increase efficiency gains.</w:t>
      </w:r>
    </w:p>
    <w:p>
      <w:pPr>
        <w:pStyle w:val="H3"/>
        <w:numPr>
          <w:ilvl w:val="2"/>
          <w:numId w:val="1"/>
        </w:numPr>
      </w:pPr>
      <w:r>
        <w:t>Risk Reduction</w:t>
      </w:r>
    </w:p>
    <w:p>
      <w:r>
        <w:rPr>
          <w:rFonts w:ascii="Figtree" w:hAnsi="Figtree"/>
          <w:b w:val="0"/>
          <w:i w:val="0"/>
          <w:sz w:val="22"/>
        </w:rPr>
        <w:t>The platform reduces operational and regulatory risk: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0"/>
        <w:gridCol w:w="4937"/>
        <w:gridCol w:w="12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Regulatory non-compliance</w:t>
            </w:r>
          </w:p>
        </w:tc>
        <w:tc>
          <w:tcPr>
            <w:tcW w:type="dxa" w:w="3249"/>
            <w:vAlign w:val="center"/>
          </w:tcPr>
          <w:p>
            <w:pPr>
              <w:spacing w:line="276" w:lineRule="auto" w:before="0" w:after="0"/>
            </w:pPr>
            <w:r/>
            <w:r>
              <w:rPr>
                <w:rFonts w:ascii="Figtree" w:hAnsi="Figtree"/>
                <w:b w:val="0"/>
                <w:i w:val="0"/>
                <w:sz w:val="20"/>
              </w:rPr>
              <w:t>Pre-built compliance framework</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Security breach</w:t>
            </w:r>
          </w:p>
        </w:tc>
        <w:tc>
          <w:tcPr>
            <w:tcW w:type="dxa" w:w="3249"/>
            <w:vAlign w:val="center"/>
          </w:tcPr>
          <w:p>
            <w:pPr>
              <w:spacing w:line="276" w:lineRule="auto" w:before="0" w:after="0"/>
            </w:pPr>
            <w:r/>
            <w:r>
              <w:rPr>
                <w:rFonts w:ascii="Figtree" w:hAnsi="Figtree"/>
                <w:b w:val="0"/>
                <w:i w:val="0"/>
                <w:sz w:val="20"/>
              </w:rPr>
              <w:t>Defense-in-depth, certifications</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Operational failure</w:t>
            </w:r>
          </w:p>
        </w:tc>
        <w:tc>
          <w:tcPr>
            <w:tcW w:type="dxa" w:w="3249"/>
            <w:vAlign w:val="center"/>
          </w:tcPr>
          <w:p>
            <w:pPr>
              <w:spacing w:line="276" w:lineRule="auto" w:before="0" w:after="0"/>
            </w:pPr>
            <w:r/>
            <w:r>
              <w:rPr>
                <w:rFonts w:ascii="Figtree" w:hAnsi="Figtree"/>
                <w:b w:val="0"/>
                <w:i w:val="0"/>
                <w:sz w:val="20"/>
              </w:rPr>
              <w:t>HA architecture, DR capability</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failure</w:t>
            </w:r>
          </w:p>
        </w:tc>
        <w:tc>
          <w:tcPr>
            <w:tcW w:type="dxa" w:w="3249"/>
            <w:vAlign w:val="center"/>
          </w:tcPr>
          <w:p>
            <w:pPr>
              <w:spacing w:line="276" w:lineRule="auto" w:before="0" w:after="0"/>
            </w:pPr>
            <w:r/>
            <w:r>
              <w:rPr>
                <w:rFonts w:ascii="Figtree" w:hAnsi="Figtree"/>
                <w:b w:val="0"/>
                <w:i w:val="0"/>
                <w:sz w:val="20"/>
              </w:rPr>
              <w:t>Proven methodology, production track record</w:t>
            </w:r>
          </w:p>
        </w:tc>
        <w:tc>
          <w:tcPr>
            <w:tcW w:type="dxa" w:w="3249"/>
            <w:vAlign w:val="center"/>
          </w:tcPr>
          <w:p>
            <w:pPr>
              <w:spacing w:line="276" w:lineRule="auto" w:before="0" w:after="0"/>
            </w:pPr>
            <w:r/>
            <w:r>
              <w:rPr>
                <w:rFonts w:ascii="Figtree" w:hAnsi="Figtree"/>
                <w:b w:val="0"/>
                <w:i w:val="0"/>
                <w:sz w:val="20"/>
              </w:rPr>
              <w:t>Significant</w:t>
            </w:r>
          </w:p>
        </w:tc>
      </w:tr>
    </w:tbl>
    <w:p>
      <w:pPr>
        <w:spacing w:before="0" w:after="0" w:line="120" w:lineRule="exact"/>
      </w:pPr>
    </w:p>
    <w:p>
      <w:r>
        <w:rPr>
          <w:rFonts w:ascii="Figtree" w:hAnsi="Figtree"/>
          <w:b w:val="0"/>
          <w:i w:val="0"/>
          <w:sz w:val="22"/>
        </w:rPr>
        <w:t>Risk reduction value is inherently difficult to quantify as it represents avoided cost of adverse outcomes. The Central Bank should assess this value based on its risk tolerance and the consequences of platform failure.</w:t>
      </w:r>
    </w:p>
    <w:p>
      <w:pPr>
        <w:pStyle w:val="H3"/>
        <w:numPr>
          <w:ilvl w:val="2"/>
          <w:numId w:val="1"/>
        </w:numPr>
      </w:pPr>
      <w:r>
        <w:t>Strategic Enablement</w:t>
      </w:r>
    </w:p>
    <w:p>
      <w:r>
        <w:rPr>
          <w:rFonts w:ascii="Figtree" w:hAnsi="Figtree"/>
          <w:b w:val="0"/>
          <w:i w:val="0"/>
          <w:sz w:val="22"/>
        </w:rPr>
        <w:t>The platform enables strategic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888"/>
        <w:gridCol w:w="17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Objective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Enablement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Regulatory leadership</w:t>
            </w:r>
          </w:p>
        </w:tc>
        <w:tc>
          <w:tcPr>
            <w:tcW w:type="dxa" w:w="3249"/>
            <w:vAlign w:val="center"/>
          </w:tcPr>
          <w:p>
            <w:pPr>
              <w:spacing w:line="276" w:lineRule="auto" w:before="0" w:after="0"/>
            </w:pPr>
            <w:r/>
            <w:r>
              <w:rPr>
                <w:rFonts w:ascii="Figtree" w:hAnsi="Figtree"/>
                <w:b w:val="0"/>
                <w:i w:val="0"/>
                <w:sz w:val="20"/>
              </w:rPr>
              <w:t>Modern infrastructure</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Market development</w:t>
            </w:r>
          </w:p>
        </w:tc>
        <w:tc>
          <w:tcPr>
            <w:tcW w:type="dxa" w:w="3249"/>
            <w:vAlign w:val="center"/>
          </w:tcPr>
          <w:p>
            <w:pPr>
              <w:spacing w:line="276" w:lineRule="auto" w:before="0" w:after="0"/>
            </w:pPr>
            <w:r/>
            <w:r>
              <w:rPr>
                <w:rFonts w:ascii="Figtree" w:hAnsi="Figtree"/>
                <w:b w:val="0"/>
                <w:i w:val="0"/>
                <w:sz w:val="20"/>
              </w:rPr>
              <w:t>Supervised market access</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Innovation capacity</w:t>
            </w:r>
          </w:p>
        </w:tc>
        <w:tc>
          <w:tcPr>
            <w:tcW w:type="dxa" w:w="3249"/>
            <w:vAlign w:val="center"/>
          </w:tcPr>
          <w:p>
            <w:pPr>
              <w:spacing w:line="276" w:lineRule="auto" w:before="0" w:after="0"/>
            </w:pPr>
            <w:r/>
            <w:r>
              <w:rPr>
                <w:rFonts w:ascii="Figtree" w:hAnsi="Figtree"/>
                <w:b w:val="0"/>
                <w:i w:val="0"/>
                <w:sz w:val="20"/>
              </w:rPr>
              <w:t>Platform flexibility</w:t>
            </w:r>
          </w:p>
        </w:tc>
        <w:tc>
          <w:tcPr>
            <w:tcW w:type="dxa" w:w="3249"/>
            <w:vAlign w:val="center"/>
          </w:tcPr>
          <w:p>
            <w:pPr>
              <w:spacing w:line="276" w:lineRule="auto" w:before="0" w:after="0"/>
            </w:pPr>
            <w:r/>
            <w:r>
              <w:rPr>
                <w:rFonts w:ascii="Figtree" w:hAnsi="Figtree"/>
                <w:b w:val="0"/>
                <w:i w:val="0"/>
                <w:sz w:val="20"/>
              </w:rPr>
              <w:t>Significant</w:t>
            </w:r>
          </w:p>
        </w:tc>
      </w:tr>
      <w:tr>
        <w:trPr>
          <w:trHeight w:val="425" w:hRule="atLeast"/>
        </w:trPr>
        <w:tc>
          <w:tcPr>
            <w:tcW w:type="dxa" w:w="3249"/>
            <w:vAlign w:val="center"/>
          </w:tcPr>
          <w:p>
            <w:pPr>
              <w:spacing w:line="276" w:lineRule="auto" w:before="0" w:after="0"/>
            </w:pPr>
            <w:r/>
            <w:r>
              <w:rPr>
                <w:rFonts w:ascii="Figtree" w:hAnsi="Figtree"/>
                <w:b w:val="0"/>
                <w:i w:val="0"/>
                <w:sz w:val="20"/>
              </w:rPr>
              <w:t>Regional positioning</w:t>
            </w:r>
          </w:p>
        </w:tc>
        <w:tc>
          <w:tcPr>
            <w:tcW w:type="dxa" w:w="3249"/>
            <w:vAlign w:val="center"/>
          </w:tcPr>
          <w:p>
            <w:pPr>
              <w:spacing w:line="276" w:lineRule="auto" w:before="0" w:after="0"/>
            </w:pPr>
            <w:r/>
            <w:r>
              <w:rPr>
                <w:rFonts w:ascii="Figtree" w:hAnsi="Figtree"/>
                <w:b w:val="0"/>
                <w:i w:val="0"/>
                <w:sz w:val="20"/>
              </w:rPr>
              <w:t>First-mover advantage</w:t>
            </w:r>
          </w:p>
        </w:tc>
        <w:tc>
          <w:tcPr>
            <w:tcW w:type="dxa" w:w="3249"/>
            <w:vAlign w:val="center"/>
          </w:tcPr>
          <w:p>
            <w:pPr>
              <w:spacing w:line="276" w:lineRule="auto" w:before="0" w:after="0"/>
            </w:pPr>
            <w:r/>
            <w:r>
              <w:rPr>
                <w:rFonts w:ascii="Figtree" w:hAnsi="Figtree"/>
                <w:b w:val="0"/>
                <w:i w:val="0"/>
                <w:sz w:val="20"/>
              </w:rPr>
              <w:t>Significant</w:t>
            </w:r>
          </w:p>
        </w:tc>
      </w:tr>
    </w:tbl>
    <w:p>
      <w:pPr>
        <w:spacing w:before="0" w:after="0" w:line="120" w:lineRule="exact"/>
      </w:pPr>
    </w:p>
    <w:p>
      <w:r>
        <w:rPr>
          <w:rFonts w:ascii="Figtree" w:hAnsi="Figtree"/>
          <w:b w:val="0"/>
          <w:i w:val="0"/>
          <w:sz w:val="22"/>
        </w:rPr>
        <w:t>Strategic value depends on the Central Bank's strategic priorities and the competitive context. These benefits are additional to direct cost and operational considerations.</w:t>
      </w:r>
    </w:p>
    <w:p>
      <w:pPr>
        <w:pStyle w:val="H2"/>
        <w:numPr>
          <w:ilvl w:val="1"/>
          <w:numId w:val="1"/>
        </w:numPr>
      </w:pPr>
      <w:r>
        <w:t>8.2 Total Cost of Ownership</w:t>
      </w:r>
    </w:p>
    <w:p>
      <w:r>
        <w:rPr>
          <w:rFonts w:ascii="Figtree" w:hAnsi="Figtree"/>
          <w:b w:val="0"/>
          <w:i w:val="0"/>
          <w:sz w:val="22"/>
        </w:rPr>
        <w:t>The three-year total cost of ownership estimate (provided following commercial validation) includes:</w:t>
      </w:r>
    </w:p>
    <w:p>
      <w:pPr>
        <w:pStyle w:val="ListParagraph"/>
        <w:numPr>
          <w:ilvl w:val="0"/>
          <w:numId w:val="4"/>
        </w:numPr>
      </w:pPr>
      <w:r>
        <w:rPr>
          <w:rFonts w:ascii="Figtree" w:hAnsi="Figtree"/>
          <w:b w:val="0"/>
          <w:i w:val="0"/>
          <w:sz w:val="22"/>
        </w:rPr>
        <w:t>Platform license (3 years)</w:t>
      </w:r>
    </w:p>
    <w:p>
      <w:pPr>
        <w:pStyle w:val="ListParagraph"/>
        <w:numPr>
          <w:ilvl w:val="0"/>
          <w:numId w:val="4"/>
        </w:numPr>
      </w:pPr>
      <w:r>
        <w:rPr>
          <w:rFonts w:ascii="Figtree" w:hAnsi="Figtree"/>
          <w:b w:val="0"/>
          <w:i w:val="0"/>
          <w:sz w:val="22"/>
        </w:rPr>
        <w:t>Implementation services (one-time)</w:t>
      </w:r>
    </w:p>
    <w:p>
      <w:pPr>
        <w:pStyle w:val="ListParagraph"/>
        <w:numPr>
          <w:ilvl w:val="0"/>
          <w:numId w:val="4"/>
        </w:numPr>
      </w:pPr>
      <w:r>
        <w:rPr>
          <w:rFonts w:ascii="Figtree" w:hAnsi="Figtree"/>
          <w:b w:val="0"/>
          <w:i w:val="0"/>
          <w:sz w:val="22"/>
        </w:rPr>
        <w:t>Environment fees (36 months)</w:t>
      </w:r>
    </w:p>
    <w:p>
      <w:pPr>
        <w:pStyle w:val="ListParagraph"/>
        <w:numPr>
          <w:ilvl w:val="0"/>
          <w:numId w:val="4"/>
        </w:numPr>
      </w:pPr>
      <w:r>
        <w:rPr>
          <w:rFonts w:ascii="Figtree" w:hAnsi="Figtree"/>
          <w:b w:val="0"/>
          <w:i w:val="0"/>
          <w:sz w:val="22"/>
        </w:rPr>
        <w:t>Support services (36 months)</w:t>
      </w:r>
    </w:p>
    <w:p>
      <w:pPr>
        <w:pStyle w:val="ListParagraph"/>
        <w:numPr>
          <w:ilvl w:val="0"/>
          <w:numId w:val="4"/>
        </w:numPr>
      </w:pPr>
      <w:r>
        <w:rPr>
          <w:rFonts w:ascii="Figtree" w:hAnsi="Figtree"/>
          <w:b w:val="0"/>
          <w:i w:val="0"/>
          <w:sz w:val="22"/>
        </w:rPr>
        <w:t>Estimated integration costs (client-side)</w:t>
      </w:r>
    </w:p>
    <w:p>
      <w:r>
        <w:rPr>
          <w:rFonts w:ascii="Figtree" w:hAnsi="Figtree"/>
          <w:b w:val="0"/>
          <w:i w:val="0"/>
          <w:sz w:val="22"/>
        </w:rPr>
        <w:t>The TCO analysis will be refined during commercial validation to reflect the Central Bank's specific scope and requirements.</w:t>
      </w:r>
    </w:p>
    <w:p>
      <w:r>
        <w:br w:type="page"/>
      </w:r>
    </w:p>
    <w:p>
      <w:pPr>
        <w:pStyle w:val="H1"/>
        <w:numPr>
          <w:ilvl w:val="0"/>
          <w:numId w:val="1"/>
        </w:numPr>
      </w:pPr>
      <w:r>
        <w:t>9. Risk and Mitigation</w:t>
      </w:r>
    </w:p>
    <w:p>
      <w:pPr>
        <w:pStyle w:val="H2"/>
        <w:numPr>
          <w:ilvl w:val="1"/>
          <w:numId w:val="1"/>
        </w:numPr>
      </w:pPr>
      <w:r>
        <w:t>9.1 Commercial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6"/>
        <w:gridCol w:w="889"/>
        <w:gridCol w:w="1778"/>
        <w:gridCol w:w="444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Cost increase</w:t>
            </w:r>
          </w:p>
        </w:tc>
        <w:tc>
          <w:tcPr>
            <w:tcW w:type="dxa" w:w="2436"/>
            <w:vAlign w:val="center"/>
          </w:tcPr>
          <w:p>
            <w:pPr>
              <w:spacing w:line="276" w:lineRule="auto" w:before="0" w:after="0"/>
            </w:pPr>
            <w:r/>
            <w:r>
              <w:rPr>
                <w:rFonts w:ascii="Figtree" w:hAnsi="Figtree"/>
                <w:b w:val="0"/>
                <w:i w:val="0"/>
                <w:sz w:val="20"/>
              </w:rPr>
              <w:t>Change control with impact assessment</w:t>
            </w:r>
          </w:p>
        </w:tc>
      </w:tr>
      <w:tr>
        <w:trPr>
          <w:trHeight w:val="425" w:hRule="atLeast"/>
        </w:trPr>
        <w:tc>
          <w:tcPr>
            <w:tcW w:type="dxa" w:w="2436"/>
            <w:vAlign w:val="center"/>
          </w:tcPr>
          <w:p>
            <w:pPr>
              <w:spacing w:line="276" w:lineRule="auto" w:before="0" w:after="0"/>
            </w:pPr>
            <w:r/>
            <w:r>
              <w:rPr>
                <w:rFonts w:ascii="Figtree" w:hAnsi="Figtree"/>
                <w:b w:val="0"/>
                <w:i w:val="0"/>
                <w:sz w:val="20"/>
              </w:rPr>
              <w:t>Timeline extension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Cost increase</w:t>
            </w:r>
          </w:p>
        </w:tc>
        <w:tc>
          <w:tcPr>
            <w:tcW w:type="dxa" w:w="2436"/>
            <w:vAlign w:val="center"/>
          </w:tcPr>
          <w:p>
            <w:pPr>
              <w:spacing w:line="276" w:lineRule="auto" w:before="0" w:after="0"/>
            </w:pPr>
            <w:r/>
            <w:r>
              <w:rPr>
                <w:rFonts w:ascii="Figtree" w:hAnsi="Figtree"/>
                <w:b w:val="0"/>
                <w:i w:val="0"/>
                <w:sz w:val="20"/>
              </w:rPr>
              <w:t>Clear phase gates, client responsibilities defined</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Timeline impact</w:t>
            </w:r>
          </w:p>
        </w:tc>
        <w:tc>
          <w:tcPr>
            <w:tcW w:type="dxa" w:w="2436"/>
            <w:vAlign w:val="center"/>
          </w:tcPr>
          <w:p>
            <w:pPr>
              <w:spacing w:line="276" w:lineRule="auto" w:before="0" w:after="0"/>
            </w:pPr>
            <w:r/>
            <w:r>
              <w:rPr>
                <w:rFonts w:ascii="Figtree" w:hAnsi="Figtree"/>
                <w:b w:val="0"/>
                <w:i w:val="0"/>
                <w:sz w:val="20"/>
              </w:rPr>
              <w:t>Phase 3 integration design, mock interfaces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Configuration rework</w:t>
            </w:r>
          </w:p>
        </w:tc>
        <w:tc>
          <w:tcPr>
            <w:tcW w:type="dxa" w:w="2436"/>
            <w:vAlign w:val="center"/>
          </w:tcPr>
          <w:p>
            <w:pPr>
              <w:spacing w:line="276" w:lineRule="auto" w:before="0" w:after="0"/>
            </w:pPr>
            <w:r/>
            <w:r>
              <w:rPr>
                <w:rFonts w:ascii="Figtree" w:hAnsi="Figtree"/>
                <w:b w:val="0"/>
                <w:i w:val="0"/>
                <w:sz w:val="20"/>
              </w:rPr>
              <w:t>Modular compliance architecture</w:t>
            </w:r>
          </w:p>
        </w:tc>
      </w:tr>
    </w:tbl>
    <w:p>
      <w:pPr>
        <w:spacing w:before="0" w:after="0" w:line="120" w:lineRule="exact"/>
      </w:pPr>
    </w:p>
    <w:p>
      <w:pPr>
        <w:pStyle w:val="H2"/>
        <w:numPr>
          <w:ilvl w:val="1"/>
          <w:numId w:val="1"/>
        </w:numPr>
      </w:pPr>
      <w:r>
        <w:t>9.2 SettleMint Commitments</w:t>
      </w:r>
    </w:p>
    <w:p>
      <w:r>
        <w:rPr>
          <w:rFonts w:ascii="Figtree" w:hAnsi="Figtree"/>
          <w:b w:val="0"/>
          <w:i w:val="0"/>
          <w:sz w:val="22"/>
        </w:rPr>
        <w:t>SettleMint commits to the following to mitigate commercial risk:</w:t>
      </w:r>
    </w:p>
    <w:p>
      <w:r>
        <w:rPr>
          <w:rFonts w:ascii="Figtree" w:hAnsi="Figtree"/>
          <w:b/>
          <w:i w:val="0"/>
          <w:sz w:val="22"/>
        </w:rPr>
        <w:t>Fixed Implementation Price:</w:t>
      </w:r>
      <w:r>
        <w:rPr>
          <w:rFonts w:ascii="Figtree" w:hAnsi="Figtree"/>
          <w:b w:val="0"/>
          <w:i w:val="0"/>
          <w:sz w:val="22"/>
        </w:rPr>
        <w:t xml:space="preserve"> Implementation services are fixed-fee with defined scope. Additional work is subject to change control.</w:t>
      </w:r>
    </w:p>
    <w:p>
      <w:r>
        <w:rPr>
          <w:rFonts w:ascii="Figtree" w:hAnsi="Figtree"/>
          <w:b/>
          <w:i w:val="0"/>
          <w:sz w:val="22"/>
        </w:rPr>
        <w:t>Transparent Pricing:</w:t>
      </w:r>
      <w:r>
        <w:rPr>
          <w:rFonts w:ascii="Figtree" w:hAnsi="Figtree"/>
          <w:b w:val="0"/>
          <w:i w:val="0"/>
          <w:sz w:val="22"/>
        </w:rPr>
        <w:t xml:space="preserve"> All pricing elements are disclosed. No hidden costs or pass-through charges.</w:t>
      </w:r>
    </w:p>
    <w:p>
      <w:r>
        <w:rPr>
          <w:rFonts w:ascii="Figtree" w:hAnsi="Figtree"/>
          <w:b/>
          <w:i w:val="0"/>
          <w:sz w:val="22"/>
        </w:rPr>
        <w:t>Delivery Commitment:</w:t>
      </w:r>
      <w:r>
        <w:rPr>
          <w:rFonts w:ascii="Figtree" w:hAnsi="Figtree"/>
          <w:b w:val="0"/>
          <w:i w:val="0"/>
          <w:sz w:val="22"/>
        </w:rPr>
        <w:t xml:space="preserve"> The 19-week methodology is proven across 14 deployments. SettleMint commits to the timeline assuming client-side responsibilities are met.</w:t>
      </w:r>
    </w:p>
    <w:p>
      <w:r>
        <w:rPr>
          <w:rFonts w:ascii="Figtree" w:hAnsi="Figtree"/>
          <w:b/>
          <w:i w:val="0"/>
          <w:sz w:val="22"/>
        </w:rPr>
        <w:t>Knowledge Transfer:</w:t>
      </w:r>
      <w:r>
        <w:rPr>
          <w:rFonts w:ascii="Figtree" w:hAnsi="Figtree"/>
          <w:b w:val="0"/>
          <w:i w:val="0"/>
          <w:sz w:val="22"/>
        </w:rPr>
        <w:t xml:space="preserve"> The implementation includes explicit knowledge transfer. The Central Bank will have operational independence at programme conclusion.</w:t>
      </w:r>
    </w:p>
    <w:p>
      <w:r>
        <w:br w:type="page"/>
      </w:r>
    </w:p>
    <w:p>
      <w:pPr>
        <w:pStyle w:val="H1"/>
        <w:numPr>
          <w:ilvl w:val="0"/>
          <w:numId w:val="1"/>
        </w:numPr>
      </w:pPr>
      <w:r>
        <w:t>10. Appendix: Commercial Schedule</w:t>
      </w:r>
    </w:p>
    <w:p>
      <w:pPr>
        <w:pStyle w:val="H2"/>
        <w:numPr>
          <w:ilvl w:val="1"/>
          <w:numId w:val="1"/>
        </w:numPr>
      </w:pPr>
      <w:r>
        <w:t>10.1 Pricing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352"/>
        <w:gridCol w:w="712"/>
        <w:gridCol w:w="1344"/>
        <w:gridCol w:w="712"/>
        <w:gridCol w:w="168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Unit Price (USD)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Quantity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 (USD)</w:t>
            </w:r>
          </w:p>
        </w:tc>
      </w:tr>
      <w:tr>
        <w:trPr>
          <w:trHeight w:val="425" w:hRule="atLeast"/>
        </w:trPr>
        <w:tc>
          <w:tcPr>
            <w:tcW w:type="dxa" w:w="1624"/>
            <w:vAlign w:val="center"/>
          </w:tcPr>
          <w:p>
            <w:pPr>
              <w:spacing w:line="276" w:lineRule="auto" w:before="0" w:after="0"/>
            </w:pPr>
            <w:r/>
            <w:r>
              <w:rPr>
                <w:rFonts w:ascii="Figtree" w:hAnsi="Figtree"/>
                <w:b/>
                <w:i w:val="0"/>
                <w:sz w:val="20"/>
              </w:rPr>
              <w:t>Platform License</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1)</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2)</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DALP License (Year 3)</w:t>
            </w:r>
          </w:p>
        </w:tc>
        <w:tc>
          <w:tcPr>
            <w:tcW w:type="dxa" w:w="1624"/>
            <w:vAlign w:val="center"/>
          </w:tcPr>
          <w:p>
            <w:pPr>
              <w:spacing w:line="276" w:lineRule="auto" w:before="0" w:after="0"/>
            </w:pPr>
            <w:r/>
            <w:r>
              <w:rPr>
                <w:rFonts w:ascii="Figtree" w:hAnsi="Figtree"/>
                <w:b w:val="0"/>
                <w:i w:val="0"/>
                <w:sz w:val="20"/>
              </w:rPr>
              <w:t>Platform access, annual term</w:t>
            </w:r>
          </w:p>
        </w:tc>
        <w:tc>
          <w:tcPr>
            <w:tcW w:type="dxa" w:w="1624"/>
            <w:vAlign w:val="center"/>
          </w:tcPr>
          <w:p>
            <w:pPr>
              <w:spacing w:line="276" w:lineRule="auto" w:before="0" w:after="0"/>
            </w:pPr>
            <w:r/>
            <w:r>
              <w:rPr>
                <w:rFonts w:ascii="Figtree" w:hAnsi="Figtree"/>
                <w:b w:val="0"/>
                <w:i w:val="0"/>
                <w:sz w:val="20"/>
              </w:rPr>
              <w:t>Annual</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Implementation Services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Phase 1 Services</w:t>
            </w:r>
          </w:p>
        </w:tc>
        <w:tc>
          <w:tcPr>
            <w:tcW w:type="dxa" w:w="1624"/>
            <w:vAlign w:val="center"/>
          </w:tcPr>
          <w:p>
            <w:pPr>
              <w:spacing w:line="276" w:lineRule="auto" w:before="0" w:after="0"/>
            </w:pPr>
            <w:r/>
            <w:r>
              <w:rPr>
                <w:rFonts w:ascii="Figtree" w:hAnsi="Figtree"/>
                <w:b w:val="0"/>
                <w:i w:val="0"/>
                <w:sz w:val="20"/>
              </w:rPr>
              <w:t>Discovery and Requirements</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2 Services</w:t>
            </w:r>
          </w:p>
        </w:tc>
        <w:tc>
          <w:tcPr>
            <w:tcW w:type="dxa" w:w="1624"/>
            <w:vAlign w:val="center"/>
          </w:tcPr>
          <w:p>
            <w:pPr>
              <w:spacing w:line="276" w:lineRule="auto" w:before="0" w:after="0"/>
            </w:pPr>
            <w:r/>
            <w:r>
              <w:rPr>
                <w:rFonts w:ascii="Figtree" w:hAnsi="Figtree"/>
                <w:b w:val="0"/>
                <w:i w:val="0"/>
                <w:sz w:val="20"/>
              </w:rPr>
              <w:t>Foundation and Setup</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3 Services</w:t>
            </w:r>
          </w:p>
        </w:tc>
        <w:tc>
          <w:tcPr>
            <w:tcW w:type="dxa" w:w="1624"/>
            <w:vAlign w:val="center"/>
          </w:tcPr>
          <w:p>
            <w:pPr>
              <w:spacing w:line="276" w:lineRule="auto" w:before="0" w:after="0"/>
            </w:pPr>
            <w:r/>
            <w:r>
              <w:rPr>
                <w:rFonts w:ascii="Figtree" w:hAnsi="Figtree"/>
                <w:b w:val="0"/>
                <w:i w:val="0"/>
                <w:sz w:val="20"/>
              </w:rPr>
              <w:t>Configuration and Compliance</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4 Services</w:t>
            </w:r>
          </w:p>
        </w:tc>
        <w:tc>
          <w:tcPr>
            <w:tcW w:type="dxa" w:w="1624"/>
            <w:vAlign w:val="center"/>
          </w:tcPr>
          <w:p>
            <w:pPr>
              <w:spacing w:line="276" w:lineRule="auto" w:before="0" w:after="0"/>
            </w:pPr>
            <w:r/>
            <w:r>
              <w:rPr>
                <w:rFonts w:ascii="Figtree" w:hAnsi="Figtree"/>
                <w:b w:val="0"/>
                <w:i w:val="0"/>
                <w:sz w:val="20"/>
              </w:rPr>
              <w:t>Integration and Testing</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Phase 5 Services</w:t>
            </w:r>
          </w:p>
        </w:tc>
        <w:tc>
          <w:tcPr>
            <w:tcW w:type="dxa" w:w="1624"/>
            <w:vAlign w:val="center"/>
          </w:tcPr>
          <w:p>
            <w:pPr>
              <w:spacing w:line="276" w:lineRule="auto" w:before="0" w:after="0"/>
            </w:pPr>
            <w:r/>
            <w:r>
              <w:rPr>
                <w:rFonts w:ascii="Figtree" w:hAnsi="Figtree"/>
                <w:b w:val="0"/>
                <w:i w:val="0"/>
                <w:sz w:val="20"/>
              </w:rPr>
              <w:t>Go-Live and Hypercare</w:t>
            </w:r>
          </w:p>
        </w:tc>
        <w:tc>
          <w:tcPr>
            <w:tcW w:type="dxa" w:w="1624"/>
            <w:vAlign w:val="center"/>
          </w:tcPr>
          <w:p>
            <w:pPr>
              <w:spacing w:line="276" w:lineRule="auto" w:before="0" w:after="0"/>
            </w:pPr>
            <w:r/>
            <w:r>
              <w:rPr>
                <w:rFonts w:ascii="Figtree" w:hAnsi="Figtree"/>
                <w:b w:val="0"/>
                <w:i w:val="0"/>
                <w:sz w:val="20"/>
              </w:rPr>
              <w:t>Fixed</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Environment Fees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Development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Staging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Production Environment</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val="0"/>
                <w:i w:val="0"/>
                <w:sz w:val="20"/>
              </w:rPr>
              <w:t>Blockchain Network</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Support Services</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r>
      <w:tr>
        <w:trPr>
          <w:trHeight w:val="425" w:hRule="atLeast"/>
        </w:trPr>
        <w:tc>
          <w:tcPr>
            <w:tcW w:type="dxa" w:w="1624"/>
            <w:vAlign w:val="center"/>
          </w:tcPr>
          <w:p>
            <w:pPr>
              <w:spacing w:line="276" w:lineRule="auto" w:before="0" w:after="0"/>
            </w:pPr>
            <w:r/>
            <w:r>
              <w:rPr>
                <w:rFonts w:ascii="Figtree" w:hAnsi="Figtree"/>
                <w:b w:val="0"/>
                <w:i w:val="0"/>
                <w:sz w:val="20"/>
              </w:rPr>
              <w:t>Enterprise Support (24/7)</w:t>
            </w:r>
          </w:p>
        </w:tc>
        <w:tc>
          <w:tcPr>
            <w:tcW w:type="dxa" w:w="1624"/>
            <w:vAlign w:val="center"/>
          </w:tcPr>
          <w:p>
            <w:pPr>
              <w:spacing w:line="276" w:lineRule="auto" w:before="0" w:after="0"/>
            </w:pPr>
            <w:r/>
            <w:r>
              <w:rPr>
                <w:rFonts w:ascii="Figtree" w:hAnsi="Figtree"/>
                <w:b w:val="0"/>
                <w:i w:val="0"/>
                <w:sz w:val="20"/>
              </w:rPr>
              <w:t>Monthly fee</w:t>
            </w:r>
          </w:p>
        </w:tc>
        <w:tc>
          <w:tcPr>
            <w:tcW w:type="dxa" w:w="1624"/>
            <w:vAlign w:val="center"/>
          </w:tcPr>
          <w:p>
            <w:pPr>
              <w:spacing w:line="276" w:lineRule="auto" w:before="0" w:after="0"/>
            </w:pPr>
            <w:r/>
            <w:r>
              <w:rPr>
                <w:rFonts w:ascii="Figtree" w:hAnsi="Figtree"/>
                <w:b w:val="0"/>
                <w:i w:val="0"/>
                <w:sz w:val="20"/>
              </w:rPr>
              <w:t>Monthly</w:t>
            </w:r>
          </w:p>
        </w:tc>
        <w:tc>
          <w:tcPr>
            <w:tcW w:type="dxa" w:w="1624"/>
            <w:vAlign w:val="center"/>
          </w:tcPr>
          <w:p>
            <w:pPr>
              <w:spacing w:line="276" w:lineRule="auto" w:before="0" w:after="0"/>
            </w:pPr>
            <w:r/>
            <w:r>
              <w:rPr>
                <w:rFonts w:ascii="Figtree" w:hAnsi="Figtree"/>
                <w:b w:val="0"/>
                <w:i w:val="0"/>
                <w:sz w:val="20"/>
              </w:rPr>
              <w:t>[To be provided]</w:t>
            </w:r>
          </w:p>
        </w:tc>
        <w:tc>
          <w:tcPr>
            <w:tcW w:type="dxa" w:w="1624"/>
            <w:vAlign w:val="center"/>
          </w:tcPr>
          <w:p>
            <w:pPr>
              <w:spacing w:line="276" w:lineRule="auto" w:before="0" w:after="0"/>
            </w:pPr>
            <w:r/>
            <w:r>
              <w:rPr>
                <w:rFonts w:ascii="Figtree" w:hAnsi="Figtree"/>
                <w:b w:val="0"/>
                <w:i w:val="0"/>
                <w:sz w:val="20"/>
              </w:rPr>
              <w:t>36</w:t>
            </w:r>
          </w:p>
        </w:tc>
        <w:tc>
          <w:tcPr>
            <w:tcW w:type="dxa" w:w="1624"/>
            <w:vAlign w:val="center"/>
          </w:tcPr>
          <w:p>
            <w:pPr>
              <w:spacing w:line="276" w:lineRule="auto" w:before="0" w:after="0"/>
            </w:pPr>
            <w:r/>
            <w:r>
              <w:rPr>
                <w:rFonts w:ascii="Figtree" w:hAnsi="Figtree"/>
                <w:b w:val="0"/>
                <w:i w:val="0"/>
                <w:sz w:val="20"/>
              </w:rPr>
              <w:t>[To be provided]</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[To be provided]</w:t>
            </w:r>
          </w:p>
        </w:tc>
      </w:tr>
    </w:tbl>
    <w:p>
      <w:pPr>
        <w:spacing w:before="0" w:after="0" w:line="120" w:lineRule="exact"/>
      </w:pPr>
    </w:p>
    <w:p>
      <w:pPr>
        <w:pStyle w:val="H2"/>
        <w:numPr>
          <w:ilvl w:val="1"/>
          <w:numId w:val="1"/>
        </w:numPr>
      </w:pPr>
      <w:r>
        <w:t>10.2 Assumptions and Exclusions</w:t>
      </w:r>
    </w:p>
    <w:p>
      <w:r>
        <w:rPr>
          <w:rFonts w:ascii="Figtree" w:hAnsi="Figtree"/>
          <w:b/>
          <w:i w:val="0"/>
          <w:sz w:val="22"/>
        </w:rPr>
        <w:t>Included:</w:t>
      </w:r>
    </w:p>
    <w:p>
      <w:pPr>
        <w:pStyle w:val="ListParagraph"/>
        <w:numPr>
          <w:ilvl w:val="0"/>
          <w:numId w:val="4"/>
        </w:numPr>
      </w:pPr>
      <w:r>
        <w:rPr>
          <w:rFonts w:ascii="Figtree" w:hAnsi="Figtree"/>
          <w:b w:val="0"/>
          <w:i w:val="0"/>
          <w:sz w:val="22"/>
        </w:rPr>
        <w:t>DALP platform software (all layers)</w:t>
      </w:r>
    </w:p>
    <w:p>
      <w:pPr>
        <w:pStyle w:val="ListParagraph"/>
        <w:numPr>
          <w:ilvl w:val="0"/>
          <w:numId w:val="4"/>
        </w:numPr>
      </w:pPr>
      <w:r>
        <w:rPr>
          <w:rFonts w:ascii="Figtree" w:hAnsi="Figtree"/>
          <w:b w:val="0"/>
          <w:i w:val="0"/>
          <w:sz w:val="22"/>
        </w:rPr>
        <w:t>19-week implementation methodology</w:t>
      </w:r>
    </w:p>
    <w:p>
      <w:pPr>
        <w:pStyle w:val="ListParagraph"/>
        <w:numPr>
          <w:ilvl w:val="0"/>
          <w:numId w:val="4"/>
        </w:numPr>
      </w:pPr>
      <w:r>
        <w:rPr>
          <w:rFonts w:ascii="Figtree" w:hAnsi="Figtree"/>
          <w:b w:val="0"/>
          <w:i w:val="0"/>
          <w:sz w:val="22"/>
        </w:rPr>
        <w:t>Configuration for up to 3 asset classes</w:t>
      </w:r>
    </w:p>
    <w:p>
      <w:pPr>
        <w:pStyle w:val="ListParagraph"/>
        <w:numPr>
          <w:ilvl w:val="0"/>
          <w:numId w:val="4"/>
        </w:numPr>
      </w:pPr>
      <w:r>
        <w:rPr>
          <w:rFonts w:ascii="Figtree" w:hAnsi="Figtree"/>
          <w:b w:val="0"/>
          <w:i w:val="0"/>
          <w:sz w:val="22"/>
        </w:rPr>
        <w:t>Standard compliance templates (pre-built)</w:t>
      </w:r>
    </w:p>
    <w:p>
      <w:pPr>
        <w:pStyle w:val="ListParagraph"/>
        <w:numPr>
          <w:ilvl w:val="0"/>
          <w:numId w:val="4"/>
        </w:numPr>
      </w:pPr>
      <w:r>
        <w:rPr>
          <w:rFonts w:ascii="Figtree" w:hAnsi="Figtree"/>
          <w:b w:val="0"/>
          <w:i w:val="0"/>
          <w:sz w:val="22"/>
        </w:rPr>
        <w:t>Integration design for up to 5 endpoints</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Knowledge transfer programme</w:t>
      </w:r>
    </w:p>
    <w:p>
      <w:pPr>
        <w:pStyle w:val="ListParagraph"/>
        <w:numPr>
          <w:ilvl w:val="0"/>
          <w:numId w:val="4"/>
        </w:numPr>
      </w:pPr>
      <w:r>
        <w:rPr>
          <w:rFonts w:ascii="Figtree" w:hAnsi="Figtree"/>
          <w:b w:val="0"/>
          <w:i w:val="0"/>
          <w:sz w:val="22"/>
        </w:rPr>
        <w:t>4-week hypercare support</w:t>
      </w:r>
    </w:p>
    <w:p>
      <w:pPr>
        <w:pStyle w:val="ListParagraph"/>
        <w:numPr>
          <w:ilvl w:val="0"/>
          <w:numId w:val="4"/>
        </w:numPr>
      </w:pPr>
      <w:r>
        <w:rPr>
          <w:rFonts w:ascii="Figtree" w:hAnsi="Figtree"/>
          <w:b w:val="0"/>
          <w:i w:val="0"/>
          <w:sz w:val="22"/>
        </w:rPr>
        <w:t>Enterprise support for 36 months</w:t>
      </w:r>
    </w:p>
    <w:p>
      <w:pPr>
        <w:pStyle w:val="ListParagraph"/>
        <w:numPr>
          <w:ilvl w:val="0"/>
          <w:numId w:val="4"/>
        </w:numPr>
      </w:pPr>
      <w:r>
        <w:rPr>
          <w:rFonts w:ascii="Figtree" w:hAnsi="Figtree"/>
          <w:b w:val="0"/>
          <w:i w:val="0"/>
          <w:sz w:val="22"/>
        </w:rPr>
        <w:t>All documentation and training materials</w:t>
      </w:r>
    </w:p>
    <w:p>
      <w:r>
        <w:rPr>
          <w:rFonts w:ascii="Figtree" w:hAnsi="Figtree"/>
          <w:b/>
          <w:i w:val="0"/>
          <w:sz w:val="22"/>
        </w:rPr>
        <w:t>Not Included (Available Separately):</w:t>
      </w:r>
    </w:p>
    <w:p>
      <w:pPr>
        <w:pStyle w:val="ListParagraph"/>
        <w:numPr>
          <w:ilvl w:val="0"/>
          <w:numId w:val="4"/>
        </w:numPr>
      </w:pPr>
      <w:r>
        <w:rPr>
          <w:rFonts w:ascii="Figtree" w:hAnsi="Figtree"/>
          <w:b w:val="0"/>
          <w:i w:val="0"/>
          <w:sz w:val="22"/>
        </w:rPr>
        <w:t>Additional asset classes beyond initial scope</w:t>
      </w:r>
    </w:p>
    <w:p>
      <w:pPr>
        <w:pStyle w:val="ListParagraph"/>
        <w:numPr>
          <w:ilvl w:val="0"/>
          <w:numId w:val="4"/>
        </w:numPr>
      </w:pPr>
      <w:r>
        <w:rPr>
          <w:rFonts w:ascii="Figtree" w:hAnsi="Figtree"/>
          <w:b w:val="0"/>
          <w:i w:val="0"/>
          <w:sz w:val="22"/>
        </w:rPr>
        <w:t>Additional integrations beyond 5</w:t>
      </w:r>
    </w:p>
    <w:p>
      <w:pPr>
        <w:pStyle w:val="ListParagraph"/>
        <w:numPr>
          <w:ilvl w:val="0"/>
          <w:numId w:val="4"/>
        </w:numPr>
      </w:pPr>
      <w:r>
        <w:rPr>
          <w:rFonts w:ascii="Figtree" w:hAnsi="Figtree"/>
          <w:b w:val="0"/>
          <w:i w:val="0"/>
          <w:sz w:val="22"/>
        </w:rPr>
        <w:t>Custom compliance module development</w:t>
      </w:r>
    </w:p>
    <w:p>
      <w:pPr>
        <w:pStyle w:val="ListParagraph"/>
        <w:numPr>
          <w:ilvl w:val="0"/>
          <w:numId w:val="4"/>
        </w:numPr>
      </w:pPr>
      <w:r>
        <w:rPr>
          <w:rFonts w:ascii="Figtree" w:hAnsi="Figtree"/>
          <w:b w:val="0"/>
          <w:i w:val="0"/>
          <w:sz w:val="22"/>
        </w:rPr>
        <w:t>Additional jurisdictions</w:t>
      </w:r>
    </w:p>
    <w:p>
      <w:pPr>
        <w:pStyle w:val="ListParagraph"/>
        <w:numPr>
          <w:ilvl w:val="0"/>
          <w:numId w:val="4"/>
        </w:numPr>
      </w:pPr>
      <w:r>
        <w:rPr>
          <w:rFonts w:ascii="Figtree" w:hAnsi="Figtree"/>
          <w:b w:val="0"/>
          <w:i w:val="0"/>
          <w:sz w:val="22"/>
        </w:rPr>
        <w:t>On-site support (travel expenses)</w:t>
      </w:r>
    </w:p>
    <w:p>
      <w:pPr>
        <w:pStyle w:val="ListParagraph"/>
        <w:numPr>
          <w:ilvl w:val="0"/>
          <w:numId w:val="4"/>
        </w:numPr>
      </w:pPr>
      <w:r>
        <w:rPr>
          <w:rFonts w:ascii="Figtree" w:hAnsi="Figtree"/>
          <w:b w:val="0"/>
          <w:i w:val="0"/>
          <w:sz w:val="22"/>
        </w:rPr>
        <w:t>Training for additional users beyond programme</w:t>
      </w:r>
    </w:p>
    <w:p>
      <w:pPr>
        <w:pStyle w:val="ListParagraph"/>
        <w:numPr>
          <w:ilvl w:val="0"/>
          <w:numId w:val="4"/>
        </w:numPr>
      </w:pPr>
      <w:r>
        <w:rPr>
          <w:rFonts w:ascii="Figtree" w:hAnsi="Figtree"/>
          <w:b w:val="0"/>
          <w:i w:val="0"/>
          <w:sz w:val="22"/>
        </w:rPr>
        <w:t>Post-hypercare system optimisation</w:t>
      </w:r>
    </w:p>
    <w:p>
      <w:pPr>
        <w:pStyle w:val="ListParagraph"/>
        <w:numPr>
          <w:ilvl w:val="0"/>
          <w:numId w:val="4"/>
        </w:numPr>
      </w:pPr>
      <w:r>
        <w:rPr>
          <w:rFonts w:ascii="Figtree" w:hAnsi="Figtree"/>
          <w:b w:val="0"/>
          <w:i w:val="0"/>
          <w:sz w:val="22"/>
        </w:rPr>
        <w:t>Custom integration development</w:t>
      </w:r>
    </w:p>
    <w:p>
      <w:r>
        <w:rPr>
          <w:rFonts w:ascii="Figtree" w:hAnsi="Figtree"/>
          <w:b/>
          <w:i w:val="0"/>
          <w:sz w:val="22"/>
        </w:rPr>
        <w:t>Pricing Dependencies:</w:t>
      </w:r>
    </w:p>
    <w:p>
      <w:pPr>
        <w:pStyle w:val="ListParagraph"/>
        <w:numPr>
          <w:ilvl w:val="0"/>
          <w:numId w:val="4"/>
        </w:numPr>
      </w:pPr>
      <w:r>
        <w:rPr>
          <w:rFonts w:ascii="Figtree" w:hAnsi="Figtree"/>
          <w:b w:val="0"/>
          <w:i w:val="0"/>
          <w:sz w:val="22"/>
        </w:rPr>
        <w:t>Final pricing subject to confirmation of scope details during commercial validation</w:t>
      </w:r>
    </w:p>
    <w:p>
      <w:pPr>
        <w:pStyle w:val="ListParagraph"/>
        <w:numPr>
          <w:ilvl w:val="0"/>
          <w:numId w:val="4"/>
        </w:numPr>
      </w:pPr>
      <w:r>
        <w:rPr>
          <w:rFonts w:ascii="Figtree" w:hAnsi="Figtree"/>
          <w:b w:val="0"/>
          <w:i w:val="0"/>
          <w:sz w:val="22"/>
        </w:rPr>
        <w:t>Environment fees may vary based on cloud provider selection and instance sizing</w:t>
      </w:r>
    </w:p>
    <w:p>
      <w:pPr>
        <w:pStyle w:val="ListParagraph"/>
        <w:numPr>
          <w:ilvl w:val="0"/>
          <w:numId w:val="4"/>
        </w:numPr>
      </w:pPr>
      <w:r>
        <w:rPr>
          <w:rFonts w:ascii="Figtree" w:hAnsi="Figtree"/>
          <w:b w:val="0"/>
          <w:i w:val="0"/>
          <w:sz w:val="22"/>
        </w:rPr>
        <w:t>Support fees may vary based on selected tier and user count</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8. Value Proposition Analysis</w:t>
      </w:r>
    </w:p>
    <w:p>
      <w:pPr>
        <w:pStyle w:val="H2"/>
        <w:numPr>
          <w:ilvl w:val="1"/>
          <w:numId w:val="1"/>
        </w:numPr>
      </w:pPr>
      <w:r>
        <w:t>8.1 Total Cost of Ownership</w:t>
      </w:r>
    </w:p>
    <w:p>
      <w:r>
        <w:rPr>
          <w:rFonts w:ascii="Figtree" w:hAnsi="Figtree"/>
          <w:b w:val="0"/>
          <w:i w:val="0"/>
          <w:sz w:val="22"/>
        </w:rPr>
        <w:t>The Total Cost of Ownership (TCO) analysis compares DALP against building equivalent capability internally or acquiring a point solution. The analysis considers three years of operation following initial deployment.</w:t>
      </w:r>
    </w:p>
    <w:p>
      <w:pPr>
        <w:pStyle w:val="H3"/>
        <w:numPr>
          <w:ilvl w:val="2"/>
          <w:numId w:val="1"/>
        </w:numPr>
      </w:pPr>
      <w:r>
        <w:t>8.1.1 Build Alternative</w:t>
      </w:r>
    </w:p>
    <w:p>
      <w:r>
        <w:rPr>
          <w:rFonts w:ascii="Figtree" w:hAnsi="Figtree"/>
          <w:b w:val="0"/>
          <w:i w:val="0"/>
          <w:sz w:val="22"/>
        </w:rPr>
        <w:t>Building a comparable platform internally would require significant investment in engineering resources, security auditing, compliance development, and ongoing maintenance. Estimated costs include:</w:t>
      </w:r>
    </w:p>
    <w:p>
      <w:pPr>
        <w:pStyle w:val="ListParagraph"/>
        <w:numPr>
          <w:ilvl w:val="0"/>
          <w:numId w:val="4"/>
        </w:numPr>
      </w:pPr>
      <w:r>
        <w:rPr>
          <w:rFonts w:ascii="Figtree" w:hAnsi="Figtree"/>
          <w:b w:val="0"/>
          <w:i w:val="0"/>
          <w:sz w:val="22"/>
        </w:rPr>
        <w:t>Engineering team: 8-12 FTE for 18-24 months (development) plus ongoing maintenance</w:t>
      </w:r>
    </w:p>
    <w:p>
      <w:pPr>
        <w:pStyle w:val="ListParagraph"/>
        <w:numPr>
          <w:ilvl w:val="0"/>
          <w:numId w:val="4"/>
        </w:numPr>
      </w:pPr>
      <w:r>
        <w:rPr>
          <w:rFonts w:ascii="Figtree" w:hAnsi="Figtree"/>
          <w:b w:val="0"/>
          <w:i w:val="0"/>
          <w:sz w:val="22"/>
        </w:rPr>
        <w:t>Security audits: $300,000-500,000 per major release</w:t>
      </w:r>
    </w:p>
    <w:p>
      <w:pPr>
        <w:pStyle w:val="ListParagraph"/>
        <w:numPr>
          <w:ilvl w:val="0"/>
          <w:numId w:val="4"/>
        </w:numPr>
      </w:pPr>
      <w:r>
        <w:rPr>
          <w:rFonts w:ascii="Figtree" w:hAnsi="Figtree"/>
          <w:b w:val="0"/>
          <w:i w:val="0"/>
          <w:sz w:val="22"/>
        </w:rPr>
        <w:t>Compliance development: Custom implementation of regulatory frameworks</w:t>
      </w:r>
    </w:p>
    <w:p>
      <w:pPr>
        <w:pStyle w:val="ListParagraph"/>
        <w:numPr>
          <w:ilvl w:val="0"/>
          <w:numId w:val="4"/>
        </w:numPr>
      </w:pPr>
      <w:r>
        <w:rPr>
          <w:rFonts w:ascii="Figtree" w:hAnsi="Figtree"/>
          <w:b w:val="0"/>
          <w:i w:val="0"/>
          <w:sz w:val="22"/>
        </w:rPr>
        <w:t>Infrastructure: Cloud resources, blockchain nodes, security tooling</w:t>
      </w:r>
    </w:p>
    <w:p>
      <w:pPr>
        <w:pStyle w:val="ListParagraph"/>
        <w:numPr>
          <w:ilvl w:val="0"/>
          <w:numId w:val="4"/>
        </w:numPr>
      </w:pPr>
      <w:r>
        <w:rPr>
          <w:rFonts w:ascii="Figtree" w:hAnsi="Figtree"/>
          <w:b w:val="0"/>
          <w:i w:val="0"/>
          <w:sz w:val="22"/>
        </w:rPr>
        <w:t>Opportunity cost: Delayed time-to-market and execution risk</w:t>
      </w:r>
    </w:p>
    <w:p>
      <w:pPr>
        <w:pStyle w:val="H3"/>
        <w:numPr>
          <w:ilvl w:val="2"/>
          <w:numId w:val="1"/>
        </w:numPr>
      </w:pPr>
      <w:r>
        <w:t>8.1.2 Point Solution Alternative</w:t>
      </w:r>
    </w:p>
    <w:p>
      <w:r>
        <w:rPr>
          <w:rFonts w:ascii="Figtree" w:hAnsi="Figtree"/>
          <w:b w:val="0"/>
          <w:i w:val="0"/>
          <w:sz w:val="22"/>
        </w:rPr>
        <w:t>Acquiring point solutions for different components (tokenization, compliance, custody, settlement) creates integration complexity and ongoing coordination overhead. Total cost typically exceeds platform approaches when integration, maintenance, and coordination costs are included.</w:t>
      </w:r>
    </w:p>
    <w:p>
      <w:pPr>
        <w:pStyle w:val="H3"/>
        <w:numPr>
          <w:ilvl w:val="2"/>
          <w:numId w:val="1"/>
        </w:numPr>
      </w:pPr>
      <w:r>
        <w:t>8.1.3 DALP Advantage</w:t>
      </w:r>
    </w:p>
    <w:p>
      <w:r>
        <w:rPr>
          <w:rFonts w:ascii="Figtree" w:hAnsi="Figtree"/>
          <w:b w:val="0"/>
          <w:i w:val="0"/>
          <w:sz w:val="22"/>
        </w:rPr>
        <w:t>DALP provides a production-ready platform that reduces implementation risk, accelerates time-to-market, and provides predictable ongoing costs. The configuration-driven approach eliminates custom development, while the pre-built compliance library reduces compliance effort.</w:t>
      </w:r>
    </w:p>
    <w:p>
      <w:pPr>
        <w:pStyle w:val="H2"/>
        <w:numPr>
          <w:ilvl w:val="1"/>
          <w:numId w:val="1"/>
        </w:numPr>
      </w:pPr>
      <w:r>
        <w:t>8.2 Return on Investment</w:t>
      </w:r>
    </w:p>
    <w:p>
      <w:r>
        <w:rPr>
          <w:rFonts w:ascii="Figtree" w:hAnsi="Figtree"/>
          <w:b w:val="0"/>
          <w:i w:val="0"/>
          <w:sz w:val="22"/>
        </w:rPr>
        <w:t>Return on investment for the tokenized securities platform includes both direct financial returns and strategic value:</w:t>
      </w:r>
    </w:p>
    <w:p>
      <w:pPr>
        <w:pStyle w:val="H3"/>
        <w:numPr>
          <w:ilvl w:val="2"/>
          <w:numId w:val="1"/>
        </w:numPr>
      </w:pPr>
      <w:r>
        <w:t>Direct Financial Returns</w:t>
      </w:r>
    </w:p>
    <w:p>
      <w:pPr>
        <w:pStyle w:val="ListParagraph"/>
        <w:numPr>
          <w:ilvl w:val="0"/>
          <w:numId w:val="4"/>
        </w:numPr>
      </w:pPr>
      <w:r>
        <w:rPr>
          <w:rFonts w:ascii="Figtree" w:hAnsi="Figtree"/>
          <w:b w:val="0"/>
          <w:i w:val="0"/>
          <w:sz w:val="22"/>
        </w:rPr>
        <w:t>New revenue streams from tokenized securities trading</w:t>
      </w:r>
    </w:p>
    <w:p>
      <w:pPr>
        <w:pStyle w:val="ListParagraph"/>
        <w:numPr>
          <w:ilvl w:val="0"/>
          <w:numId w:val="4"/>
        </w:numPr>
      </w:pPr>
      <w:r>
        <w:rPr>
          <w:rFonts w:ascii="Figtree" w:hAnsi="Figtree"/>
          <w:b w:val="0"/>
          <w:i w:val="0"/>
          <w:sz w:val="22"/>
        </w:rPr>
        <w:t>Operational efficiency from automated settlement and compliance</w:t>
      </w:r>
    </w:p>
    <w:p>
      <w:pPr>
        <w:pStyle w:val="ListParagraph"/>
        <w:numPr>
          <w:ilvl w:val="0"/>
          <w:numId w:val="4"/>
        </w:numPr>
      </w:pPr>
      <w:r>
        <w:rPr>
          <w:rFonts w:ascii="Figtree" w:hAnsi="Figtree"/>
          <w:b w:val="0"/>
          <w:i w:val="0"/>
          <w:sz w:val="22"/>
        </w:rPr>
        <w:t>Reduced reconciliation costs through real-time matching</w:t>
      </w:r>
    </w:p>
    <w:p>
      <w:pPr>
        <w:pStyle w:val="ListParagraph"/>
        <w:numPr>
          <w:ilvl w:val="0"/>
          <w:numId w:val="4"/>
        </w:numPr>
      </w:pPr>
      <w:r>
        <w:rPr>
          <w:rFonts w:ascii="Figtree" w:hAnsi="Figtree"/>
          <w:b w:val="0"/>
          <w:i w:val="0"/>
          <w:sz w:val="22"/>
        </w:rPr>
        <w:t>Competitive positioning for market share</w:t>
      </w:r>
    </w:p>
    <w:p>
      <w:pPr>
        <w:pStyle w:val="H3"/>
        <w:numPr>
          <w:ilvl w:val="2"/>
          <w:numId w:val="1"/>
        </w:numPr>
      </w:pPr>
      <w:r>
        <w:t>Strategic Value</w:t>
      </w:r>
    </w:p>
    <w:p>
      <w:pPr>
        <w:pStyle w:val="ListParagraph"/>
        <w:numPr>
          <w:ilvl w:val="0"/>
          <w:numId w:val="4"/>
        </w:numPr>
      </w:pPr>
      <w:r>
        <w:rPr>
          <w:rFonts w:ascii="Figtree" w:hAnsi="Figtree"/>
          <w:b w:val="0"/>
          <w:i w:val="0"/>
          <w:sz w:val="22"/>
        </w:rPr>
        <w:t>Position as regional hub for digital asset innovation</w:t>
      </w:r>
    </w:p>
    <w:p>
      <w:pPr>
        <w:pStyle w:val="ListParagraph"/>
        <w:numPr>
          <w:ilvl w:val="0"/>
          <w:numId w:val="4"/>
        </w:numPr>
      </w:pPr>
      <w:r>
        <w:rPr>
          <w:rFonts w:ascii="Figtree" w:hAnsi="Figtree"/>
          <w:b w:val="0"/>
          <w:i w:val="0"/>
          <w:sz w:val="22"/>
        </w:rPr>
        <w:t>Enhanced investor access through fractional ownership</w:t>
      </w:r>
    </w:p>
    <w:p>
      <w:pPr>
        <w:pStyle w:val="ListParagraph"/>
        <w:numPr>
          <w:ilvl w:val="0"/>
          <w:numId w:val="4"/>
        </w:numPr>
      </w:pPr>
      <w:r>
        <w:rPr>
          <w:rFonts w:ascii="Figtree" w:hAnsi="Figtree"/>
          <w:b w:val="0"/>
          <w:i w:val="0"/>
          <w:sz w:val="22"/>
        </w:rPr>
        <w:t>Modernized infrastructure reducing technical debt</w:t>
      </w:r>
    </w:p>
    <w:p>
      <w:pPr>
        <w:pStyle w:val="ListParagraph"/>
        <w:numPr>
          <w:ilvl w:val="0"/>
          <w:numId w:val="4"/>
        </w:numPr>
      </w:pPr>
      <w:r>
        <w:rPr>
          <w:rFonts w:ascii="Figtree" w:hAnsi="Figtree"/>
          <w:b w:val="0"/>
          <w:i w:val="0"/>
          <w:sz w:val="22"/>
        </w:rPr>
        <w:t>Regulatory relationships through compliant operation</w:t>
      </w:r>
    </w:p>
    <w:p>
      <w:pPr>
        <w:pStyle w:val="H2"/>
        <w:numPr>
          <w:ilvl w:val="1"/>
          <w:numId w:val="1"/>
        </w:numPr>
      </w:pPr>
      <w:r>
        <w:t>8.3 Risk-Adjusted Value</w:t>
      </w:r>
    </w:p>
    <w:p>
      <w:r>
        <w:rPr>
          <w:rFonts w:ascii="Figtree" w:hAnsi="Figtree"/>
          <w:b w:val="0"/>
          <w:i w:val="0"/>
          <w:sz w:val="22"/>
        </w:rPr>
        <w:t>The proposal provides risk-adjusted value through:</w:t>
      </w:r>
    </w:p>
    <w:p>
      <w:pPr>
        <w:pStyle w:val="ListParagraph"/>
        <w:numPr>
          <w:ilvl w:val="0"/>
          <w:numId w:val="4"/>
        </w:numPr>
      </w:pPr>
      <w:r>
        <w:rPr>
          <w:rFonts w:ascii="Figtree" w:hAnsi="Figtree"/>
          <w:b w:val="0"/>
          <w:i w:val="0"/>
          <w:sz w:val="22"/>
        </w:rPr>
        <w:t>Production-hardened platform with proven track record</w:t>
      </w:r>
    </w:p>
    <w:p>
      <w:pPr>
        <w:pStyle w:val="ListParagraph"/>
        <w:numPr>
          <w:ilvl w:val="0"/>
          <w:numId w:val="4"/>
        </w:numPr>
      </w:pPr>
      <w:r>
        <w:rPr>
          <w:rFonts w:ascii="Figtree" w:hAnsi="Figtree"/>
          <w:b w:val="0"/>
          <w:i w:val="0"/>
          <w:sz w:val="22"/>
        </w:rPr>
        <w:t>Fixed-price implementation reducing cost overrun risk</w:t>
      </w:r>
    </w:p>
    <w:p>
      <w:pPr>
        <w:pStyle w:val="ListParagraph"/>
        <w:numPr>
          <w:ilvl w:val="0"/>
          <w:numId w:val="4"/>
        </w:numPr>
      </w:pPr>
      <w:r>
        <w:rPr>
          <w:rFonts w:ascii="Figtree" w:hAnsi="Figtree"/>
          <w:b w:val="0"/>
          <w:i w:val="0"/>
          <w:sz w:val="22"/>
        </w:rPr>
        <w:t>Phased commitment allowing progress evaluation</w:t>
      </w:r>
    </w:p>
    <w:p>
      <w:pPr>
        <w:pStyle w:val="ListParagraph"/>
        <w:numPr>
          <w:ilvl w:val="0"/>
          <w:numId w:val="4"/>
        </w:numPr>
      </w:pPr>
      <w:r>
        <w:rPr>
          <w:rFonts w:ascii="Figtree" w:hAnsi="Figtree"/>
          <w:b w:val="0"/>
          <w:i w:val="0"/>
          <w:sz w:val="22"/>
        </w:rPr>
        <w:t>Knowledge transfer enabling independent operation</w:t>
      </w:r>
    </w:p>
    <w:p>
      <w:r>
        <w:br w:type="page"/>
      </w:r>
    </w:p>
    <w:p>
      <w:pPr>
        <w:pStyle w:val="H1"/>
        <w:numPr>
          <w:ilvl w:val="0"/>
          <w:numId w:val="1"/>
        </w:numPr>
      </w:pPr>
      <w:r>
        <w:t>9. Pricing Structure</w:t>
      </w:r>
    </w:p>
    <w:p>
      <w:pPr>
        <w:pStyle w:val="H2"/>
        <w:numPr>
          <w:ilvl w:val="1"/>
          <w:numId w:val="1"/>
        </w:numPr>
      </w:pPr>
      <w:r>
        <w:t>9.1 Platform License</w:t>
      </w:r>
    </w:p>
    <w:p>
      <w:r>
        <w:rPr>
          <w:rFonts w:ascii="Figtree" w:hAnsi="Figtree"/>
          <w:b w:val="0"/>
          <w:i w:val="0"/>
          <w:sz w:val="22"/>
        </w:rPr>
        <w:t>The platform license provides access to DALP software and updates: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8"/>
        <w:gridCol w:w="2001"/>
        <w:gridCol w:w="2001"/>
        <w:gridCol w:w="20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License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w:t>
            </w:r>
          </w:p>
        </w:tc>
        <w:tc>
          <w:tcPr>
            <w:tcW w:type="dxa" w:w="2436"/>
            <w:vAlign w:val="center"/>
          </w:tcPr>
          <w:p>
            <w:pPr>
              <w:spacing w:line="276" w:lineRule="auto" w:before="0" w:after="0"/>
            </w:pPr>
            <w:r/>
            <w:r>
              <w:rPr>
                <w:rFonts w:ascii="Figtree" w:hAnsi="Figtree"/>
                <w:b w:val="0"/>
                <w:i w:val="0"/>
                <w:sz w:val="20"/>
              </w:rPr>
              <w:t>USD 450,000</w:t>
            </w:r>
          </w:p>
        </w:tc>
        <w:tc>
          <w:tcPr>
            <w:tcW w:type="dxa" w:w="2436"/>
            <w:vAlign w:val="center"/>
          </w:tcPr>
          <w:p>
            <w:pPr>
              <w:spacing w:line="276" w:lineRule="auto" w:before="0" w:after="0"/>
            </w:pPr>
            <w:r/>
            <w:r>
              <w:rPr>
                <w:rFonts w:ascii="Figtree" w:hAnsi="Figtree"/>
                <w:b w:val="0"/>
                <w:i w:val="0"/>
                <w:sz w:val="20"/>
              </w:rPr>
              <w:t>USD 450,000</w:t>
            </w:r>
          </w:p>
        </w:tc>
        <w:tc>
          <w:tcPr>
            <w:tcW w:type="dxa" w:w="2436"/>
            <w:vAlign w:val="center"/>
          </w:tcPr>
          <w:p>
            <w:pPr>
              <w:spacing w:line="276" w:lineRule="auto" w:before="0" w:after="0"/>
            </w:pPr>
            <w:r/>
            <w:r>
              <w:rPr>
                <w:rFonts w:ascii="Figtree" w:hAnsi="Figtree"/>
                <w:b w:val="0"/>
                <w:i w:val="0"/>
                <w:sz w:val="20"/>
              </w:rPr>
              <w:t>USD 450,000</w:t>
            </w:r>
          </w:p>
        </w:tc>
      </w:tr>
      <w:tr>
        <w:trPr>
          <w:trHeight w:val="425" w:hRule="atLeast"/>
        </w:trPr>
        <w:tc>
          <w:tcPr>
            <w:tcW w:type="dxa" w:w="2436"/>
            <w:vAlign w:val="center"/>
          </w:tcPr>
          <w:p>
            <w:pPr>
              <w:spacing w:line="276" w:lineRule="auto" w:before="0" w:after="0"/>
            </w:pPr>
            <w:r/>
            <w:r>
              <w:rPr>
                <w:rFonts w:ascii="Figtree" w:hAnsi="Figtree"/>
                <w:b w:val="0"/>
                <w:i w:val="0"/>
                <w:sz w:val="20"/>
              </w:rPr>
              <w:t>Maintenance and Updates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USD 450,000</w:t>
            </w:r>
          </w:p>
        </w:tc>
        <w:tc>
          <w:tcPr>
            <w:tcW w:type="dxa" w:w="2436"/>
            <w:vAlign w:val="center"/>
          </w:tcPr>
          <w:p>
            <w:pPr>
              <w:spacing w:line="276" w:lineRule="auto" w:before="0" w:after="0"/>
            </w:pPr>
            <w:r/>
            <w:r>
              <w:rPr>
                <w:rFonts w:ascii="Figtree" w:hAnsi="Figtree"/>
                <w:b/>
                <w:i w:val="0"/>
                <w:sz w:val="20"/>
              </w:rPr>
              <w:t>USD 450,000</w:t>
            </w:r>
          </w:p>
        </w:tc>
        <w:tc>
          <w:tcPr>
            <w:tcW w:type="dxa" w:w="2436"/>
            <w:vAlign w:val="center"/>
          </w:tcPr>
          <w:p>
            <w:pPr>
              <w:spacing w:line="276" w:lineRule="auto" w:before="0" w:after="0"/>
            </w:pPr>
            <w:r/>
            <w:r>
              <w:rPr>
                <w:rFonts w:ascii="Figtree" w:hAnsi="Figtree"/>
                <w:b/>
                <w:i w:val="0"/>
                <w:sz w:val="20"/>
              </w:rPr>
              <w:t>USD 450,000</w:t>
            </w:r>
          </w:p>
        </w:tc>
      </w:tr>
    </w:tbl>
    <w:p>
      <w:pPr>
        <w:spacing w:before="0" w:after="0" w:line="120" w:lineRule="exact"/>
      </w:pPr>
    </w:p>
    <w:p>
      <w:r>
        <w:rPr>
          <w:rFonts w:ascii="Figtree" w:hAnsi="Figtree"/>
          <w:b w:val="0"/>
          <w:i w:val="0"/>
          <w:sz w:val="22"/>
        </w:rPr>
        <w:t>Annual license fees are fixed for the contract term. Year 2 and Year 3 fees are subject to negotiation for multi-year agreements.</w:t>
      </w:r>
    </w:p>
    <w:p>
      <w:pPr>
        <w:pStyle w:val="H2"/>
        <w:numPr>
          <w:ilvl w:val="1"/>
          <w:numId w:val="1"/>
        </w:numPr>
      </w:pPr>
      <w:r>
        <w:t>9.2 Implementation Services</w:t>
      </w:r>
    </w:p>
    <w:p>
      <w:r>
        <w:rPr>
          <w:rFonts w:ascii="Figtree" w:hAnsi="Figtree"/>
          <w:b w:val="0"/>
          <w:i w:val="0"/>
          <w:sz w:val="22"/>
        </w:rPr>
        <w:t>Implementation services cover deployment, configuration, and go-live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26"/>
        <w:gridCol w:w="29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4873"/>
            <w:vAlign w:val="center"/>
          </w:tcPr>
          <w:p>
            <w:pPr>
              <w:spacing w:line="276" w:lineRule="auto" w:before="0" w:after="0"/>
            </w:pPr>
            <w:r/>
            <w:r>
              <w:rPr>
                <w:rFonts w:ascii="Figtree" w:hAnsi="Figtree"/>
                <w:b w:val="0"/>
                <w:i w:val="0"/>
                <w:sz w:val="20"/>
              </w:rPr>
              <w:t>Phase 1: Discovery and Requirements</w:t>
            </w:r>
          </w:p>
        </w:tc>
        <w:tc>
          <w:tcPr>
            <w:tcW w:type="dxa" w:w="4873"/>
            <w:vAlign w:val="center"/>
          </w:tcPr>
          <w:p>
            <w:pPr>
              <w:spacing w:line="276" w:lineRule="auto" w:before="0" w:after="0"/>
            </w:pPr>
            <w:r/>
            <w:r>
              <w:rPr>
                <w:rFonts w:ascii="Figtree" w:hAnsi="Figtree"/>
                <w:b w:val="0"/>
                <w:i w:val="0"/>
                <w:sz w:val="20"/>
              </w:rPr>
              <w:t>USD 85,000</w:t>
            </w:r>
          </w:p>
        </w:tc>
      </w:tr>
      <w:tr>
        <w:trPr>
          <w:trHeight w:val="425" w:hRule="atLeast"/>
        </w:trPr>
        <w:tc>
          <w:tcPr>
            <w:tcW w:type="dxa" w:w="4873"/>
            <w:vAlign w:val="center"/>
          </w:tcPr>
          <w:p>
            <w:pPr>
              <w:spacing w:line="276" w:lineRule="auto" w:before="0" w:after="0"/>
            </w:pPr>
            <w:r/>
            <w:r>
              <w:rPr>
                <w:rFonts w:ascii="Figtree" w:hAnsi="Figtree"/>
                <w:b w:val="0"/>
                <w:i w:val="0"/>
                <w:sz w:val="20"/>
              </w:rPr>
              <w:t>Phase 2: Foundation and Setup</w:t>
            </w:r>
          </w:p>
        </w:tc>
        <w:tc>
          <w:tcPr>
            <w:tcW w:type="dxa" w:w="4873"/>
            <w:vAlign w:val="center"/>
          </w:tcPr>
          <w:p>
            <w:pPr>
              <w:spacing w:line="276" w:lineRule="auto" w:before="0" w:after="0"/>
            </w:pPr>
            <w:r/>
            <w:r>
              <w:rPr>
                <w:rFonts w:ascii="Figtree" w:hAnsi="Figtree"/>
                <w:b w:val="0"/>
                <w:i w:val="0"/>
                <w:sz w:val="20"/>
              </w:rPr>
              <w:t>USD 120,000</w:t>
            </w:r>
          </w:p>
        </w:tc>
      </w:tr>
      <w:tr>
        <w:trPr>
          <w:trHeight w:val="425" w:hRule="atLeast"/>
        </w:trPr>
        <w:tc>
          <w:tcPr>
            <w:tcW w:type="dxa" w:w="4873"/>
            <w:vAlign w:val="center"/>
          </w:tcPr>
          <w:p>
            <w:pPr>
              <w:spacing w:line="276" w:lineRule="auto" w:before="0" w:after="0"/>
            </w:pPr>
            <w:r/>
            <w:r>
              <w:rPr>
                <w:rFonts w:ascii="Figtree" w:hAnsi="Figtree"/>
                <w:b w:val="0"/>
                <w:i w:val="0"/>
                <w:sz w:val="20"/>
              </w:rPr>
              <w:t>Phase 3: Configuration and Compliance</w:t>
            </w:r>
          </w:p>
        </w:tc>
        <w:tc>
          <w:tcPr>
            <w:tcW w:type="dxa" w:w="4873"/>
            <w:vAlign w:val="center"/>
          </w:tcPr>
          <w:p>
            <w:pPr>
              <w:spacing w:line="276" w:lineRule="auto" w:before="0" w:after="0"/>
            </w:pPr>
            <w:r/>
            <w:r>
              <w:rPr>
                <w:rFonts w:ascii="Figtree" w:hAnsi="Figtree"/>
                <w:b w:val="0"/>
                <w:i w:val="0"/>
                <w:sz w:val="20"/>
              </w:rPr>
              <w:t>USD 180,000</w:t>
            </w:r>
          </w:p>
        </w:tc>
      </w:tr>
      <w:tr>
        <w:trPr>
          <w:trHeight w:val="425" w:hRule="atLeast"/>
        </w:trPr>
        <w:tc>
          <w:tcPr>
            <w:tcW w:type="dxa" w:w="4873"/>
            <w:vAlign w:val="center"/>
          </w:tcPr>
          <w:p>
            <w:pPr>
              <w:spacing w:line="276" w:lineRule="auto" w:before="0" w:after="0"/>
            </w:pPr>
            <w:r/>
            <w:r>
              <w:rPr>
                <w:rFonts w:ascii="Figtree" w:hAnsi="Figtree"/>
                <w:b w:val="0"/>
                <w:i w:val="0"/>
                <w:sz w:val="20"/>
              </w:rPr>
              <w:t>Phase 4: Integration and Testing</w:t>
            </w:r>
          </w:p>
        </w:tc>
        <w:tc>
          <w:tcPr>
            <w:tcW w:type="dxa" w:w="4873"/>
            <w:vAlign w:val="center"/>
          </w:tcPr>
          <w:p>
            <w:pPr>
              <w:spacing w:line="276" w:lineRule="auto" w:before="0" w:after="0"/>
            </w:pPr>
            <w:r/>
            <w:r>
              <w:rPr>
                <w:rFonts w:ascii="Figtree" w:hAnsi="Figtree"/>
                <w:b w:val="0"/>
                <w:i w:val="0"/>
                <w:sz w:val="20"/>
              </w:rPr>
              <w:t>USD 200,000</w:t>
            </w:r>
          </w:p>
        </w:tc>
      </w:tr>
      <w:tr>
        <w:trPr>
          <w:trHeight w:val="425" w:hRule="atLeast"/>
        </w:trPr>
        <w:tc>
          <w:tcPr>
            <w:tcW w:type="dxa" w:w="4873"/>
            <w:vAlign w:val="center"/>
          </w:tcPr>
          <w:p>
            <w:pPr>
              <w:spacing w:line="276" w:lineRule="auto" w:before="0" w:after="0"/>
            </w:pPr>
            <w:r/>
            <w:r>
              <w:rPr>
                <w:rFonts w:ascii="Figtree" w:hAnsi="Figtree"/>
                <w:b w:val="0"/>
                <w:i w:val="0"/>
                <w:sz w:val="20"/>
              </w:rPr>
              <w:t>Phase 5: Go-Live and Hypercare</w:t>
            </w:r>
          </w:p>
        </w:tc>
        <w:tc>
          <w:tcPr>
            <w:tcW w:type="dxa" w:w="4873"/>
            <w:vAlign w:val="center"/>
          </w:tcPr>
          <w:p>
            <w:pPr>
              <w:spacing w:line="276" w:lineRule="auto" w:before="0" w:after="0"/>
            </w:pPr>
            <w:r/>
            <w:r>
              <w:rPr>
                <w:rFonts w:ascii="Figtree" w:hAnsi="Figtree"/>
                <w:b w:val="0"/>
                <w:i w:val="0"/>
                <w:sz w:val="20"/>
              </w:rPr>
              <w:t>USD 265,000</w:t>
            </w:r>
          </w:p>
        </w:tc>
      </w:tr>
      <w:tr>
        <w:trPr>
          <w:trHeight w:val="425" w:hRule="atLeast"/>
        </w:trPr>
        <w:tc>
          <w:tcPr>
            <w:tcW w:type="dxa" w:w="4873"/>
            <w:vAlign w:val="center"/>
          </w:tcPr>
          <w:p>
            <w:pPr>
              <w:spacing w:line="276" w:lineRule="auto" w:before="0" w:after="0"/>
            </w:pPr>
            <w:r/>
            <w:r>
              <w:rPr>
                <w:rFonts w:ascii="Figtree" w:hAnsi="Figtree"/>
                <w:b/>
                <w:i w:val="0"/>
                <w:sz w:val="20"/>
              </w:rPr>
              <w:t>Total Implementation</w:t>
            </w:r>
          </w:p>
        </w:tc>
        <w:tc>
          <w:tcPr>
            <w:tcW w:type="dxa" w:w="4873"/>
            <w:vAlign w:val="center"/>
          </w:tcPr>
          <w:p>
            <w:pPr>
              <w:spacing w:line="276" w:lineRule="auto" w:before="0" w:after="0"/>
            </w:pPr>
            <w:r/>
            <w:r>
              <w:rPr>
                <w:rFonts w:ascii="Figtree" w:hAnsi="Figtree"/>
                <w:b/>
                <w:i w:val="0"/>
                <w:sz w:val="20"/>
              </w:rPr>
              <w:t>USD 850,000</w:t>
            </w:r>
          </w:p>
        </w:tc>
      </w:tr>
    </w:tbl>
    <w:p>
      <w:pPr>
        <w:spacing w:before="0" w:after="0" w:line="120" w:lineRule="exact"/>
      </w:pPr>
    </w:p>
    <w:p>
      <w:r>
        <w:rPr>
          <w:rFonts w:ascii="Figtree" w:hAnsi="Figtree"/>
          <w:b w:val="0"/>
          <w:i w:val="0"/>
          <w:sz w:val="22"/>
        </w:rPr>
        <w:t>All implementation fees are fixed-price with defined deliverables. Additional work outside defined scope is quoted at standard daily rates.</w:t>
      </w:r>
    </w:p>
    <w:p>
      <w:pPr>
        <w:pStyle w:val="H2"/>
        <w:numPr>
          <w:ilvl w:val="1"/>
          <w:numId w:val="1"/>
        </w:numPr>
      </w:pPr>
      <w:r>
        <w:t>9.3 Support Services</w:t>
      </w:r>
    </w:p>
    <w:p>
      <w:r>
        <w:rPr>
          <w:rFonts w:ascii="Figtree" w:hAnsi="Figtree"/>
          <w:b w:val="0"/>
          <w:i w:val="0"/>
          <w:sz w:val="22"/>
        </w:rPr>
        <w:t>Support services provide ongoing operational assistance: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2036"/>
        <w:gridCol w:w="51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USD 96,000</w:t>
            </w:r>
          </w:p>
        </w:tc>
        <w:tc>
          <w:tcPr>
            <w:tcW w:type="dxa" w:w="3249"/>
            <w:vAlign w:val="center"/>
          </w:tcPr>
          <w:p>
            <w:pPr>
              <w:spacing w:line="276" w:lineRule="auto" w:before="0" w:after="0"/>
            </w:pPr>
            <w:r/>
            <w:r>
              <w:rPr>
                <w:rFonts w:ascii="Figtree" w:hAnsi="Figtree"/>
                <w:b w:val="0"/>
                <w:i w:val="0"/>
                <w:sz w:val="20"/>
              </w:rPr>
              <w:t>8x5 business hours</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USD 192,000</w:t>
            </w:r>
          </w:p>
        </w:tc>
        <w:tc>
          <w:tcPr>
            <w:tcW w:type="dxa" w:w="3249"/>
            <w:vAlign w:val="center"/>
          </w:tcPr>
          <w:p>
            <w:pPr>
              <w:spacing w:line="276" w:lineRule="auto" w:before="0" w:after="0"/>
            </w:pPr>
            <w:r/>
            <w:r>
              <w:rPr>
                <w:rFonts w:ascii="Figtree" w:hAnsi="Figtree"/>
                <w:b w:val="0"/>
                <w:i w:val="0"/>
                <w:sz w:val="20"/>
              </w:rPr>
              <w:t>12x7 extended hours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USD 300,000</w:t>
            </w:r>
          </w:p>
        </w:tc>
        <w:tc>
          <w:tcPr>
            <w:tcW w:type="dxa" w:w="3249"/>
            <w:vAlign w:val="center"/>
          </w:tcPr>
          <w:p>
            <w:pPr>
              <w:spacing w:line="276" w:lineRule="auto" w:before="0" w:after="0"/>
            </w:pPr>
            <w:r/>
            <w:r>
              <w:rPr>
                <w:rFonts w:ascii="Figtree" w:hAnsi="Figtree"/>
                <w:b w:val="0"/>
                <w:i w:val="0"/>
                <w:sz w:val="20"/>
              </w:rPr>
              <w:t>24/7 with 30-minute response</w:t>
            </w:r>
          </w:p>
        </w:tc>
      </w:tr>
    </w:tbl>
    <w:p>
      <w:pPr>
        <w:spacing w:before="0" w:after="0" w:line="120" w:lineRule="exact"/>
      </w:pPr>
    </w:p>
    <w:p>
      <w:r>
        <w:rPr>
          <w:rFonts w:ascii="Figtree" w:hAnsi="Figtree"/>
          <w:b w:val="0"/>
          <w:i w:val="0"/>
          <w:sz w:val="22"/>
        </w:rPr>
        <w:t>Support fees are annual, payable quarterly in advance. Year 1 support is included in implementation pricing.</w:t>
      </w:r>
    </w:p>
    <w:p>
      <w:pPr>
        <w:pStyle w:val="H2"/>
        <w:numPr>
          <w:ilvl w:val="1"/>
          <w:numId w:val="1"/>
        </w:numPr>
      </w:pPr>
      <w:r>
        <w:t>9.4 Summary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1927"/>
        <w:gridCol w:w="1701"/>
        <w:gridCol w:w="1701"/>
        <w:gridCol w:w="192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 Years)</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1,350,000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USD 850,000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USD 850,000</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USD 192,000</w:t>
            </w:r>
          </w:p>
        </w:tc>
        <w:tc>
          <w:tcPr>
            <w:tcW w:type="dxa" w:w="1949"/>
            <w:vAlign w:val="center"/>
          </w:tcPr>
          <w:p>
            <w:pPr>
              <w:spacing w:line="276" w:lineRule="auto" w:before="0" w:after="0"/>
            </w:pPr>
            <w:r/>
            <w:r>
              <w:rPr>
                <w:rFonts w:ascii="Figtree" w:hAnsi="Figtree"/>
                <w:b w:val="0"/>
                <w:i w:val="0"/>
                <w:sz w:val="20"/>
              </w:rPr>
              <w:t>USD 192,000</w:t>
            </w:r>
          </w:p>
        </w:tc>
        <w:tc>
          <w:tcPr>
            <w:tcW w:type="dxa" w:w="1949"/>
            <w:vAlign w:val="center"/>
          </w:tcPr>
          <w:p>
            <w:pPr>
              <w:spacing w:line="276" w:lineRule="auto" w:before="0" w:after="0"/>
            </w:pPr>
            <w:r/>
            <w:r>
              <w:rPr>
                <w:rFonts w:ascii="Figtree" w:hAnsi="Figtree"/>
                <w:b w:val="0"/>
                <w:i w:val="0"/>
                <w:sz w:val="20"/>
              </w:rPr>
              <w:t>USD 384,000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USD 1,300,000</w:t>
            </w:r>
          </w:p>
        </w:tc>
        <w:tc>
          <w:tcPr>
            <w:tcW w:type="dxa" w:w="1949"/>
            <w:vAlign w:val="center"/>
          </w:tcPr>
          <w:p>
            <w:pPr>
              <w:spacing w:line="276" w:lineRule="auto" w:before="0" w:after="0"/>
            </w:pPr>
            <w:r/>
            <w:r>
              <w:rPr>
                <w:rFonts w:ascii="Figtree" w:hAnsi="Figtree"/>
                <w:b/>
                <w:i w:val="0"/>
                <w:sz w:val="20"/>
              </w:rPr>
              <w:t>USD 642,000</w:t>
            </w:r>
          </w:p>
        </w:tc>
        <w:tc>
          <w:tcPr>
            <w:tcW w:type="dxa" w:w="1949"/>
            <w:vAlign w:val="center"/>
          </w:tcPr>
          <w:p>
            <w:pPr>
              <w:spacing w:line="276" w:lineRule="auto" w:before="0" w:after="0"/>
            </w:pPr>
            <w:r/>
            <w:r>
              <w:rPr>
                <w:rFonts w:ascii="Figtree" w:hAnsi="Figtree"/>
                <w:b/>
                <w:i w:val="0"/>
                <w:sz w:val="20"/>
              </w:rPr>
              <w:t>USD 642,000</w:t>
            </w:r>
          </w:p>
        </w:tc>
        <w:tc>
          <w:tcPr>
            <w:tcW w:type="dxa" w:w="1949"/>
            <w:vAlign w:val="center"/>
          </w:tcPr>
          <w:p>
            <w:pPr>
              <w:spacing w:line="276" w:lineRule="auto" w:before="0" w:after="0"/>
            </w:pPr>
            <w:r/>
            <w:r>
              <w:rPr>
                <w:rFonts w:ascii="Figtree" w:hAnsi="Figtree"/>
                <w:b/>
                <w:i w:val="0"/>
                <w:sz w:val="20"/>
              </w:rPr>
              <w:t>USD 2,584,000</w:t>
            </w:r>
          </w:p>
        </w:tc>
      </w:tr>
    </w:tbl>
    <w:p>
      <w:pPr>
        <w:spacing w:before="0" w:after="0" w:line="120" w:lineRule="exact"/>
      </w:pPr>
    </w:p>
    <w:p>
      <w:r>
        <w:rPr>
          <w:rFonts w:ascii="Figtree" w:hAnsi="Figtree"/>
          <w:b w:val="0"/>
          <w:i w:val="0"/>
          <w:sz w:val="22"/>
        </w:rPr>
        <w:t>Notes:</w:t>
      </w:r>
    </w:p>
    <w:p>
      <w:pPr>
        <w:pStyle w:val="ListParagraph"/>
        <w:numPr>
          <w:ilvl w:val="0"/>
          <w:numId w:val="4"/>
        </w:numPr>
      </w:pPr>
      <w:r>
        <w:rPr>
          <w:rFonts w:ascii="Figtree" w:hAnsi="Figtree"/>
          <w:b w:val="0"/>
          <w:i w:val="0"/>
          <w:sz w:val="22"/>
        </w:rPr>
        <w:t>Infrastructure costs (cloud, blockchain nodes, HSM) are billed directly by providers and are not included</w:t>
      </w:r>
    </w:p>
    <w:p>
      <w:pPr>
        <w:pStyle w:val="ListParagraph"/>
        <w:numPr>
          <w:ilvl w:val="0"/>
          <w:numId w:val="4"/>
        </w:numPr>
      </w:pPr>
      <w:r>
        <w:rPr>
          <w:rFonts w:ascii="Figtree" w:hAnsi="Figtree"/>
          <w:b w:val="0"/>
          <w:i w:val="0"/>
          <w:sz w:val="22"/>
        </w:rPr>
        <w:t>Support Year 2-3 is quoted at Premium tier; Enterprise tier pricing available on request</w:t>
      </w:r>
    </w:p>
    <w:p>
      <w:pPr>
        <w:pStyle w:val="ListParagraph"/>
        <w:numPr>
          <w:ilvl w:val="0"/>
          <w:numId w:val="4"/>
        </w:numPr>
      </w:pPr>
      <w:r>
        <w:rPr>
          <w:rFonts w:ascii="Figtree" w:hAnsi="Figtree"/>
          <w:b w:val="0"/>
          <w:i w:val="0"/>
          <w:sz w:val="22"/>
        </w:rPr>
        <w:t>Prices are exclusive of applicable taxes</w:t>
      </w:r>
    </w:p>
    <w:p>
      <w:r>
        <w:br w:type="page"/>
      </w:r>
    </w:p>
    <w:p>
      <w:pPr>
        <w:pStyle w:val="H1"/>
        <w:numPr>
          <w:ilvl w:val="0"/>
          <w:numId w:val="1"/>
        </w:numPr>
      </w:pPr>
      <w:r>
        <w:t>10. Commercial Flexibility</w:t>
      </w:r>
    </w:p>
    <w:p>
      <w:pPr>
        <w:pStyle w:val="H2"/>
        <w:numPr>
          <w:ilvl w:val="1"/>
          <w:numId w:val="1"/>
        </w:numPr>
      </w:pPr>
      <w:r>
        <w:t>10.1 Pricing Options</w:t>
      </w:r>
    </w:p>
    <w:p>
      <w:r>
        <w:rPr>
          <w:rFonts w:ascii="Figtree" w:hAnsi="Figtree"/>
          <w:b w:val="0"/>
          <w:i w:val="0"/>
          <w:sz w:val="22"/>
        </w:rPr>
        <w:t>SettleMint offers pricing flexibility to accommodate different procurement approaches:</w:t>
      </w:r>
    </w:p>
    <w:p>
      <w:pPr>
        <w:pStyle w:val="H3"/>
        <w:numPr>
          <w:ilvl w:val="2"/>
          <w:numId w:val="1"/>
        </w:numPr>
      </w:pPr>
      <w:r>
        <w:t>Multi-Year Discount</w:t>
      </w:r>
    </w:p>
    <w:p>
      <w:r>
        <w:rPr>
          <w:rFonts w:ascii="Figtree" w:hAnsi="Figtree"/>
          <w:b w:val="0"/>
          <w:i w:val="0"/>
          <w:sz w:val="22"/>
        </w:rPr>
        <w:t>Multi-year agreements receive the following discounts:</w:t>
      </w:r>
    </w:p>
    <w:p>
      <w:pPr>
        <w:pStyle w:val="ListParagraph"/>
        <w:numPr>
          <w:ilvl w:val="0"/>
          <w:numId w:val="4"/>
        </w:numPr>
      </w:pPr>
      <w:r>
        <w:rPr>
          <w:rFonts w:ascii="Figtree" w:hAnsi="Figtree"/>
          <w:b w:val="0"/>
          <w:i w:val="0"/>
          <w:sz w:val="22"/>
        </w:rPr>
        <w:t>2-year commitment: 5% discount on license fees</w:t>
      </w:r>
    </w:p>
    <w:p>
      <w:pPr>
        <w:pStyle w:val="ListParagraph"/>
        <w:numPr>
          <w:ilvl w:val="0"/>
          <w:numId w:val="4"/>
        </w:numPr>
      </w:pPr>
      <w:r>
        <w:rPr>
          <w:rFonts w:ascii="Figtree" w:hAnsi="Figtree"/>
          <w:b w:val="0"/>
          <w:i w:val="0"/>
          <w:sz w:val="22"/>
        </w:rPr>
        <w:t>3-year commitment: 10% discount on license fees</w:t>
      </w:r>
    </w:p>
    <w:p>
      <w:pPr>
        <w:pStyle w:val="ListParagraph"/>
        <w:numPr>
          <w:ilvl w:val="0"/>
          <w:numId w:val="4"/>
        </w:numPr>
      </w:pPr>
      <w:r>
        <w:rPr>
          <w:rFonts w:ascii="Figtree" w:hAnsi="Figtree"/>
          <w:b w:val="0"/>
          <w:i w:val="0"/>
          <w:sz w:val="22"/>
        </w:rPr>
        <w:t>5-year commitment: 15% discount on license fees</w:t>
      </w:r>
    </w:p>
    <w:p>
      <w:pPr>
        <w:pStyle w:val="H3"/>
        <w:numPr>
          <w:ilvl w:val="2"/>
          <w:numId w:val="1"/>
        </w:numPr>
      </w:pPr>
      <w:r>
        <w:t>Payment Terms</w:t>
      </w:r>
    </w:p>
    <w:p>
      <w:r>
        <w:rPr>
          <w:rFonts w:ascii="Figtree" w:hAnsi="Figtree"/>
          <w:b w:val="0"/>
          <w:i w:val="0"/>
          <w:sz w:val="22"/>
        </w:rPr>
        <w:t>Standard payment terms are:</w:t>
      </w:r>
    </w:p>
    <w:p>
      <w:pPr>
        <w:pStyle w:val="ListParagraph"/>
        <w:numPr>
          <w:ilvl w:val="0"/>
          <w:numId w:val="4"/>
        </w:numPr>
      </w:pPr>
      <w:r>
        <w:rPr>
          <w:rFonts w:ascii="Figtree" w:hAnsi="Figtree"/>
          <w:b w:val="0"/>
          <w:i w:val="0"/>
          <w:sz w:val="22"/>
        </w:rPr>
        <w:t>Implementation: 30% upon contract signature, 40% upon UAT completion, 30% upon go-live</w:t>
      </w:r>
    </w:p>
    <w:p>
      <w:pPr>
        <w:pStyle w:val="ListParagraph"/>
        <w:numPr>
          <w:ilvl w:val="0"/>
          <w:numId w:val="4"/>
        </w:numPr>
      </w:pPr>
      <w:r>
        <w:rPr>
          <w:rFonts w:ascii="Figtree" w:hAnsi="Figtree"/>
          <w:b w:val="0"/>
          <w:i w:val="0"/>
          <w:sz w:val="22"/>
        </w:rPr>
        <w:t>License: Annual in advance</w:t>
      </w:r>
    </w:p>
    <w:p>
      <w:pPr>
        <w:pStyle w:val="ListParagraph"/>
        <w:numPr>
          <w:ilvl w:val="0"/>
          <w:numId w:val="4"/>
        </w:numPr>
      </w:pPr>
      <w:r>
        <w:rPr>
          <w:rFonts w:ascii="Figtree" w:hAnsi="Figtree"/>
          <w:b w:val="0"/>
          <w:i w:val="0"/>
          <w:sz w:val="22"/>
        </w:rPr>
        <w:t>Support: Quarterly in advance</w:t>
      </w:r>
    </w:p>
    <w:p>
      <w:r>
        <w:rPr>
          <w:rFonts w:ascii="Figtree" w:hAnsi="Figtree"/>
          <w:b w:val="0"/>
          <w:i w:val="0"/>
          <w:sz w:val="22"/>
        </w:rPr>
        <w:t>Net 30 payment terms are available for approved credit.</w:t>
      </w:r>
    </w:p>
    <w:p>
      <w:pPr>
        <w:pStyle w:val="H3"/>
        <w:numPr>
          <w:ilvl w:val="2"/>
          <w:numId w:val="1"/>
        </w:numPr>
      </w:pPr>
      <w:r>
        <w:t>Phased Implementation</w:t>
      </w:r>
    </w:p>
    <w:p>
      <w:r>
        <w:rPr>
          <w:rFonts w:ascii="Figtree" w:hAnsi="Figtree"/>
          <w:b w:val="0"/>
          <w:i w:val="0"/>
          <w:sz w:val="22"/>
        </w:rPr>
        <w:t>Implementation can be phased to align with budget cycles:</w:t>
      </w:r>
    </w:p>
    <w:p>
      <w:pPr>
        <w:pStyle w:val="ListParagraph"/>
        <w:numPr>
          <w:ilvl w:val="0"/>
          <w:numId w:val="4"/>
        </w:numPr>
      </w:pPr>
      <w:r>
        <w:rPr>
          <w:rFonts w:ascii="Figtree" w:hAnsi="Figtree"/>
          <w:b w:val="0"/>
          <w:i w:val="0"/>
          <w:sz w:val="22"/>
        </w:rPr>
        <w:t>Phase 1-2: Initial deployment (USD 205,000)</w:t>
      </w:r>
    </w:p>
    <w:p>
      <w:pPr>
        <w:pStyle w:val="ListParagraph"/>
        <w:numPr>
          <w:ilvl w:val="0"/>
          <w:numId w:val="4"/>
        </w:numPr>
      </w:pPr>
      <w:r>
        <w:rPr>
          <w:rFonts w:ascii="Figtree" w:hAnsi="Figtree"/>
          <w:b w:val="0"/>
          <w:i w:val="0"/>
          <w:sz w:val="22"/>
        </w:rPr>
        <w:t>Phase 3-4: Configuration and integration (USD 380,000)</w:t>
      </w:r>
    </w:p>
    <w:p>
      <w:pPr>
        <w:pStyle w:val="ListParagraph"/>
        <w:numPr>
          <w:ilvl w:val="0"/>
          <w:numId w:val="4"/>
        </w:numPr>
      </w:pPr>
      <w:r>
        <w:rPr>
          <w:rFonts w:ascii="Figtree" w:hAnsi="Figtree"/>
          <w:b w:val="0"/>
          <w:i w:val="0"/>
          <w:sz w:val="22"/>
        </w:rPr>
        <w:t>Phase 5: Go-live (USD 265,000)</w:t>
      </w:r>
    </w:p>
    <w:p>
      <w:r>
        <w:rPr>
          <w:rFonts w:ascii="Figtree" w:hAnsi="Figtree"/>
          <w:b w:val="0"/>
          <w:i w:val="0"/>
          <w:sz w:val="22"/>
        </w:rPr>
        <w:t>Each phase is committed separately with progress evaluation before subsequent phase commitment.</w:t>
      </w:r>
    </w:p>
    <w:p>
      <w:pPr>
        <w:pStyle w:val="H2"/>
        <w:numPr>
          <w:ilvl w:val="1"/>
          <w:numId w:val="1"/>
        </w:numPr>
      </w:pPr>
      <w:r>
        <w:t>10.2 Scope Adjustment</w:t>
      </w:r>
    </w:p>
    <w:p>
      <w:r>
        <w:rPr>
          <w:rFonts w:ascii="Figtree" w:hAnsi="Figtree"/>
          <w:b w:val="0"/>
          <w:i w:val="0"/>
          <w:sz w:val="22"/>
        </w:rPr>
        <w:t>The proposal includes provisions for scope adjustment:</w:t>
      </w:r>
    </w:p>
    <w:p>
      <w:pPr>
        <w:pStyle w:val="H3"/>
        <w:numPr>
          <w:ilvl w:val="2"/>
          <w:numId w:val="1"/>
        </w:numPr>
      </w:pPr>
      <w:r>
        <w:t>Addition of Asset Classes</w:t>
      </w:r>
    </w:p>
    <w:p>
      <w:r>
        <w:rPr>
          <w:rFonts w:ascii="Figtree" w:hAnsi="Figtree"/>
          <w:b w:val="0"/>
          <w:i w:val="0"/>
          <w:sz w:val="22"/>
        </w:rPr>
        <w:t>Additional asset classes beyond the initial scope can be added at standard rates:</w:t>
      </w:r>
    </w:p>
    <w:p>
      <w:pPr>
        <w:pStyle w:val="ListParagraph"/>
        <w:numPr>
          <w:ilvl w:val="0"/>
          <w:numId w:val="4"/>
        </w:numPr>
      </w:pPr>
      <w:r>
        <w:rPr>
          <w:rFonts w:ascii="Figtree" w:hAnsi="Figtree"/>
          <w:b w:val="0"/>
          <w:i w:val="0"/>
          <w:sz w:val="22"/>
        </w:rPr>
        <w:t>Each additional asset class: USD 75,000 implementation + USD 25,000 annual license</w:t>
      </w:r>
    </w:p>
    <w:p>
      <w:pPr>
        <w:pStyle w:val="H3"/>
        <w:numPr>
          <w:ilvl w:val="2"/>
          <w:numId w:val="1"/>
        </w:numPr>
      </w:pPr>
      <w:r>
        <w:t>Addition of Jurisdictions</w:t>
      </w:r>
    </w:p>
    <w:p>
      <w:r>
        <w:rPr>
          <w:rFonts w:ascii="Figtree" w:hAnsi="Figtree"/>
          <w:b w:val="0"/>
          <w:i w:val="0"/>
          <w:sz w:val="22"/>
        </w:rPr>
        <w:t>Additional jurisdictional compliance can be added:</w:t>
      </w:r>
    </w:p>
    <w:p>
      <w:pPr>
        <w:pStyle w:val="ListParagraph"/>
        <w:numPr>
          <w:ilvl w:val="0"/>
          <w:numId w:val="4"/>
        </w:numPr>
      </w:pPr>
      <w:r>
        <w:rPr>
          <w:rFonts w:ascii="Figtree" w:hAnsi="Figtree"/>
          <w:b w:val="0"/>
          <w:i w:val="0"/>
          <w:sz w:val="22"/>
        </w:rPr>
        <w:t>Each additional jurisdiction: USD 50,000 implementation + USD 15,000 annual license</w:t>
      </w:r>
    </w:p>
    <w:p>
      <w:pPr>
        <w:pStyle w:val="H3"/>
        <w:numPr>
          <w:ilvl w:val="2"/>
          <w:numId w:val="1"/>
        </w:numPr>
      </w:pPr>
      <w:r>
        <w:t>Integration Extensions</w:t>
      </w:r>
    </w:p>
    <w:p>
      <w:r>
        <w:rPr>
          <w:rFonts w:ascii="Figtree" w:hAnsi="Figtree"/>
          <w:b w:val="0"/>
          <w:i w:val="0"/>
          <w:sz w:val="22"/>
        </w:rPr>
        <w:t>Additional integration points beyond defined scope:</w:t>
      </w:r>
    </w:p>
    <w:p>
      <w:pPr>
        <w:pStyle w:val="ListParagraph"/>
        <w:numPr>
          <w:ilvl w:val="0"/>
          <w:numId w:val="4"/>
        </w:numPr>
      </w:pPr>
      <w:r>
        <w:rPr>
          <w:rFonts w:ascii="Figtree" w:hAnsi="Figtree"/>
          <w:b w:val="0"/>
          <w:i w:val="0"/>
          <w:sz w:val="22"/>
        </w:rPr>
        <w:t>Standard rate: USD 1,500 per person-day</w:t>
      </w:r>
    </w:p>
    <w:p>
      <w:pPr>
        <w:pStyle w:val="H2"/>
        <w:numPr>
          <w:ilvl w:val="1"/>
          <w:numId w:val="1"/>
        </w:numPr>
      </w:pPr>
      <w:r>
        <w:t>10.3 Value-Added Services</w:t>
      </w:r>
    </w:p>
    <w:p>
      <w:r>
        <w:rPr>
          <w:rFonts w:ascii="Figtree" w:hAnsi="Figtree"/>
          <w:b w:val="0"/>
          <w:i w:val="0"/>
          <w:sz w:val="22"/>
        </w:rPr>
        <w:t>Optional services available for additional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4873"/>
            <w:vAlign w:val="center"/>
          </w:tcPr>
          <w:p>
            <w:pPr>
              <w:spacing w:line="276" w:lineRule="auto" w:before="0" w:after="0"/>
            </w:pPr>
            <w:r/>
            <w:r>
              <w:rPr>
                <w:rFonts w:ascii="Figtree" w:hAnsi="Figtree"/>
                <w:b w:val="0"/>
                <w:i w:val="0"/>
                <w:sz w:val="20"/>
              </w:rPr>
              <w:t>Extended UAT support</w:t>
            </w:r>
          </w:p>
        </w:tc>
        <w:tc>
          <w:tcPr>
            <w:tcW w:type="dxa" w:w="4873"/>
            <w:vAlign w:val="center"/>
          </w:tcPr>
          <w:p>
            <w:pPr>
              <w:spacing w:line="276" w:lineRule="auto" w:before="0" w:after="0"/>
            </w:pPr>
            <w:r/>
            <w:r>
              <w:rPr>
                <w:rFonts w:ascii="Figtree" w:hAnsi="Figtree"/>
                <w:b w:val="0"/>
                <w:i w:val="0"/>
                <w:sz w:val="20"/>
              </w:rPr>
              <w:t>USD 35,000</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testing</w:t>
            </w:r>
          </w:p>
        </w:tc>
        <w:tc>
          <w:tcPr>
            <w:tcW w:type="dxa" w:w="4873"/>
            <w:vAlign w:val="center"/>
          </w:tcPr>
          <w:p>
            <w:pPr>
              <w:spacing w:line="276" w:lineRule="auto" w:before="0" w:after="0"/>
            </w:pPr>
            <w:r/>
            <w:r>
              <w:rPr>
                <w:rFonts w:ascii="Figtree" w:hAnsi="Figtree"/>
                <w:b w:val="0"/>
                <w:i w:val="0"/>
                <w:sz w:val="20"/>
              </w:rPr>
              <w:t>USD 45,000</w:t>
            </w:r>
          </w:p>
        </w:tc>
      </w:tr>
      <w:tr>
        <w:trPr>
          <w:trHeight w:val="425" w:hRule="atLeast"/>
        </w:trPr>
        <w:tc>
          <w:tcPr>
            <w:tcW w:type="dxa" w:w="4873"/>
            <w:vAlign w:val="center"/>
          </w:tcPr>
          <w:p>
            <w:pPr>
              <w:spacing w:line="276" w:lineRule="auto" w:before="0" w:after="0"/>
            </w:pPr>
            <w:r/>
            <w:r>
              <w:rPr>
                <w:rFonts w:ascii="Figtree" w:hAnsi="Figtree"/>
                <w:b w:val="0"/>
                <w:i w:val="0"/>
                <w:sz w:val="20"/>
              </w:rPr>
              <w:t>Security penetration testing</w:t>
            </w:r>
          </w:p>
        </w:tc>
        <w:tc>
          <w:tcPr>
            <w:tcW w:type="dxa" w:w="4873"/>
            <w:vAlign w:val="center"/>
          </w:tcPr>
          <w:p>
            <w:pPr>
              <w:spacing w:line="276" w:lineRule="auto" w:before="0" w:after="0"/>
            </w:pPr>
            <w:r/>
            <w:r>
              <w:rPr>
                <w:rFonts w:ascii="Figtree" w:hAnsi="Figtree"/>
                <w:b w:val="0"/>
                <w:i w:val="0"/>
                <w:sz w:val="20"/>
              </w:rPr>
              <w:t>USD 60,000</w:t>
            </w:r>
          </w:p>
        </w:tc>
      </w:tr>
      <w:tr>
        <w:trPr>
          <w:trHeight w:val="425" w:hRule="atLeast"/>
        </w:trPr>
        <w:tc>
          <w:tcPr>
            <w:tcW w:type="dxa" w:w="4873"/>
            <w:vAlign w:val="center"/>
          </w:tcPr>
          <w:p>
            <w:pPr>
              <w:spacing w:line="276" w:lineRule="auto" w:before="0" w:after="0"/>
            </w:pPr>
            <w:r/>
            <w:r>
              <w:rPr>
                <w:rFonts w:ascii="Figtree" w:hAnsi="Figtree"/>
                <w:b w:val="0"/>
                <w:i w:val="0"/>
                <w:sz w:val="20"/>
              </w:rPr>
              <w:t>Custom integration development</w:t>
            </w:r>
          </w:p>
        </w:tc>
        <w:tc>
          <w:tcPr>
            <w:tcW w:type="dxa" w:w="4873"/>
            <w:vAlign w:val="center"/>
          </w:tcPr>
          <w:p>
            <w:pPr>
              <w:spacing w:line="276" w:lineRule="auto" w:before="0" w:after="0"/>
            </w:pPr>
            <w:r/>
            <w:r>
              <w:rPr>
                <w:rFonts w:ascii="Figtree" w:hAnsi="Figtree"/>
                <w:b w:val="0"/>
                <w:i w:val="0"/>
                <w:sz w:val="20"/>
              </w:rPr>
              <w:t>Per quote</w:t>
            </w:r>
          </w:p>
        </w:tc>
      </w:tr>
      <w:tr>
        <w:trPr>
          <w:trHeight w:val="425" w:hRule="atLeast"/>
        </w:trPr>
        <w:tc>
          <w:tcPr>
            <w:tcW w:type="dxa" w:w="4873"/>
            <w:vAlign w:val="center"/>
          </w:tcPr>
          <w:p>
            <w:pPr>
              <w:spacing w:line="276" w:lineRule="auto" w:before="0" w:after="0"/>
            </w:pPr>
            <w:r/>
            <w:r>
              <w:rPr>
                <w:rFonts w:ascii="Figtree" w:hAnsi="Figtree"/>
                <w:b w:val="0"/>
                <w:i w:val="0"/>
                <w:sz w:val="20"/>
              </w:rPr>
              <w:t>On-site operational training</w:t>
            </w:r>
          </w:p>
        </w:tc>
        <w:tc>
          <w:tcPr>
            <w:tcW w:type="dxa" w:w="4873"/>
            <w:vAlign w:val="center"/>
          </w:tcPr>
          <w:p>
            <w:pPr>
              <w:spacing w:line="276" w:lineRule="auto" w:before="0" w:after="0"/>
            </w:pPr>
            <w:r/>
            <w:r>
              <w:rPr>
                <w:rFonts w:ascii="Figtree" w:hAnsi="Figtree"/>
                <w:b w:val="0"/>
                <w:i w:val="0"/>
                <w:sz w:val="20"/>
              </w:rPr>
              <w:t>USD 25,000 + expenses</w:t>
            </w:r>
          </w:p>
        </w:tc>
      </w:tr>
      <w:tr>
        <w:trPr>
          <w:trHeight w:val="425" w:hRule="atLeast"/>
        </w:trPr>
        <w:tc>
          <w:tcPr>
            <w:tcW w:type="dxa" w:w="4873"/>
            <w:vAlign w:val="center"/>
          </w:tcPr>
          <w:p>
            <w:pPr>
              <w:spacing w:line="276" w:lineRule="auto" w:before="0" w:after="0"/>
            </w:pPr>
            <w:r/>
            <w:r>
              <w:rPr>
                <w:rFonts w:ascii="Figtree" w:hAnsi="Figtree"/>
                <w:b w:val="0"/>
                <w:i w:val="0"/>
                <w:sz w:val="20"/>
              </w:rPr>
              <w:t>Regulatory advisory sessions</w:t>
            </w:r>
          </w:p>
        </w:tc>
        <w:tc>
          <w:tcPr>
            <w:tcW w:type="dxa" w:w="4873"/>
            <w:vAlign w:val="center"/>
          </w:tcPr>
          <w:p>
            <w:pPr>
              <w:spacing w:line="276" w:lineRule="auto" w:before="0" w:after="0"/>
            </w:pPr>
            <w:r/>
            <w:r>
              <w:rPr>
                <w:rFonts w:ascii="Figtree" w:hAnsi="Figtree"/>
                <w:b w:val="0"/>
                <w:i w:val="0"/>
                <w:sz w:val="20"/>
              </w:rPr>
              <w:t>USD 3,000 per day</w:t>
            </w:r>
          </w:p>
        </w:tc>
      </w:tr>
    </w:tbl>
    <w:p>
      <w:pPr>
        <w:spacing w:before="0" w:after="0" w:line="120" w:lineRule="exact"/>
      </w:pPr>
    </w:p>
    <w:p>
      <w:r>
        <w:br w:type="page"/>
      </w:r>
    </w:p>
    <w:p>
      <w:pPr>
        <w:pStyle w:val="H1"/>
        <w:numPr>
          <w:ilvl w:val="0"/>
          <w:numId w:val="1"/>
        </w:numPr>
      </w:pPr>
      <w:r>
        <w:t>11. Assurance and Commitments</w:t>
      </w:r>
    </w:p>
    <w:p>
      <w:pPr>
        <w:pStyle w:val="H2"/>
        <w:numPr>
          <w:ilvl w:val="1"/>
          <w:numId w:val="1"/>
        </w:numPr>
      </w:pPr>
      <w:r>
        <w:t>11.1 Delivery Assurance</w:t>
      </w:r>
    </w:p>
    <w:p>
      <w:r>
        <w:rPr>
          <w:rFonts w:ascii="Figtree" w:hAnsi="Figtree"/>
          <w:b w:val="0"/>
          <w:i w:val="0"/>
          <w:sz w:val="22"/>
        </w:rPr>
        <w:t>SettleMint provides the following delivery assurances:</w:t>
      </w:r>
    </w:p>
    <w:p>
      <w:pPr>
        <w:pStyle w:val="H3"/>
        <w:numPr>
          <w:ilvl w:val="2"/>
          <w:numId w:val="1"/>
        </w:numPr>
      </w:pPr>
      <w:r>
        <w:t>milestone-Based Delivery</w:t>
      </w:r>
    </w:p>
    <w:p>
      <w:r>
        <w:rPr>
          <w:rFonts w:ascii="Figtree" w:hAnsi="Figtree"/>
          <w:b w:val="0"/>
          <w:i w:val="0"/>
          <w:sz w:val="22"/>
        </w:rPr>
        <w:t>Each phase concludes with defined milestones and acceptance criteria. Payment is milestone-triggered, ensuring that progress aligns with investment.</w:t>
      </w:r>
    </w:p>
    <w:p>
      <w:pPr>
        <w:pStyle w:val="H3"/>
        <w:numPr>
          <w:ilvl w:val="2"/>
          <w:numId w:val="1"/>
        </w:numPr>
      </w:pPr>
      <w:r>
        <w:t>Fixed Timeline Commitment</w:t>
      </w:r>
    </w:p>
    <w:p>
      <w:r>
        <w:rPr>
          <w:rFonts w:ascii="Figtree" w:hAnsi="Figtree"/>
          <w:b w:val="0"/>
          <w:i w:val="0"/>
          <w:sz w:val="22"/>
        </w:rPr>
        <w:t>The 19-week implementation timeline is committed for defined scope. Delay caused by SettleMint deliverables extends the timeline at no additional cost.</w:t>
      </w:r>
    </w:p>
    <w:p>
      <w:pPr>
        <w:pStyle w:val="H3"/>
        <w:numPr>
          <w:ilvl w:val="2"/>
          <w:numId w:val="1"/>
        </w:numPr>
      </w:pPr>
      <w:r>
        <w:t>Resource Commitment</w:t>
      </w:r>
    </w:p>
    <w:p>
      <w:r>
        <w:rPr>
          <w:rFonts w:ascii="Figtree" w:hAnsi="Figtree"/>
          <w:b w:val="0"/>
          <w:i w:val="0"/>
          <w:sz w:val="22"/>
        </w:rPr>
        <w:t>Key personnel are identified in the implementation plan. Personnel changes require client approval with suitable replacements.</w:t>
      </w:r>
    </w:p>
    <w:p>
      <w:pPr>
        <w:pStyle w:val="H2"/>
        <w:numPr>
          <w:ilvl w:val="1"/>
          <w:numId w:val="1"/>
        </w:numPr>
      </w:pPr>
      <w:r>
        <w:t>11.2 Operational Assurance</w:t>
      </w:r>
    </w:p>
    <w:p>
      <w:r>
        <w:rPr>
          <w:rFonts w:ascii="Figtree" w:hAnsi="Figtree"/>
          <w:b w:val="0"/>
          <w:i w:val="0"/>
          <w:sz w:val="22"/>
        </w:rPr>
        <w:t>Operational commitments ensure ongoing service quality:</w:t>
      </w:r>
    </w:p>
    <w:p>
      <w:pPr>
        <w:pStyle w:val="H3"/>
        <w:numPr>
          <w:ilvl w:val="2"/>
          <w:numId w:val="1"/>
        </w:numPr>
      </w:pPr>
      <w:r>
        <w:t>Availability Commitment</w:t>
      </w:r>
    </w:p>
    <w:p>
      <w:r>
        <w:rPr>
          <w:rFonts w:ascii="Figtree" w:hAnsi="Figtree"/>
          <w:b w:val="0"/>
          <w:i w:val="0"/>
          <w:sz w:val="22"/>
        </w:rPr>
        <w:t>Production environment availability commitment:</w:t>
      </w:r>
    </w:p>
    <w:p>
      <w:pPr>
        <w:pStyle w:val="ListParagraph"/>
        <w:numPr>
          <w:ilvl w:val="0"/>
          <w:numId w:val="4"/>
        </w:numPr>
      </w:pPr>
      <w:r>
        <w:rPr>
          <w:rFonts w:ascii="Figtree" w:hAnsi="Figtree"/>
          <w:b w:val="0"/>
          <w:i w:val="0"/>
          <w:sz w:val="22"/>
        </w:rPr>
        <w:t>Standard tier: 99.5% availability</w:t>
      </w:r>
    </w:p>
    <w:p>
      <w:pPr>
        <w:pStyle w:val="ListParagraph"/>
        <w:numPr>
          <w:ilvl w:val="0"/>
          <w:numId w:val="4"/>
        </w:numPr>
      </w:pPr>
      <w:r>
        <w:rPr>
          <w:rFonts w:ascii="Figtree" w:hAnsi="Figtree"/>
          <w:b w:val="0"/>
          <w:i w:val="0"/>
          <w:sz w:val="22"/>
        </w:rPr>
        <w:t>Premium tier: 99.9% availability</w:t>
      </w:r>
    </w:p>
    <w:p>
      <w:pPr>
        <w:pStyle w:val="ListParagraph"/>
        <w:numPr>
          <w:ilvl w:val="0"/>
          <w:numId w:val="4"/>
        </w:numPr>
      </w:pPr>
      <w:r>
        <w:rPr>
          <w:rFonts w:ascii="Figtree" w:hAnsi="Figtree"/>
          <w:b w:val="0"/>
          <w:i w:val="0"/>
          <w:sz w:val="22"/>
        </w:rPr>
        <w:t>Enterprise tier: 99.95% availability</w:t>
      </w:r>
    </w:p>
    <w:p>
      <w:r>
        <w:rPr>
          <w:rFonts w:ascii="Figtree" w:hAnsi="Figtree"/>
          <w:b w:val="0"/>
          <w:i w:val="0"/>
          <w:sz w:val="22"/>
        </w:rPr>
        <w:t>Availability is measured monthly, excluding planned maintenance windows.</w:t>
      </w:r>
    </w:p>
    <w:p>
      <w:pPr>
        <w:pStyle w:val="H3"/>
        <w:numPr>
          <w:ilvl w:val="2"/>
          <w:numId w:val="1"/>
        </w:numPr>
      </w:pPr>
      <w:r>
        <w:t>Response Time Commitment</w:t>
      </w:r>
    </w:p>
    <w:p>
      <w:r>
        <w:rPr>
          <w:rFonts w:ascii="Figtree" w:hAnsi="Figtree"/>
          <w:b w:val="0"/>
          <w:i w:val="0"/>
          <w:sz w:val="22"/>
        </w:rPr>
        <w:t>Response time commitments by severity:</w:t>
      </w:r>
    </w:p>
    <w:p>
      <w:pPr>
        <w:pStyle w:val="ListParagraph"/>
        <w:numPr>
          <w:ilvl w:val="0"/>
          <w:numId w:val="4"/>
        </w:numPr>
      </w:pPr>
      <w:r>
        <w:rPr>
          <w:rFonts w:ascii="Figtree" w:hAnsi="Figtree"/>
          <w:b w:val="0"/>
          <w:i w:val="0"/>
          <w:sz w:val="22"/>
        </w:rPr>
        <w:t>Critical (system down): 30 minutes (Enterprise), 1 hour (Premium), 4 hours (Standard)</w:t>
      </w:r>
    </w:p>
    <w:p>
      <w:pPr>
        <w:pStyle w:val="ListParagraph"/>
        <w:numPr>
          <w:ilvl w:val="0"/>
          <w:numId w:val="4"/>
        </w:numPr>
      </w:pPr>
      <w:r>
        <w:rPr>
          <w:rFonts w:ascii="Figtree" w:hAnsi="Figtree"/>
          <w:b w:val="0"/>
          <w:i w:val="0"/>
          <w:sz w:val="22"/>
        </w:rPr>
        <w:t>High (major function impaired): 2 hours (Enterprise/Premium), 8 hours (Standard)</w:t>
      </w:r>
    </w:p>
    <w:p>
      <w:pPr>
        <w:pStyle w:val="ListParagraph"/>
        <w:numPr>
          <w:ilvl w:val="0"/>
          <w:numId w:val="4"/>
        </w:numPr>
      </w:pPr>
      <w:r>
        <w:rPr>
          <w:rFonts w:ascii="Figtree" w:hAnsi="Figtree"/>
          <w:b w:val="0"/>
          <w:i w:val="0"/>
          <w:sz w:val="22"/>
        </w:rPr>
        <w:t>Medium (minor function impaired): 4 hours (Enterprise/Premium), 24 hours (Standard)</w:t>
      </w:r>
    </w:p>
    <w:p>
      <w:pPr>
        <w:pStyle w:val="ListParagraph"/>
        <w:numPr>
          <w:ilvl w:val="0"/>
          <w:numId w:val="4"/>
        </w:numPr>
      </w:pPr>
      <w:r>
        <w:rPr>
          <w:rFonts w:ascii="Figtree" w:hAnsi="Figtree"/>
          <w:b w:val="0"/>
          <w:i w:val="0"/>
          <w:sz w:val="22"/>
        </w:rPr>
        <w:t>Low (general inquiry): 24 hours (Enterprise/Premium), 72 hours (Standard)</w:t>
      </w:r>
    </w:p>
    <w:p>
      <w:pPr>
        <w:pStyle w:val="H3"/>
        <w:numPr>
          <w:ilvl w:val="2"/>
          <w:numId w:val="1"/>
        </w:numPr>
      </w:pPr>
      <w:r>
        <w:t>Escalation Commitment</w:t>
      </w:r>
    </w:p>
    <w:p>
      <w:r>
        <w:rPr>
          <w:rFonts w:ascii="Figtree" w:hAnsi="Figtree"/>
          <w:b w:val="0"/>
          <w:i w:val="0"/>
          <w:sz w:val="22"/>
        </w:rPr>
        <w:t>Escalation paths are defined with time-bound escalation:</w:t>
      </w:r>
    </w:p>
    <w:p>
      <w:pPr>
        <w:pStyle w:val="ListParagraph"/>
        <w:numPr>
          <w:ilvl w:val="0"/>
          <w:numId w:val="4"/>
        </w:numPr>
      </w:pPr>
      <w:r>
        <w:rPr>
          <w:rFonts w:ascii="Figtree" w:hAnsi="Figtree"/>
          <w:b w:val="0"/>
          <w:i w:val="0"/>
          <w:sz w:val="22"/>
        </w:rPr>
        <w:t>Level 1: Support team - initial response</w:t>
      </w:r>
    </w:p>
    <w:p>
      <w:pPr>
        <w:pStyle w:val="ListParagraph"/>
        <w:numPr>
          <w:ilvl w:val="0"/>
          <w:numId w:val="4"/>
        </w:numPr>
      </w:pPr>
      <w:r>
        <w:rPr>
          <w:rFonts w:ascii="Figtree" w:hAnsi="Figtree"/>
          <w:b w:val="0"/>
          <w:i w:val="0"/>
          <w:sz w:val="22"/>
        </w:rPr>
        <w:t>Level 2: Support manager - 4 hours</w:t>
      </w:r>
    </w:p>
    <w:p>
      <w:pPr>
        <w:pStyle w:val="ListParagraph"/>
        <w:numPr>
          <w:ilvl w:val="0"/>
          <w:numId w:val="4"/>
        </w:numPr>
      </w:pPr>
      <w:r>
        <w:rPr>
          <w:rFonts w:ascii="Figtree" w:hAnsi="Figtree"/>
          <w:b w:val="0"/>
          <w:i w:val="0"/>
          <w:sz w:val="22"/>
        </w:rPr>
        <w:t>Level 3: Delivery director - 24 hours</w:t>
      </w:r>
    </w:p>
    <w:p>
      <w:pPr>
        <w:pStyle w:val="ListParagraph"/>
        <w:numPr>
          <w:ilvl w:val="0"/>
          <w:numId w:val="4"/>
        </w:numPr>
      </w:pPr>
      <w:r>
        <w:rPr>
          <w:rFonts w:ascii="Figtree" w:hAnsi="Figtree"/>
          <w:b w:val="0"/>
          <w:i w:val="0"/>
          <w:sz w:val="22"/>
        </w:rPr>
        <w:t>Level 4: Executive sponsor - 72 hours</w:t>
      </w:r>
    </w:p>
    <w:p>
      <w:pPr>
        <w:pStyle w:val="H2"/>
        <w:numPr>
          <w:ilvl w:val="1"/>
          <w:numId w:val="1"/>
        </w:numPr>
      </w:pPr>
      <w:r>
        <w:t>11.3 Commitment to Kingdom of Saudi Arabia</w:t>
      </w:r>
    </w:p>
    <w:p>
      <w:r>
        <w:rPr>
          <w:rFonts w:ascii="Figtree" w:hAnsi="Figtree"/>
          <w:b w:val="0"/>
          <w:i w:val="0"/>
          <w:sz w:val="22"/>
        </w:rPr>
        <w:t>SettleMint is committed to the Kingdom of Saudi Arabia market:</w:t>
      </w:r>
    </w:p>
    <w:p>
      <w:pPr>
        <w:pStyle w:val="H3"/>
        <w:numPr>
          <w:ilvl w:val="2"/>
          <w:numId w:val="1"/>
        </w:numPr>
      </w:pPr>
      <w:r>
        <w:t>Regional Presence</w:t>
      </w:r>
    </w:p>
    <w:p>
      <w:r>
        <w:rPr>
          <w:rFonts w:ascii="Figtree" w:hAnsi="Figtree"/>
          <w:b w:val="0"/>
          <w:i w:val="0"/>
          <w:sz w:val="22"/>
        </w:rPr>
        <w:t>SettleMint maintains active programmes in the Gulf region with understanding of local regulatory frameworks, market infrastructure, and business practices.</w:t>
      </w:r>
    </w:p>
    <w:p>
      <w:pPr>
        <w:pStyle w:val="H3"/>
        <w:numPr>
          <w:ilvl w:val="2"/>
          <w:numId w:val="1"/>
        </w:numPr>
      </w:pPr>
      <w:r>
        <w:t>Local Support</w:t>
      </w:r>
    </w:p>
    <w:p>
      <w:r>
        <w:rPr>
          <w:rFonts w:ascii="Figtree" w:hAnsi="Figtree"/>
          <w:b w:val="0"/>
          <w:i w:val="0"/>
          <w:sz w:val="22"/>
        </w:rPr>
        <w:t>The support model includes coverage for the Kingdom's business hours, with local language support available for critical functions.</w:t>
      </w:r>
    </w:p>
    <w:p>
      <w:pPr>
        <w:pStyle w:val="H3"/>
        <w:numPr>
          <w:ilvl w:val="2"/>
          <w:numId w:val="1"/>
        </w:numPr>
      </w:pPr>
      <w:r>
        <w:t>Data Residency</w:t>
      </w:r>
    </w:p>
    <w:p>
      <w:r>
        <w:rPr>
          <w:rFonts w:ascii="Figtree" w:hAnsi="Figtree"/>
          <w:b w:val="0"/>
          <w:i w:val="0"/>
          <w:sz w:val="22"/>
        </w:rPr>
        <w:t>All Tadawul data remains within the Kingdom of Saudi Arabia, with no cross-border transfer of operational or customer data.</w:t>
      </w:r>
    </w:p>
    <w:p>
      <w:r>
        <w:br w:type="page"/>
      </w:r>
    </w:p>
    <w:p>
      <w:pPr>
        <w:pStyle w:val="H1"/>
        <w:numPr>
          <w:ilvl w:val="0"/>
          <w:numId w:val="1"/>
        </w:numPr>
      </w:pPr>
      <w:r>
        <w:t>12. Governance and Partnership</w:t>
      </w:r>
    </w:p>
    <w:p>
      <w:pPr>
        <w:pStyle w:val="H2"/>
        <w:numPr>
          <w:ilvl w:val="1"/>
          <w:numId w:val="1"/>
        </w:numPr>
      </w:pPr>
      <w:r>
        <w:t>12.1 Governance Framework</w:t>
      </w:r>
    </w:p>
    <w:p>
      <w:r>
        <w:rPr>
          <w:rFonts w:ascii="Figtree" w:hAnsi="Figtree"/>
          <w:b w:val="0"/>
          <w:i w:val="0"/>
          <w:sz w:val="22"/>
        </w:rPr>
        <w:t>The implementation and ongoing operation follow a structured governance framework:</w:t>
      </w:r>
    </w:p>
    <w:p>
      <w:pPr>
        <w:pStyle w:val="H3"/>
        <w:numPr>
          <w:ilvl w:val="2"/>
          <w:numId w:val="1"/>
        </w:numPr>
      </w:pPr>
      <w:r>
        <w:t>Programme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0"/>
        <w:gridCol w:w="1060"/>
        <w:gridCol w:w="2120"/>
        <w:gridCol w:w="377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Steering Committee</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Executive sponsors</w:t>
            </w:r>
          </w:p>
        </w:tc>
        <w:tc>
          <w:tcPr>
            <w:tcW w:type="dxa" w:w="2436"/>
            <w:vAlign w:val="center"/>
          </w:tcPr>
          <w:p>
            <w:pPr>
              <w:spacing w:line="276" w:lineRule="auto" w:before="0" w:after="0"/>
            </w:pPr>
            <w:r/>
            <w:r>
              <w:rPr>
                <w:rFonts w:ascii="Figtree" w:hAnsi="Figtree"/>
                <w:b w:val="0"/>
                <w:i w:val="0"/>
                <w:sz w:val="20"/>
              </w:rPr>
              <w:t>Strategic direction, escalation</w:t>
            </w:r>
          </w:p>
        </w:tc>
      </w:tr>
      <w:tr>
        <w:trPr>
          <w:trHeight w:val="425" w:hRule="atLeast"/>
        </w:trPr>
        <w:tc>
          <w:tcPr>
            <w:tcW w:type="dxa" w:w="2436"/>
            <w:vAlign w:val="center"/>
          </w:tcPr>
          <w:p>
            <w:pPr>
              <w:spacing w:line="276" w:lineRule="auto" w:before="0" w:after="0"/>
            </w:pPr>
            <w:r/>
            <w:r>
              <w:rPr>
                <w:rFonts w:ascii="Figtree" w:hAnsi="Figtree"/>
                <w:b w:val="0"/>
                <w:i w:val="0"/>
                <w:sz w:val="20"/>
              </w:rPr>
              <w:t>Programme Board</w:t>
            </w:r>
          </w:p>
        </w:tc>
        <w:tc>
          <w:tcPr>
            <w:tcW w:type="dxa" w:w="2436"/>
            <w:vAlign w:val="center"/>
          </w:tcPr>
          <w:p>
            <w:pPr>
              <w:spacing w:line="276" w:lineRule="auto" w:before="0" w:after="0"/>
            </w:pPr>
            <w:r/>
            <w:r>
              <w:rPr>
                <w:rFonts w:ascii="Figtree" w:hAnsi="Figtree"/>
                <w:b w:val="0"/>
                <w:i w:val="0"/>
                <w:sz w:val="20"/>
              </w:rPr>
              <w:t>Bi-weekly</w:t>
            </w:r>
          </w:p>
        </w:tc>
        <w:tc>
          <w:tcPr>
            <w:tcW w:type="dxa" w:w="2436"/>
            <w:vAlign w:val="center"/>
          </w:tcPr>
          <w:p>
            <w:pPr>
              <w:spacing w:line="276" w:lineRule="auto" w:before="0" w:after="0"/>
            </w:pPr>
            <w:r/>
            <w:r>
              <w:rPr>
                <w:rFonts w:ascii="Figtree" w:hAnsi="Figtree"/>
                <w:b w:val="0"/>
                <w:i w:val="0"/>
                <w:sz w:val="20"/>
              </w:rPr>
              <w:t>Project directors</w:t>
            </w:r>
          </w:p>
        </w:tc>
        <w:tc>
          <w:tcPr>
            <w:tcW w:type="dxa" w:w="2436"/>
            <w:vAlign w:val="center"/>
          </w:tcPr>
          <w:p>
            <w:pPr>
              <w:spacing w:line="276" w:lineRule="auto" w:before="0" w:after="0"/>
            </w:pPr>
            <w:r/>
            <w:r>
              <w:rPr>
                <w:rFonts w:ascii="Figtree" w:hAnsi="Figtree"/>
                <w:b w:val="0"/>
                <w:i w:val="0"/>
                <w:sz w:val="20"/>
              </w:rPr>
              <w:t>Progress review, decision-making</w:t>
            </w:r>
          </w:p>
        </w:tc>
      </w:tr>
      <w:tr>
        <w:trPr>
          <w:trHeight w:val="425" w:hRule="atLeast"/>
        </w:trPr>
        <w:tc>
          <w:tcPr>
            <w:tcW w:type="dxa" w:w="2436"/>
            <w:vAlign w:val="center"/>
          </w:tcPr>
          <w:p>
            <w:pPr>
              <w:spacing w:line="276" w:lineRule="auto" w:before="0" w:after="0"/>
            </w:pPr>
            <w:r/>
            <w:r>
              <w:rPr>
                <w:rFonts w:ascii="Figtree" w:hAnsi="Figtree"/>
                <w:b w:val="0"/>
                <w:i w:val="0"/>
                <w:sz w:val="20"/>
              </w:rPr>
              <w:t>Working Sessions</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Project teams</w:t>
            </w:r>
          </w:p>
        </w:tc>
        <w:tc>
          <w:tcPr>
            <w:tcW w:type="dxa" w:w="2436"/>
            <w:vAlign w:val="center"/>
          </w:tcPr>
          <w:p>
            <w:pPr>
              <w:spacing w:line="276" w:lineRule="auto" w:before="0" w:after="0"/>
            </w:pPr>
            <w:r/>
            <w:r>
              <w:rPr>
                <w:rFonts w:ascii="Figtree" w:hAnsi="Figtree"/>
                <w:b w:val="0"/>
                <w:i w:val="0"/>
                <w:sz w:val="20"/>
              </w:rPr>
              <w:t>Day-to-day coordination</w:t>
            </w:r>
          </w:p>
        </w:tc>
      </w:tr>
    </w:tbl>
    <w:p>
      <w:pPr>
        <w:spacing w:before="0" w:after="0" w:line="120" w:lineRule="exact"/>
      </w:pPr>
    </w:p>
    <w:p>
      <w:pPr>
        <w:pStyle w:val="H3"/>
        <w:numPr>
          <w:ilvl w:val="2"/>
          <w:numId w:val="1"/>
        </w:numPr>
      </w:pPr>
      <w:r>
        <w:t>Operational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6"/>
        <w:gridCol w:w="1074"/>
        <w:gridCol w:w="2268"/>
        <w:gridCol w:w="32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Service Review</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Operations leads</w:t>
            </w:r>
          </w:p>
        </w:tc>
        <w:tc>
          <w:tcPr>
            <w:tcW w:type="dxa" w:w="2436"/>
            <w:vAlign w:val="center"/>
          </w:tcPr>
          <w:p>
            <w:pPr>
              <w:spacing w:line="276" w:lineRule="auto" w:before="0" w:after="0"/>
            </w:pPr>
            <w:r/>
            <w:r>
              <w:rPr>
                <w:rFonts w:ascii="Figtree" w:hAnsi="Figtree"/>
                <w:b w:val="0"/>
                <w:i w:val="0"/>
                <w:sz w:val="20"/>
              </w:rPr>
              <w:t>SLA review, incident review</w:t>
            </w:r>
          </w:p>
        </w:tc>
      </w:tr>
      <w:tr>
        <w:trPr>
          <w:trHeight w:val="425" w:hRule="atLeast"/>
        </w:trPr>
        <w:tc>
          <w:tcPr>
            <w:tcW w:type="dxa" w:w="2436"/>
            <w:vAlign w:val="center"/>
          </w:tcPr>
          <w:p>
            <w:pPr>
              <w:spacing w:line="276" w:lineRule="auto" w:before="0" w:after="0"/>
            </w:pPr>
            <w:r/>
            <w:r>
              <w:rPr>
                <w:rFonts w:ascii="Figtree" w:hAnsi="Figtree"/>
                <w:b w:val="0"/>
                <w:i w:val="0"/>
                <w:sz w:val="20"/>
              </w:rPr>
              <w:t>Change Advisory Board</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Technical leads</w:t>
            </w:r>
          </w:p>
        </w:tc>
        <w:tc>
          <w:tcPr>
            <w:tcW w:type="dxa" w:w="2436"/>
            <w:vAlign w:val="center"/>
          </w:tcPr>
          <w:p>
            <w:pPr>
              <w:spacing w:line="276" w:lineRule="auto" w:before="0" w:after="0"/>
            </w:pPr>
            <w:r/>
            <w:r>
              <w:rPr>
                <w:rFonts w:ascii="Figtree" w:hAnsi="Figtree"/>
                <w:b w:val="0"/>
                <w:i w:val="0"/>
                <w:sz w:val="20"/>
              </w:rPr>
              <w:t>Change approval</w:t>
            </w:r>
          </w:p>
        </w:tc>
      </w:tr>
      <w:tr>
        <w:trPr>
          <w:trHeight w:val="425" w:hRule="atLeast"/>
        </w:trPr>
        <w:tc>
          <w:tcPr>
            <w:tcW w:type="dxa" w:w="2436"/>
            <w:vAlign w:val="center"/>
          </w:tcPr>
          <w:p>
            <w:pPr>
              <w:spacing w:line="276" w:lineRule="auto" w:before="0" w:after="0"/>
            </w:pPr>
            <w:r/>
            <w:r>
              <w:rPr>
                <w:rFonts w:ascii="Figtree" w:hAnsi="Figtree"/>
                <w:b w:val="0"/>
                <w:i w:val="0"/>
                <w:sz w:val="20"/>
              </w:rPr>
              <w:t>Risk Review</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Risk and compliance</w:t>
            </w:r>
          </w:p>
        </w:tc>
        <w:tc>
          <w:tcPr>
            <w:tcW w:type="dxa" w:w="2436"/>
            <w:vAlign w:val="center"/>
          </w:tcPr>
          <w:p>
            <w:pPr>
              <w:spacing w:line="276" w:lineRule="auto" w:before="0" w:after="0"/>
            </w:pPr>
            <w:r/>
            <w:r>
              <w:rPr>
                <w:rFonts w:ascii="Figtree" w:hAnsi="Figtree"/>
                <w:b w:val="0"/>
                <w:i w:val="0"/>
                <w:sz w:val="20"/>
              </w:rPr>
              <w:t>Risk assessment</w:t>
            </w:r>
          </w:p>
        </w:tc>
      </w:tr>
    </w:tbl>
    <w:p>
      <w:pPr>
        <w:spacing w:before="0" w:after="0" w:line="120" w:lineRule="exact"/>
      </w:pPr>
    </w:p>
    <w:p>
      <w:pPr>
        <w:pStyle w:val="H2"/>
        <w:numPr>
          <w:ilvl w:val="1"/>
          <w:numId w:val="1"/>
        </w:numPr>
      </w:pPr>
      <w:r>
        <w:t>12.2 Relationship Model</w:t>
      </w:r>
    </w:p>
    <w:p>
      <w:r>
        <w:rPr>
          <w:rFonts w:ascii="Figtree" w:hAnsi="Figtree"/>
          <w:b w:val="0"/>
          <w:i w:val="0"/>
          <w:sz w:val="22"/>
        </w:rPr>
        <w:t>SettleMint operates as a strategic partner rather than a vendor:</w:t>
      </w:r>
    </w:p>
    <w:p>
      <w:pPr>
        <w:pStyle w:val="H3"/>
        <w:numPr>
          <w:ilvl w:val="2"/>
          <w:numId w:val="1"/>
        </w:numPr>
      </w:pPr>
      <w:r>
        <w:t>Partnership Principles</w:t>
      </w:r>
    </w:p>
    <w:p>
      <w:pPr>
        <w:pStyle w:val="ListParagraph"/>
        <w:numPr>
          <w:ilvl w:val="0"/>
          <w:numId w:val="4"/>
        </w:numPr>
      </w:pPr>
      <w:r>
        <w:rPr>
          <w:rFonts w:ascii="Figtree" w:hAnsi="Figtree"/>
          <w:b w:val="0"/>
          <w:i w:val="0"/>
          <w:sz w:val="22"/>
        </w:rPr>
        <w:t>Transparent communication on challenges and risks</w:t>
      </w:r>
    </w:p>
    <w:p>
      <w:pPr>
        <w:pStyle w:val="ListParagraph"/>
        <w:numPr>
          <w:ilvl w:val="0"/>
          <w:numId w:val="4"/>
        </w:numPr>
      </w:pPr>
      <w:r>
        <w:rPr>
          <w:rFonts w:ascii="Figtree" w:hAnsi="Figtree"/>
          <w:b w:val="0"/>
          <w:i w:val="0"/>
          <w:sz w:val="22"/>
        </w:rPr>
        <w:t>Proactive identification of optimization opportunities</w:t>
      </w:r>
    </w:p>
    <w:p>
      <w:pPr>
        <w:pStyle w:val="ListParagraph"/>
        <w:numPr>
          <w:ilvl w:val="0"/>
          <w:numId w:val="4"/>
        </w:numPr>
      </w:pPr>
      <w:r>
        <w:rPr>
          <w:rFonts w:ascii="Figtree" w:hAnsi="Figtree"/>
          <w:b w:val="0"/>
          <w:i w:val="0"/>
          <w:sz w:val="22"/>
        </w:rPr>
        <w:t>Knowledge transfer enabling independent operation</w:t>
      </w:r>
    </w:p>
    <w:p>
      <w:pPr>
        <w:pStyle w:val="ListParagraph"/>
        <w:numPr>
          <w:ilvl w:val="0"/>
          <w:numId w:val="4"/>
        </w:numPr>
      </w:pPr>
      <w:r>
        <w:rPr>
          <w:rFonts w:ascii="Figtree" w:hAnsi="Figtree"/>
          <w:b w:val="0"/>
          <w:i w:val="0"/>
          <w:sz w:val="22"/>
        </w:rPr>
        <w:t>Continuous improvement based on operational feedback</w:t>
      </w:r>
    </w:p>
    <w:p>
      <w:pPr>
        <w:pStyle w:val="H3"/>
        <w:numPr>
          <w:ilvl w:val="2"/>
          <w:numId w:val="1"/>
        </w:numPr>
      </w:pPr>
      <w:r>
        <w:t>Success Metrics</w:t>
      </w:r>
    </w:p>
    <w:p>
      <w:r>
        <w:rPr>
          <w:rFonts w:ascii="Figtree" w:hAnsi="Figtree"/>
          <w:b w:val="0"/>
          <w:i w:val="0"/>
          <w:sz w:val="22"/>
        </w:rPr>
        <w:t>Joint success metrics align incentives:</w:t>
      </w:r>
    </w:p>
    <w:p>
      <w:pPr>
        <w:pStyle w:val="ListParagraph"/>
        <w:numPr>
          <w:ilvl w:val="0"/>
          <w:numId w:val="4"/>
        </w:numPr>
      </w:pPr>
      <w:r>
        <w:rPr>
          <w:rFonts w:ascii="Figtree" w:hAnsi="Figtree"/>
          <w:b w:val="0"/>
          <w:i w:val="0"/>
          <w:sz w:val="22"/>
        </w:rPr>
        <w:t>On-time, within-budget delivery</w:t>
      </w:r>
    </w:p>
    <w:p>
      <w:pPr>
        <w:pStyle w:val="ListParagraph"/>
        <w:numPr>
          <w:ilvl w:val="0"/>
          <w:numId w:val="4"/>
        </w:numPr>
      </w:pPr>
      <w:r>
        <w:rPr>
          <w:rFonts w:ascii="Figtree" w:hAnsi="Figtree"/>
          <w:b w:val="0"/>
          <w:i w:val="0"/>
          <w:sz w:val="22"/>
        </w:rPr>
        <w:t>Operational stability post go-live</w:t>
      </w:r>
    </w:p>
    <w:p>
      <w:pPr>
        <w:pStyle w:val="ListParagraph"/>
        <w:numPr>
          <w:ilvl w:val="0"/>
          <w:numId w:val="4"/>
        </w:numPr>
      </w:pPr>
      <w:r>
        <w:rPr>
          <w:rFonts w:ascii="Figtree" w:hAnsi="Figtree"/>
          <w:b w:val="0"/>
          <w:i w:val="0"/>
          <w:sz w:val="22"/>
        </w:rPr>
        <w:t>User adoption and satisfaction</w:t>
      </w:r>
    </w:p>
    <w:p>
      <w:pPr>
        <w:pStyle w:val="ListParagraph"/>
        <w:numPr>
          <w:ilvl w:val="0"/>
          <w:numId w:val="4"/>
        </w:numPr>
      </w:pPr>
      <w:r>
        <w:rPr>
          <w:rFonts w:ascii="Figtree" w:hAnsi="Figtree"/>
          <w:b w:val="0"/>
          <w:i w:val="0"/>
          <w:sz w:val="22"/>
        </w:rPr>
        <w:t>Regulatory compliance</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13. Implementation Investment Details</w:t>
      </w:r>
    </w:p>
    <w:p>
      <w:pPr>
        <w:pStyle w:val="H2"/>
        <w:numPr>
          <w:ilvl w:val="1"/>
          <w:numId w:val="1"/>
        </w:numPr>
      </w:pPr>
      <w:r>
        <w:t>13.1 Investment Summary</w:t>
      </w:r>
    </w:p>
    <w:p>
      <w:r>
        <w:rPr>
          <w:rFonts w:ascii="Figtree" w:hAnsi="Figtree"/>
          <w:b w:val="0"/>
          <w:i w:val="0"/>
          <w:sz w:val="22"/>
        </w:rPr>
        <w:t>The total investment for the tokenized securities platform encompasses platform licensing, implementation services, and ongoing support. This section provides detailed breakdown of the investment components.</w:t>
      </w:r>
    </w:p>
    <w:p>
      <w:pPr>
        <w:pStyle w:val="H3"/>
        <w:numPr>
          <w:ilvl w:val="2"/>
          <w:numId w:val="1"/>
        </w:numPr>
      </w:pPr>
      <w:r>
        <w:t>13.1.1 Platform License Investment</w:t>
      </w:r>
    </w:p>
    <w:p>
      <w:r>
        <w:rPr>
          <w:rFonts w:ascii="Figtree" w:hAnsi="Figtree"/>
          <w:b w:val="0"/>
          <w:i w:val="0"/>
          <w:sz w:val="22"/>
        </w:rPr>
        <w:t>The platform license provides access to DALP software, updates, and support. License investment for the initial three-year term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2856"/>
        <w:gridCol w:w="1848"/>
        <w:gridCol w:w="28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Maintenance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Annual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USD 450,000</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USD 450,000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USD 450,000</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USD 450,000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USD 450,000</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USD 450,000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USD 1,350,000</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i w:val="0"/>
                <w:sz w:val="20"/>
              </w:rPr>
              <w:t>USD 1,350,000</w:t>
            </w:r>
          </w:p>
        </w:tc>
      </w:tr>
    </w:tbl>
    <w:p>
      <w:pPr>
        <w:spacing w:before="0" w:after="0" w:line="120" w:lineRule="exact"/>
      </w:pPr>
    </w:p>
    <w:p>
      <w:r>
        <w:rPr>
          <w:rFonts w:ascii="Figtree" w:hAnsi="Figtree"/>
          <w:b w:val="0"/>
          <w:i w:val="0"/>
          <w:sz w:val="22"/>
        </w:rPr>
        <w:t>The license fee includes access to all platform capabilities, regular updates and patches, and access to support services. The license is perpetual for the version deployed, with ongoing access requiring annual maintenance.</w:t>
      </w:r>
    </w:p>
    <w:p>
      <w:pPr>
        <w:pStyle w:val="H3"/>
        <w:numPr>
          <w:ilvl w:val="2"/>
          <w:numId w:val="1"/>
        </w:numPr>
      </w:pPr>
      <w:r>
        <w:t>13.1.2 Implementation Investment</w:t>
      </w:r>
    </w:p>
    <w:p>
      <w:r>
        <w:rPr>
          <w:rFonts w:ascii="Figtree" w:hAnsi="Figtree"/>
          <w:b w:val="0"/>
          <w:i w:val="0"/>
          <w:sz w:val="22"/>
        </w:rPr>
        <w:t>Implementation investment covers the deployment, configuration, and launch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8"/>
        <w:gridCol w:w="1491"/>
        <w:gridCol w:w="4598"/>
        <w:gridCol w:w="1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Discovery, requirements, architecture</w:t>
            </w:r>
          </w:p>
        </w:tc>
        <w:tc>
          <w:tcPr>
            <w:tcW w:type="dxa" w:w="2436"/>
            <w:vAlign w:val="center"/>
          </w:tcPr>
          <w:p>
            <w:pPr>
              <w:spacing w:line="276" w:lineRule="auto" w:before="0" w:after="0"/>
            </w:pPr>
            <w:r/>
            <w:r>
              <w:rPr>
                <w:rFonts w:ascii="Figtree" w:hAnsi="Figtree"/>
                <w:b w:val="0"/>
                <w:i w:val="0"/>
                <w:sz w:val="20"/>
              </w:rPr>
              <w:t>USD 85,000</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setup, infrastructure</w:t>
            </w:r>
          </w:p>
        </w:tc>
        <w:tc>
          <w:tcPr>
            <w:tcW w:type="dxa" w:w="2436"/>
            <w:vAlign w:val="center"/>
          </w:tcPr>
          <w:p>
            <w:pPr>
              <w:spacing w:line="276" w:lineRule="auto" w:before="0" w:after="0"/>
            </w:pPr>
            <w:r/>
            <w:r>
              <w:rPr>
                <w:rFonts w:ascii="Figtree" w:hAnsi="Figtree"/>
                <w:b w:val="0"/>
                <w:i w:val="0"/>
                <w:sz w:val="20"/>
              </w:rPr>
              <w:t>USD 120,000</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Configuration, compliance</w:t>
            </w:r>
          </w:p>
        </w:tc>
        <w:tc>
          <w:tcPr>
            <w:tcW w:type="dxa" w:w="2436"/>
            <w:vAlign w:val="center"/>
          </w:tcPr>
          <w:p>
            <w:pPr>
              <w:spacing w:line="276" w:lineRule="auto" w:before="0" w:after="0"/>
            </w:pPr>
            <w:r/>
            <w:r>
              <w:rPr>
                <w:rFonts w:ascii="Figtree" w:hAnsi="Figtree"/>
                <w:b w:val="0"/>
                <w:i w:val="0"/>
                <w:sz w:val="20"/>
              </w:rPr>
              <w:t>USD 180,000</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Integration, testing, UAT</w:t>
            </w:r>
          </w:p>
        </w:tc>
        <w:tc>
          <w:tcPr>
            <w:tcW w:type="dxa" w:w="2436"/>
            <w:vAlign w:val="center"/>
          </w:tcPr>
          <w:p>
            <w:pPr>
              <w:spacing w:line="276" w:lineRule="auto" w:before="0" w:after="0"/>
            </w:pPr>
            <w:r/>
            <w:r>
              <w:rPr>
                <w:rFonts w:ascii="Figtree" w:hAnsi="Figtree"/>
                <w:b w:val="0"/>
                <w:i w:val="0"/>
                <w:sz w:val="20"/>
              </w:rPr>
              <w:t>USD 200,000</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Go-live, hypercare</w:t>
            </w:r>
          </w:p>
        </w:tc>
        <w:tc>
          <w:tcPr>
            <w:tcW w:type="dxa" w:w="2436"/>
            <w:vAlign w:val="center"/>
          </w:tcPr>
          <w:p>
            <w:pPr>
              <w:spacing w:line="276" w:lineRule="auto" w:before="0" w:after="0"/>
            </w:pPr>
            <w:r/>
            <w:r>
              <w:rPr>
                <w:rFonts w:ascii="Figtree" w:hAnsi="Figtree"/>
                <w:b w:val="0"/>
                <w:i w:val="0"/>
                <w:sz w:val="20"/>
              </w:rPr>
              <w:t>USD 265,000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USD 850,000</w:t>
            </w:r>
          </w:p>
        </w:tc>
      </w:tr>
    </w:tbl>
    <w:p>
      <w:pPr>
        <w:spacing w:before="0" w:after="0" w:line="120" w:lineRule="exact"/>
      </w:pPr>
    </w:p>
    <w:p>
      <w:r>
        <w:rPr>
          <w:rFonts w:ascii="Figtree" w:hAnsi="Figtree"/>
          <w:b w:val="0"/>
          <w:i w:val="0"/>
          <w:sz w:val="22"/>
        </w:rPr>
        <w:t>Implementation investment is fixed-price for defined scope. Additional work is quoted at standard daily rates.</w:t>
      </w:r>
    </w:p>
    <w:p>
      <w:pPr>
        <w:pStyle w:val="H3"/>
        <w:numPr>
          <w:ilvl w:val="2"/>
          <w:numId w:val="1"/>
        </w:numPr>
      </w:pPr>
      <w:r>
        <w:t>13.1.3 Support Investment</w:t>
      </w:r>
    </w:p>
    <w:p>
      <w:r>
        <w:rPr>
          <w:rFonts w:ascii="Figtree" w:hAnsi="Figtree"/>
          <w:b w:val="0"/>
          <w:i w:val="0"/>
          <w:sz w:val="22"/>
        </w:rPr>
        <w:t>Support investment provides ongoing operational assistance: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3628"/>
        <w:gridCol w:w="34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Investment</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8x5 business hours</w:t>
            </w:r>
          </w:p>
        </w:tc>
        <w:tc>
          <w:tcPr>
            <w:tcW w:type="dxa" w:w="3249"/>
            <w:vAlign w:val="center"/>
          </w:tcPr>
          <w:p>
            <w:pPr>
              <w:spacing w:line="276" w:lineRule="auto" w:before="0" w:after="0"/>
            </w:pPr>
            <w:r/>
            <w:r>
              <w:rPr>
                <w:rFonts w:ascii="Figtree" w:hAnsi="Figtree"/>
                <w:b w:val="0"/>
                <w:i w:val="0"/>
                <w:sz w:val="20"/>
              </w:rPr>
              <w:t>USD 96,000</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12x7 extended</w:t>
            </w:r>
          </w:p>
        </w:tc>
        <w:tc>
          <w:tcPr>
            <w:tcW w:type="dxa" w:w="3249"/>
            <w:vAlign w:val="center"/>
          </w:tcPr>
          <w:p>
            <w:pPr>
              <w:spacing w:line="276" w:lineRule="auto" w:before="0" w:after="0"/>
            </w:pPr>
            <w:r/>
            <w:r>
              <w:rPr>
                <w:rFonts w:ascii="Figtree" w:hAnsi="Figtree"/>
                <w:b w:val="0"/>
                <w:i w:val="0"/>
                <w:sz w:val="20"/>
              </w:rPr>
              <w:t>USD 192,000</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24/7 critical</w:t>
            </w:r>
          </w:p>
        </w:tc>
        <w:tc>
          <w:tcPr>
            <w:tcW w:type="dxa" w:w="3249"/>
            <w:vAlign w:val="center"/>
          </w:tcPr>
          <w:p>
            <w:pPr>
              <w:spacing w:line="276" w:lineRule="auto" w:before="0" w:after="0"/>
            </w:pPr>
            <w:r/>
            <w:r>
              <w:rPr>
                <w:rFonts w:ascii="Figtree" w:hAnsi="Figtree"/>
                <w:b w:val="0"/>
                <w:i w:val="0"/>
                <w:sz w:val="20"/>
              </w:rPr>
              <w:t>USD 300,000</w:t>
            </w:r>
          </w:p>
        </w:tc>
      </w:tr>
    </w:tbl>
    <w:p>
      <w:pPr>
        <w:spacing w:before="0" w:after="0" w:line="120" w:lineRule="exact"/>
      </w:pPr>
    </w:p>
    <w:p>
      <w:r>
        <w:rPr>
          <w:rFonts w:ascii="Figtree" w:hAnsi="Figtree"/>
          <w:b w:val="0"/>
          <w:i w:val="0"/>
          <w:sz w:val="22"/>
        </w:rPr>
        <w:t>Support fees are annual, payable quarterly in advance. Year 1 support is included in implementation pricing.</w:t>
      </w:r>
    </w:p>
    <w:p>
      <w:pPr>
        <w:pStyle w:val="H2"/>
        <w:numPr>
          <w:ilvl w:val="1"/>
          <w:numId w:val="1"/>
        </w:numPr>
      </w:pPr>
      <w:r>
        <w:t>13.2 Investment Assumptions</w:t>
      </w:r>
    </w:p>
    <w:p>
      <w:r>
        <w:rPr>
          <w:rFonts w:ascii="Figtree" w:hAnsi="Figtree"/>
          <w:b w:val="0"/>
          <w:i w:val="0"/>
          <w:sz w:val="22"/>
        </w:rPr>
        <w:t>Investment estimates are based on the following assumptions:</w:t>
      </w:r>
    </w:p>
    <w:p>
      <w:r>
        <w:rPr>
          <w:rFonts w:ascii="Figtree" w:hAnsi="Figtree"/>
          <w:b/>
          <w:i w:val="0"/>
          <w:sz w:val="22"/>
        </w:rPr>
        <w:t>Scope Assumptions:</w:t>
      </w:r>
    </w:p>
    <w:p>
      <w:pPr>
        <w:pStyle w:val="ListParagraph"/>
        <w:numPr>
          <w:ilvl w:val="0"/>
          <w:numId w:val="4"/>
        </w:numPr>
      </w:pPr>
      <w:r>
        <w:rPr>
          <w:rFonts w:ascii="Figtree" w:hAnsi="Figtree"/>
          <w:b w:val="0"/>
          <w:i w:val="0"/>
          <w:sz w:val="22"/>
        </w:rPr>
        <w:t>Initial asset classes: bonds, equities, funds</w:t>
      </w:r>
    </w:p>
    <w:p>
      <w:pPr>
        <w:pStyle w:val="ListParagraph"/>
        <w:numPr>
          <w:ilvl w:val="0"/>
          <w:numId w:val="4"/>
        </w:numPr>
      </w:pPr>
      <w:r>
        <w:rPr>
          <w:rFonts w:ascii="Figtree" w:hAnsi="Figtree"/>
          <w:b w:val="0"/>
          <w:i w:val="0"/>
          <w:sz w:val="22"/>
        </w:rPr>
        <w:t>Initial jurisdiction: Kingdom of Saudi Arabia</w:t>
      </w:r>
    </w:p>
    <w:p>
      <w:pPr>
        <w:pStyle w:val="ListParagraph"/>
        <w:numPr>
          <w:ilvl w:val="0"/>
          <w:numId w:val="4"/>
        </w:numPr>
      </w:pPr>
      <w:r>
        <w:rPr>
          <w:rFonts w:ascii="Figtree" w:hAnsi="Figtree"/>
          <w:b w:val="0"/>
          <w:i w:val="0"/>
          <w:sz w:val="22"/>
        </w:rPr>
        <w:t>Number of integration points: up to 5 external systems</w:t>
      </w:r>
    </w:p>
    <w:p>
      <w:pPr>
        <w:pStyle w:val="ListParagraph"/>
        <w:numPr>
          <w:ilvl w:val="0"/>
          <w:numId w:val="4"/>
        </w:numPr>
      </w:pPr>
      <w:r>
        <w:rPr>
          <w:rFonts w:ascii="Figtree" w:hAnsi="Figtree"/>
          <w:b w:val="0"/>
          <w:i w:val="0"/>
          <w:sz w:val="22"/>
        </w:rPr>
        <w:t>User count: up to 500 internal users</w:t>
      </w:r>
    </w:p>
    <w:p>
      <w:pPr>
        <w:pStyle w:val="ListParagraph"/>
        <w:numPr>
          <w:ilvl w:val="0"/>
          <w:numId w:val="4"/>
        </w:numPr>
      </w:pPr>
      <w:r>
        <w:rPr>
          <w:rFonts w:ascii="Figtree" w:hAnsi="Figtree"/>
          <w:b w:val="0"/>
          <w:i w:val="0"/>
          <w:sz w:val="22"/>
        </w:rPr>
        <w:t>Investor capacity: up to 100,000 investor accounts</w:t>
      </w:r>
    </w:p>
    <w:p>
      <w:r>
        <w:rPr>
          <w:rFonts w:ascii="Figtree" w:hAnsi="Figtree"/>
          <w:b/>
          <w:i w:val="0"/>
          <w:sz w:val="22"/>
        </w:rPr>
        <w:t>Infrastructure Assumptions:</w:t>
      </w:r>
    </w:p>
    <w:p>
      <w:pPr>
        <w:pStyle w:val="ListParagraph"/>
        <w:numPr>
          <w:ilvl w:val="0"/>
          <w:numId w:val="4"/>
        </w:numPr>
      </w:pPr>
      <w:r>
        <w:rPr>
          <w:rFonts w:ascii="Figtree" w:hAnsi="Figtree"/>
          <w:b w:val="0"/>
          <w:i w:val="0"/>
          <w:sz w:val="22"/>
        </w:rPr>
        <w:t>Cloud provider: AWS, Azure, or GCP (region in KSA)</w:t>
      </w:r>
    </w:p>
    <w:p>
      <w:pPr>
        <w:pStyle w:val="ListParagraph"/>
        <w:numPr>
          <w:ilvl w:val="0"/>
          <w:numId w:val="4"/>
        </w:numPr>
      </w:pPr>
      <w:r>
        <w:rPr>
          <w:rFonts w:ascii="Figtree" w:hAnsi="Figtree"/>
          <w:b w:val="0"/>
          <w:i w:val="0"/>
          <w:sz w:val="22"/>
        </w:rPr>
        <w:t>Environment count: 4 (dev, test, UAT, production)</w:t>
      </w:r>
    </w:p>
    <w:p>
      <w:pPr>
        <w:pStyle w:val="ListParagraph"/>
        <w:numPr>
          <w:ilvl w:val="0"/>
          <w:numId w:val="4"/>
        </w:numPr>
      </w:pPr>
      <w:r>
        <w:rPr>
          <w:rFonts w:ascii="Figtree" w:hAnsi="Figtree"/>
          <w:b w:val="0"/>
          <w:i w:val="0"/>
          <w:sz w:val="22"/>
        </w:rPr>
        <w:t>Blockchain nodes: 4 validators + observer nodes</w:t>
      </w:r>
    </w:p>
    <w:p>
      <w:pPr>
        <w:pStyle w:val="ListParagraph"/>
        <w:numPr>
          <w:ilvl w:val="0"/>
          <w:numId w:val="4"/>
        </w:numPr>
      </w:pPr>
      <w:r>
        <w:rPr>
          <w:rFonts w:ascii="Figtree" w:hAnsi="Figtree"/>
          <w:b w:val="0"/>
          <w:i w:val="0"/>
          <w:sz w:val="22"/>
        </w:rPr>
        <w:t>Database: managed PostgreSQL service</w:t>
      </w:r>
    </w:p>
    <w:p>
      <w:r>
        <w:rPr>
          <w:rFonts w:ascii="Figtree" w:hAnsi="Figtree"/>
          <w:b/>
          <w:i w:val="0"/>
          <w:sz w:val="22"/>
        </w:rPr>
        <w:t>Resource Assumptions:</w:t>
      </w:r>
    </w:p>
    <w:p>
      <w:pPr>
        <w:pStyle w:val="ListParagraph"/>
        <w:numPr>
          <w:ilvl w:val="0"/>
          <w:numId w:val="4"/>
        </w:numPr>
      </w:pPr>
      <w:r>
        <w:rPr>
          <w:rFonts w:ascii="Figtree" w:hAnsi="Figtree"/>
          <w:b w:val="0"/>
          <w:i w:val="0"/>
          <w:sz w:val="22"/>
        </w:rPr>
        <w:t>Client project team: 4-6 dedicated resources</w:t>
      </w:r>
    </w:p>
    <w:p>
      <w:pPr>
        <w:pStyle w:val="ListParagraph"/>
        <w:numPr>
          <w:ilvl w:val="0"/>
          <w:numId w:val="4"/>
        </w:numPr>
      </w:pPr>
      <w:r>
        <w:rPr>
          <w:rFonts w:ascii="Figtree" w:hAnsi="Figtree"/>
          <w:b w:val="0"/>
          <w:i w:val="0"/>
          <w:sz w:val="22"/>
        </w:rPr>
        <w:t>Decision-making: 48-hour response for clarifications</w:t>
      </w:r>
    </w:p>
    <w:p>
      <w:pPr>
        <w:pStyle w:val="ListParagraph"/>
        <w:numPr>
          <w:ilvl w:val="0"/>
          <w:numId w:val="4"/>
        </w:numPr>
      </w:pPr>
      <w:r>
        <w:rPr>
          <w:rFonts w:ascii="Figtree" w:hAnsi="Figtree"/>
          <w:b w:val="0"/>
          <w:i w:val="0"/>
          <w:sz w:val="22"/>
        </w:rPr>
        <w:t>Access: timely provision of environments and credentials</w:t>
      </w:r>
    </w:p>
    <w:p>
      <w:pPr>
        <w:pStyle w:val="H2"/>
        <w:numPr>
          <w:ilvl w:val="1"/>
          <w:numId w:val="1"/>
        </w:numPr>
      </w:pPr>
      <w:r>
        <w:t>13.3 Investment Protection</w:t>
      </w:r>
    </w:p>
    <w:p>
      <w:r>
        <w:rPr>
          <w:rFonts w:ascii="Figtree" w:hAnsi="Figtree"/>
          <w:b w:val="0"/>
          <w:i w:val="0"/>
          <w:sz w:val="22"/>
        </w:rPr>
        <w:t>SettleMint provides protections for the investment:</w:t>
      </w:r>
    </w:p>
    <w:p>
      <w:r>
        <w:rPr>
          <w:rFonts w:ascii="Figtree" w:hAnsi="Figtree"/>
          <w:b/>
          <w:i w:val="0"/>
          <w:sz w:val="22"/>
        </w:rPr>
        <w:t>Deliverable Acceptance:</w:t>
      </w:r>
      <w:r>
        <w:rPr>
          <w:rFonts w:ascii="Figtree" w:hAnsi="Figtree"/>
          <w:b w:val="0"/>
          <w:i w:val="0"/>
          <w:sz w:val="22"/>
        </w:rPr>
        <w:t xml:space="preserve"> Each phase concludes with formal acceptance. Payment is tied to acceptance, not time elapsed.</w:t>
      </w:r>
    </w:p>
    <w:p>
      <w:r>
        <w:rPr>
          <w:rFonts w:ascii="Figtree" w:hAnsi="Figtree"/>
          <w:b/>
          <w:i w:val="0"/>
          <w:sz w:val="22"/>
        </w:rPr>
        <w:t>Fixed Timeline:</w:t>
      </w:r>
      <w:r>
        <w:rPr>
          <w:rFonts w:ascii="Figtree" w:hAnsi="Figtree"/>
          <w:b w:val="0"/>
          <w:i w:val="0"/>
          <w:sz w:val="22"/>
        </w:rPr>
        <w:t xml:space="preserve"> The 19-week timeline is committed. Delays caused by SettleMint extend the timeline at no additional cost.</w:t>
      </w:r>
    </w:p>
    <w:p>
      <w:r>
        <w:rPr>
          <w:rFonts w:ascii="Figtree" w:hAnsi="Figtree"/>
          <w:b/>
          <w:i w:val="0"/>
          <w:sz w:val="22"/>
        </w:rPr>
        <w:t>Knowledge Transfer:</w:t>
      </w:r>
      <w:r>
        <w:rPr>
          <w:rFonts w:ascii="Figtree" w:hAnsi="Figtree"/>
          <w:b w:val="0"/>
          <w:i w:val="0"/>
          <w:sz w:val="22"/>
        </w:rPr>
        <w:t xml:space="preserve"> Phase 5 includes explicit knowledge transfer to enable independent operation.</w:t>
      </w:r>
    </w:p>
    <w:p>
      <w:r>
        <w:br w:type="page"/>
      </w:r>
    </w:p>
    <w:p>
      <w:pPr>
        <w:pStyle w:val="H1"/>
        <w:numPr>
          <w:ilvl w:val="0"/>
          <w:numId w:val="1"/>
        </w:numPr>
      </w:pPr>
      <w:r>
        <w:t>14. Comparison with Alternatives</w:t>
      </w:r>
    </w:p>
    <w:p>
      <w:pPr>
        <w:pStyle w:val="H2"/>
        <w:numPr>
          <w:ilvl w:val="1"/>
          <w:numId w:val="1"/>
        </w:numPr>
      </w:pPr>
      <w:r>
        <w:t>14.1 Build vs. Buy Analysis</w:t>
      </w:r>
    </w:p>
    <w:p>
      <w:r>
        <w:rPr>
          <w:rFonts w:ascii="Figtree" w:hAnsi="Figtree"/>
          <w:b w:val="0"/>
          <w:i w:val="0"/>
          <w:sz w:val="22"/>
        </w:rPr>
        <w:t>The build versus buy analysis compares DALP against building an equivalent platform internally.</w:t>
      </w:r>
    </w:p>
    <w:p>
      <w:pPr>
        <w:pStyle w:val="H3"/>
        <w:numPr>
          <w:ilvl w:val="2"/>
          <w:numId w:val="1"/>
        </w:numPr>
      </w:pPr>
      <w:r>
        <w:t>Build Alternative Costs</w:t>
      </w:r>
    </w:p>
    <w:p>
      <w:r>
        <w:rPr>
          <w:rFonts w:ascii="Figtree" w:hAnsi="Figtree"/>
          <w:b w:val="0"/>
          <w:i w:val="0"/>
          <w:sz w:val="22"/>
        </w:rPr>
        <w:t>Building internally would require:</w:t>
      </w:r>
    </w:p>
    <w:p>
      <w:pPr>
        <w:pStyle w:val="ListParagraph"/>
        <w:numPr>
          <w:ilvl w:val="0"/>
          <w:numId w:val="4"/>
        </w:numPr>
      </w:pPr>
      <w:r>
        <w:rPr>
          <w:rFonts w:ascii="Figtree" w:hAnsi="Figtree"/>
          <w:b w:val="0"/>
          <w:i w:val="0"/>
          <w:sz w:val="22"/>
        </w:rPr>
        <w:t>Engineering team: 10 FTE for 24 months = USD 4,800,000 (salary plus overhead)</w:t>
      </w:r>
    </w:p>
    <w:p>
      <w:pPr>
        <w:pStyle w:val="ListParagraph"/>
        <w:numPr>
          <w:ilvl w:val="0"/>
          <w:numId w:val="4"/>
        </w:numPr>
      </w:pPr>
      <w:r>
        <w:rPr>
          <w:rFonts w:ascii="Figtree" w:hAnsi="Figtree"/>
          <w:b w:val="0"/>
          <w:i w:val="0"/>
          <w:sz w:val="22"/>
        </w:rPr>
        <w:t>Security audits: 3 major audits at USD 400,000 = USD 1,200,000</w:t>
      </w:r>
    </w:p>
    <w:p>
      <w:pPr>
        <w:pStyle w:val="ListParagraph"/>
        <w:numPr>
          <w:ilvl w:val="0"/>
          <w:numId w:val="4"/>
        </w:numPr>
      </w:pPr>
      <w:r>
        <w:rPr>
          <w:rFonts w:ascii="Figtree" w:hAnsi="Figtree"/>
          <w:b w:val="0"/>
          <w:i w:val="0"/>
          <w:sz w:val="22"/>
        </w:rPr>
        <w:t>Compliance development: 6 FTE for 18 months = USD 1,620,000</w:t>
      </w:r>
    </w:p>
    <w:p>
      <w:pPr>
        <w:pStyle w:val="ListParagraph"/>
        <w:numPr>
          <w:ilvl w:val="0"/>
          <w:numId w:val="4"/>
        </w:numPr>
      </w:pPr>
      <w:r>
        <w:rPr>
          <w:rFonts w:ascii="Figtree" w:hAnsi="Figtree"/>
          <w:b w:val="0"/>
          <w:i w:val="0"/>
          <w:sz w:val="22"/>
        </w:rPr>
        <w:t>Infrastructure: USD 500,000 annually = USD 1,500,000 (3 years)</w:t>
      </w:r>
    </w:p>
    <w:p>
      <w:pPr>
        <w:pStyle w:val="ListParagraph"/>
        <w:numPr>
          <w:ilvl w:val="0"/>
          <w:numId w:val="4"/>
        </w:numPr>
      </w:pPr>
      <w:r>
        <w:rPr>
          <w:rFonts w:ascii="Figtree" w:hAnsi="Figtree"/>
          <w:b w:val="0"/>
          <w:i w:val="0"/>
          <w:sz w:val="22"/>
        </w:rPr>
        <w:t>Opportunity cost: 24 months delay to market</w:t>
      </w:r>
    </w:p>
    <w:p>
      <w:r>
        <w:rPr>
          <w:rFonts w:ascii="Figtree" w:hAnsi="Figtree"/>
          <w:b/>
          <w:i w:val="0"/>
          <w:sz w:val="22"/>
        </w:rPr>
        <w:t>Estimated Build Cost: USD 9,120,000+</w:t>
      </w:r>
    </w:p>
    <w:p>
      <w:pPr>
        <w:pStyle w:val="H3"/>
        <w:numPr>
          <w:ilvl w:val="2"/>
          <w:numId w:val="1"/>
        </w:numPr>
      </w:pPr>
      <w:r>
        <w:t>DALP Advantage</w:t>
      </w:r>
    </w:p>
    <w:p>
      <w:r>
        <w:rPr>
          <w:rFonts w:ascii="Figtree" w:hAnsi="Figtree"/>
          <w:b w:val="0"/>
          <w:i w:val="0"/>
          <w:sz w:val="22"/>
        </w:rPr>
        <w:t>DALP provides equivalent capability at significantly lower cost with reduced risk:</w:t>
      </w:r>
    </w:p>
    <w:p>
      <w:pPr>
        <w:pStyle w:val="ListParagraph"/>
        <w:numPr>
          <w:ilvl w:val="0"/>
          <w:numId w:val="4"/>
        </w:numPr>
      </w:pPr>
      <w:r>
        <w:rPr>
          <w:rFonts w:ascii="Figtree" w:hAnsi="Figtree"/>
          <w:b w:val="0"/>
          <w:i w:val="0"/>
          <w:sz w:val="22"/>
        </w:rPr>
        <w:t>Proven platform eliminates development risk</w:t>
      </w:r>
    </w:p>
    <w:p>
      <w:pPr>
        <w:pStyle w:val="ListParagraph"/>
        <w:numPr>
          <w:ilvl w:val="0"/>
          <w:numId w:val="4"/>
        </w:numPr>
      </w:pPr>
      <w:r>
        <w:rPr>
          <w:rFonts w:ascii="Figtree" w:hAnsi="Figtree"/>
          <w:b w:val="0"/>
          <w:i w:val="0"/>
          <w:sz w:val="22"/>
        </w:rPr>
        <w:t>Pre-built compliance reduces compliance effort</w:t>
      </w:r>
    </w:p>
    <w:p>
      <w:pPr>
        <w:pStyle w:val="ListParagraph"/>
        <w:numPr>
          <w:ilvl w:val="0"/>
          <w:numId w:val="4"/>
        </w:numPr>
      </w:pPr>
      <w:r>
        <w:rPr>
          <w:rFonts w:ascii="Figtree" w:hAnsi="Figtree"/>
          <w:b w:val="0"/>
          <w:i w:val="0"/>
          <w:sz w:val="22"/>
        </w:rPr>
        <w:t>Faster time-to-market (19 weeks vs. 24+ months)</w:t>
      </w:r>
    </w:p>
    <w:p>
      <w:pPr>
        <w:pStyle w:val="ListParagraph"/>
        <w:numPr>
          <w:ilvl w:val="0"/>
          <w:numId w:val="4"/>
        </w:numPr>
      </w:pPr>
      <w:r>
        <w:rPr>
          <w:rFonts w:ascii="Figtree" w:hAnsi="Figtree"/>
          <w:b w:val="0"/>
          <w:i w:val="0"/>
          <w:sz w:val="22"/>
        </w:rPr>
        <w:t>Predictable costs vs. open-ended development</w:t>
      </w:r>
    </w:p>
    <w:p>
      <w:pPr>
        <w:pStyle w:val="ListParagraph"/>
        <w:numPr>
          <w:ilvl w:val="0"/>
          <w:numId w:val="4"/>
        </w:numPr>
      </w:pPr>
      <w:r>
        <w:rPr>
          <w:rFonts w:ascii="Figtree" w:hAnsi="Figtree"/>
          <w:b w:val="0"/>
          <w:i w:val="0"/>
          <w:sz w:val="22"/>
        </w:rPr>
        <w:t>Production hardening without trial-and-error</w:t>
      </w:r>
    </w:p>
    <w:p>
      <w:pPr>
        <w:pStyle w:val="H2"/>
        <w:numPr>
          <w:ilvl w:val="1"/>
          <w:numId w:val="1"/>
        </w:numPr>
      </w:pPr>
      <w:r>
        <w:t>14.2 Point Solution Comparison</w:t>
      </w:r>
    </w:p>
    <w:p>
      <w:r>
        <w:rPr>
          <w:rFonts w:ascii="Figtree" w:hAnsi="Figtree"/>
          <w:b w:val="0"/>
          <w:i w:val="0"/>
          <w:sz w:val="22"/>
        </w:rPr>
        <w:t>Acquiring point solutions creates integration complexity: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4279"/>
        <w:gridCol w:w="27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Point Solution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Cost</w:t>
            </w:r>
          </w:p>
        </w:tc>
      </w:tr>
      <w:tr>
        <w:trPr>
          <w:trHeight w:val="425" w:hRule="atLeast"/>
        </w:trPr>
        <w:tc>
          <w:tcPr>
            <w:tcW w:type="dxa" w:w="3249"/>
            <w:vAlign w:val="center"/>
          </w:tcPr>
          <w:p>
            <w:pPr>
              <w:spacing w:line="276" w:lineRule="auto" w:before="0" w:after="0"/>
            </w:pPr>
            <w:r/>
            <w:r>
              <w:rPr>
                <w:rFonts w:ascii="Figtree" w:hAnsi="Figtree"/>
                <w:b w:val="0"/>
                <w:i w:val="0"/>
                <w:sz w:val="20"/>
              </w:rPr>
              <w:t>Tokenization</w:t>
            </w:r>
          </w:p>
        </w:tc>
        <w:tc>
          <w:tcPr>
            <w:tcW w:type="dxa" w:w="3249"/>
            <w:vAlign w:val="center"/>
          </w:tcPr>
          <w:p>
            <w:pPr>
              <w:spacing w:line="276" w:lineRule="auto" w:before="0" w:after="0"/>
            </w:pPr>
            <w:r/>
            <w:r>
              <w:rPr>
                <w:rFonts w:ascii="Figtree" w:hAnsi="Figtree"/>
                <w:b w:val="0"/>
                <w:i w:val="0"/>
                <w:sz w:val="20"/>
              </w:rPr>
              <w:t>USD 200,000-400,000</w:t>
            </w:r>
          </w:p>
        </w:tc>
        <w:tc>
          <w:tcPr>
            <w:tcW w:type="dxa" w:w="3249"/>
            <w:vAlign w:val="center"/>
          </w:tcPr>
          <w:p>
            <w:pPr>
              <w:spacing w:line="276" w:lineRule="auto" w:before="0" w:after="0"/>
            </w:pPr>
            <w:r/>
            <w:r>
              <w:rPr>
                <w:rFonts w:ascii="Figtree" w:hAnsi="Figtree"/>
                <w:b w:val="0"/>
                <w:i w:val="0"/>
                <w:sz w:val="20"/>
              </w:rPr>
              <w:t>USD 150,000</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USD 150,000-300,000</w:t>
            </w:r>
          </w:p>
        </w:tc>
        <w:tc>
          <w:tcPr>
            <w:tcW w:type="dxa" w:w="3249"/>
            <w:vAlign w:val="center"/>
          </w:tcPr>
          <w:p>
            <w:pPr>
              <w:spacing w:line="276" w:lineRule="auto" w:before="0" w:after="0"/>
            </w:pPr>
            <w:r/>
            <w:r>
              <w:rPr>
                <w:rFonts w:ascii="Figtree" w:hAnsi="Figtree"/>
                <w:b w:val="0"/>
                <w:i w:val="0"/>
                <w:sz w:val="20"/>
              </w:rPr>
              <w:t>USD 100,000</w:t>
            </w:r>
          </w:p>
        </w:tc>
      </w:tr>
      <w:tr>
        <w:trPr>
          <w:trHeight w:val="425" w:hRule="atLeast"/>
        </w:trPr>
        <w:tc>
          <w:tcPr>
            <w:tcW w:type="dxa" w:w="3249"/>
            <w:vAlign w:val="center"/>
          </w:tcPr>
          <w:p>
            <w:pPr>
              <w:spacing w:line="276" w:lineRule="auto" w:before="0" w:after="0"/>
            </w:pPr>
            <w:r/>
            <w:r>
              <w:rPr>
                <w:rFonts w:ascii="Figtree" w:hAnsi="Figtree"/>
                <w:b w:val="0"/>
                <w:i w:val="0"/>
                <w:sz w:val="20"/>
              </w:rPr>
              <w:t>Custody</w:t>
            </w:r>
          </w:p>
        </w:tc>
        <w:tc>
          <w:tcPr>
            <w:tcW w:type="dxa" w:w="3249"/>
            <w:vAlign w:val="center"/>
          </w:tcPr>
          <w:p>
            <w:pPr>
              <w:spacing w:line="276" w:lineRule="auto" w:before="0" w:after="0"/>
            </w:pPr>
            <w:r/>
            <w:r>
              <w:rPr>
                <w:rFonts w:ascii="Figtree" w:hAnsi="Figtree"/>
                <w:b w:val="0"/>
                <w:i w:val="0"/>
                <w:sz w:val="20"/>
              </w:rPr>
              <w:t>USD 100,000-200,000</w:t>
            </w:r>
          </w:p>
        </w:tc>
        <w:tc>
          <w:tcPr>
            <w:tcW w:type="dxa" w:w="3249"/>
            <w:vAlign w:val="center"/>
          </w:tcPr>
          <w:p>
            <w:pPr>
              <w:spacing w:line="276" w:lineRule="auto" w:before="0" w:after="0"/>
            </w:pPr>
            <w:r/>
            <w:r>
              <w:rPr>
                <w:rFonts w:ascii="Figtree" w:hAnsi="Figtree"/>
                <w:b w:val="0"/>
                <w:i w:val="0"/>
                <w:sz w:val="20"/>
              </w:rPr>
              <w:t>USD 100,000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USD 150,000-250,000</w:t>
            </w:r>
          </w:p>
        </w:tc>
        <w:tc>
          <w:tcPr>
            <w:tcW w:type="dxa" w:w="3249"/>
            <w:vAlign w:val="center"/>
          </w:tcPr>
          <w:p>
            <w:pPr>
              <w:spacing w:line="276" w:lineRule="auto" w:before="0" w:after="0"/>
            </w:pPr>
            <w:r/>
            <w:r>
              <w:rPr>
                <w:rFonts w:ascii="Figtree" w:hAnsi="Figtree"/>
                <w:b w:val="0"/>
                <w:i w:val="0"/>
                <w:sz w:val="20"/>
              </w:rPr>
              <w:t>USD 150,000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USD 600,000-1,150,000</w:t>
            </w:r>
          </w:p>
        </w:tc>
        <w:tc>
          <w:tcPr>
            <w:tcW w:type="dxa" w:w="3249"/>
            <w:vAlign w:val="center"/>
          </w:tcPr>
          <w:p>
            <w:pPr>
              <w:spacing w:line="276" w:lineRule="auto" w:before="0" w:after="0"/>
            </w:pPr>
            <w:r/>
            <w:r>
              <w:rPr>
                <w:rFonts w:ascii="Figtree" w:hAnsi="Figtree"/>
                <w:b/>
                <w:i w:val="0"/>
                <w:sz w:val="20"/>
              </w:rPr>
              <w:t>USD 500,000</w:t>
            </w:r>
          </w:p>
        </w:tc>
      </w:tr>
    </w:tbl>
    <w:p>
      <w:pPr>
        <w:spacing w:before="0" w:after="0" w:line="120" w:lineRule="exact"/>
      </w:pPr>
    </w:p>
    <w:p>
      <w:r>
        <w:rPr>
          <w:rFonts w:ascii="Figtree" w:hAnsi="Figtree"/>
          <w:b w:val="0"/>
          <w:i w:val="0"/>
          <w:sz w:val="22"/>
        </w:rPr>
        <w:t>Total point solution approach: USD 1,100,000-1,650,000 plus ongoing coordination overhead and integration risk.</w:t>
      </w:r>
    </w:p>
    <w:p>
      <w:r>
        <w:rPr>
          <w:rFonts w:ascii="Figtree" w:hAnsi="Figtree"/>
          <w:b w:val="0"/>
          <w:i w:val="0"/>
          <w:sz w:val="22"/>
        </w:rPr>
        <w:t>DALP provides unified platform at lower total cost with reduced integration complexity.</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15. Support Services Detail</w:t>
      </w:r>
    </w:p>
    <w:p>
      <w:pPr>
        <w:pStyle w:val="H2"/>
        <w:numPr>
          <w:ilvl w:val="1"/>
          <w:numId w:val="1"/>
        </w:numPr>
      </w:pPr>
      <w:r>
        <w:t>15.1 Service Description</w:t>
      </w:r>
    </w:p>
    <w:p>
      <w:r>
        <w:rPr>
          <w:rFonts w:ascii="Figtree" w:hAnsi="Figtree"/>
          <w:b w:val="0"/>
          <w:i w:val="0"/>
          <w:sz w:val="22"/>
        </w:rPr>
        <w:t>Support services provide ongoing assistance for platform operation. Services include technical assistance, issue resolution, and access to platform updates.</w:t>
      </w:r>
    </w:p>
    <w:p>
      <w:pPr>
        <w:pStyle w:val="H3"/>
        <w:numPr>
          <w:ilvl w:val="2"/>
          <w:numId w:val="1"/>
        </w:numPr>
      </w:pPr>
      <w:r>
        <w:t>15.1.1 Technical Assistance</w:t>
      </w:r>
    </w:p>
    <w:p>
      <w:r>
        <w:rPr>
          <w:rFonts w:ascii="Figtree" w:hAnsi="Figtree"/>
          <w:b w:val="0"/>
          <w:i w:val="0"/>
          <w:sz w:val="22"/>
        </w:rPr>
        <w:t>Technical assistance covers:</w:t>
      </w:r>
    </w:p>
    <w:p>
      <w:pPr>
        <w:pStyle w:val="ListParagraph"/>
        <w:numPr>
          <w:ilvl w:val="0"/>
          <w:numId w:val="4"/>
        </w:numPr>
      </w:pPr>
      <w:r>
        <w:rPr>
          <w:rFonts w:ascii="Figtree" w:hAnsi="Figtree"/>
          <w:b w:val="0"/>
          <w:i w:val="0"/>
          <w:sz w:val="22"/>
        </w:rPr>
        <w:t>Platform operation guidance</w:t>
      </w:r>
    </w:p>
    <w:p>
      <w:pPr>
        <w:pStyle w:val="ListParagraph"/>
        <w:numPr>
          <w:ilvl w:val="0"/>
          <w:numId w:val="4"/>
        </w:numPr>
      </w:pPr>
      <w:r>
        <w:rPr>
          <w:rFonts w:ascii="Figtree" w:hAnsi="Figtree"/>
          <w:b w:val="0"/>
          <w:i w:val="0"/>
          <w:sz w:val="22"/>
        </w:rPr>
        <w:t>Configuration questions</w:t>
      </w:r>
    </w:p>
    <w:p>
      <w:pPr>
        <w:pStyle w:val="ListParagraph"/>
        <w:numPr>
          <w:ilvl w:val="0"/>
          <w:numId w:val="4"/>
        </w:numPr>
      </w:pPr>
      <w:r>
        <w:rPr>
          <w:rFonts w:ascii="Figtree" w:hAnsi="Figtree"/>
          <w:b w:val="0"/>
          <w:i w:val="0"/>
          <w:sz w:val="22"/>
        </w:rPr>
        <w:t>Integration troubleshooting</w:t>
      </w:r>
    </w:p>
    <w:p>
      <w:pPr>
        <w:pStyle w:val="ListParagraph"/>
        <w:numPr>
          <w:ilvl w:val="0"/>
          <w:numId w:val="4"/>
        </w:numPr>
      </w:pPr>
      <w:r>
        <w:rPr>
          <w:rFonts w:ascii="Figtree" w:hAnsi="Figtree"/>
          <w:b w:val="0"/>
          <w:i w:val="0"/>
          <w:sz w:val="22"/>
        </w:rPr>
        <w:t>Performance optimization advice</w:t>
      </w:r>
    </w:p>
    <w:p>
      <w:pPr>
        <w:pStyle w:val="ListParagraph"/>
        <w:numPr>
          <w:ilvl w:val="0"/>
          <w:numId w:val="4"/>
        </w:numPr>
      </w:pPr>
      <w:r>
        <w:rPr>
          <w:rFonts w:ascii="Figtree" w:hAnsi="Figtree"/>
          <w:b w:val="0"/>
          <w:i w:val="0"/>
          <w:sz w:val="22"/>
        </w:rPr>
        <w:t>Best practice recommendations</w:t>
      </w:r>
    </w:p>
    <w:p>
      <w:pPr>
        <w:pStyle w:val="H3"/>
        <w:numPr>
          <w:ilvl w:val="2"/>
          <w:numId w:val="1"/>
        </w:numPr>
      </w:pPr>
      <w:r>
        <w:t>15.1.2 Issue Resolution</w:t>
      </w:r>
    </w:p>
    <w:p>
      <w:r>
        <w:rPr>
          <w:rFonts w:ascii="Figtree" w:hAnsi="Figtree"/>
          <w:b w:val="0"/>
          <w:i w:val="0"/>
          <w:sz w:val="22"/>
        </w:rPr>
        <w:t>Issue resolution covers:</w:t>
      </w:r>
    </w:p>
    <w:p>
      <w:pPr>
        <w:pStyle w:val="ListParagraph"/>
        <w:numPr>
          <w:ilvl w:val="0"/>
          <w:numId w:val="4"/>
        </w:numPr>
      </w:pPr>
      <w:r>
        <w:rPr>
          <w:rFonts w:ascii="Figtree" w:hAnsi="Figtree"/>
          <w:b w:val="0"/>
          <w:i w:val="0"/>
          <w:sz w:val="22"/>
        </w:rPr>
        <w:t>Defect investigation and reproduction</w:t>
      </w:r>
    </w:p>
    <w:p>
      <w:pPr>
        <w:pStyle w:val="ListParagraph"/>
        <w:numPr>
          <w:ilvl w:val="0"/>
          <w:numId w:val="4"/>
        </w:numPr>
      </w:pPr>
      <w:r>
        <w:rPr>
          <w:rFonts w:ascii="Figtree" w:hAnsi="Figtree"/>
          <w:b w:val="0"/>
          <w:i w:val="0"/>
          <w:sz w:val="22"/>
        </w:rPr>
        <w:t>Fix implementation or workaround</w:t>
      </w:r>
    </w:p>
    <w:p>
      <w:pPr>
        <w:pStyle w:val="ListParagraph"/>
        <w:numPr>
          <w:ilvl w:val="0"/>
          <w:numId w:val="4"/>
        </w:numPr>
      </w:pPr>
      <w:r>
        <w:rPr>
          <w:rFonts w:ascii="Figtree" w:hAnsi="Figtree"/>
          <w:b w:val="0"/>
          <w:i w:val="0"/>
          <w:sz w:val="22"/>
        </w:rPr>
        <w:t>Regression testing</w:t>
      </w:r>
    </w:p>
    <w:p>
      <w:pPr>
        <w:pStyle w:val="ListParagraph"/>
        <w:numPr>
          <w:ilvl w:val="0"/>
          <w:numId w:val="4"/>
        </w:numPr>
      </w:pPr>
      <w:r>
        <w:rPr>
          <w:rFonts w:ascii="Figtree" w:hAnsi="Figtree"/>
          <w:b w:val="0"/>
          <w:i w:val="0"/>
          <w:sz w:val="22"/>
        </w:rPr>
        <w:t>Resolution verification</w:t>
      </w:r>
    </w:p>
    <w:p>
      <w:pPr>
        <w:pStyle w:val="H3"/>
        <w:numPr>
          <w:ilvl w:val="2"/>
          <w:numId w:val="1"/>
        </w:numPr>
      </w:pPr>
      <w:r>
        <w:t>15.1.3 Platform Updates</w:t>
      </w:r>
    </w:p>
    <w:p>
      <w:r>
        <w:rPr>
          <w:rFonts w:ascii="Figtree" w:hAnsi="Figtree"/>
          <w:b w:val="0"/>
          <w:i w:val="0"/>
          <w:sz w:val="22"/>
        </w:rPr>
        <w:t>Platform updates include:</w:t>
      </w:r>
    </w:p>
    <w:p>
      <w:pPr>
        <w:pStyle w:val="ListParagraph"/>
        <w:numPr>
          <w:ilvl w:val="0"/>
          <w:numId w:val="4"/>
        </w:numPr>
      </w:pPr>
      <w:r>
        <w:rPr>
          <w:rFonts w:ascii="Figtree" w:hAnsi="Figtree"/>
          <w:b w:val="0"/>
          <w:i w:val="0"/>
          <w:sz w:val="22"/>
        </w:rPr>
        <w:t>Security patches</w:t>
      </w:r>
    </w:p>
    <w:p>
      <w:pPr>
        <w:pStyle w:val="ListParagraph"/>
        <w:numPr>
          <w:ilvl w:val="0"/>
          <w:numId w:val="4"/>
        </w:numPr>
      </w:pPr>
      <w:r>
        <w:rPr>
          <w:rFonts w:ascii="Figtree" w:hAnsi="Figtree"/>
          <w:b w:val="0"/>
          <w:i w:val="0"/>
          <w:sz w:val="22"/>
        </w:rPr>
        <w:t>Bug fixes</w:t>
      </w:r>
    </w:p>
    <w:p>
      <w:pPr>
        <w:pStyle w:val="ListParagraph"/>
        <w:numPr>
          <w:ilvl w:val="0"/>
          <w:numId w:val="4"/>
        </w:numPr>
      </w:pPr>
      <w:r>
        <w:rPr>
          <w:rFonts w:ascii="Figtree" w:hAnsi="Figtree"/>
          <w:b w:val="0"/>
          <w:i w:val="0"/>
          <w:sz w:val="22"/>
        </w:rPr>
        <w:t>Performance improvements</w:t>
      </w:r>
    </w:p>
    <w:p>
      <w:pPr>
        <w:pStyle w:val="ListParagraph"/>
        <w:numPr>
          <w:ilvl w:val="0"/>
          <w:numId w:val="4"/>
        </w:numPr>
      </w:pPr>
      <w:r>
        <w:rPr>
          <w:rFonts w:ascii="Figtree" w:hAnsi="Figtree"/>
          <w:b w:val="0"/>
          <w:i w:val="0"/>
          <w:sz w:val="22"/>
        </w:rPr>
        <w:t>New features (as released)</w:t>
      </w:r>
    </w:p>
    <w:p>
      <w:pPr>
        <w:pStyle w:val="ListParagraph"/>
        <w:numPr>
          <w:ilvl w:val="0"/>
          <w:numId w:val="4"/>
        </w:numPr>
      </w:pPr>
      <w:r>
        <w:rPr>
          <w:rFonts w:ascii="Figtree" w:hAnsi="Figtree"/>
          <w:b w:val="0"/>
          <w:i w:val="0"/>
          <w:sz w:val="22"/>
        </w:rPr>
        <w:t>Compliance updates</w:t>
      </w:r>
    </w:p>
    <w:p>
      <w:pPr>
        <w:pStyle w:val="H2"/>
        <w:numPr>
          <w:ilvl w:val="1"/>
          <w:numId w:val="1"/>
        </w:numPr>
      </w:pPr>
      <w:r>
        <w:t>15.2 Service Levels</w:t>
      </w:r>
    </w:p>
    <w:p>
      <w:pPr>
        <w:pStyle w:val="H3"/>
        <w:numPr>
          <w:ilvl w:val="2"/>
          <w:numId w:val="1"/>
        </w:numPr>
      </w:pPr>
      <w:r>
        <w:t>15.2.1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7"/>
        <w:gridCol w:w="2366"/>
        <w:gridCol w:w="1577"/>
        <w:gridCol w:w="1577"/>
        <w:gridCol w:w="19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1949"/>
            <w:vAlign w:val="center"/>
          </w:tcPr>
          <w:p>
            <w:pPr>
              <w:spacing w:line="276" w:lineRule="auto" w:before="0" w:after="0"/>
            </w:pPr>
            <w:r/>
            <w:r>
              <w:rPr>
                <w:rFonts w:ascii="Figtree" w:hAnsi="Figtree"/>
                <w:b w:val="0"/>
                <w:i w:val="0"/>
                <w:sz w:val="20"/>
              </w:rPr>
              <w:t>Critical</w:t>
            </w:r>
          </w:p>
        </w:tc>
        <w:tc>
          <w:tcPr>
            <w:tcW w:type="dxa" w:w="1949"/>
            <w:vAlign w:val="center"/>
          </w:tcPr>
          <w:p>
            <w:pPr>
              <w:spacing w:line="276" w:lineRule="auto" w:before="0" w:after="0"/>
            </w:pPr>
            <w:r/>
            <w:r>
              <w:rPr>
                <w:rFonts w:ascii="Figtree" w:hAnsi="Figtree"/>
                <w:b w:val="0"/>
                <w:i w:val="0"/>
                <w:sz w:val="20"/>
              </w:rPr>
              <w:t>System down</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2 hours</w:t>
            </w:r>
          </w:p>
        </w:tc>
        <w:tc>
          <w:tcPr>
            <w:tcW w:type="dxa" w:w="1949"/>
            <w:vAlign w:val="center"/>
          </w:tcPr>
          <w:p>
            <w:pPr>
              <w:spacing w:line="276" w:lineRule="auto" w:before="0" w:after="0"/>
            </w:pPr>
            <w:r/>
            <w:r>
              <w:rPr>
                <w:rFonts w:ascii="Figtree" w:hAnsi="Figtree"/>
                <w:b w:val="0"/>
                <w:i w:val="0"/>
                <w:sz w:val="20"/>
              </w:rPr>
              <w:t>30 minutes</w:t>
            </w:r>
          </w:p>
        </w:tc>
      </w:tr>
      <w:tr>
        <w:trPr>
          <w:trHeight w:val="425" w:hRule="atLeast"/>
        </w:trPr>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Major impact</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2 hours</w:t>
            </w:r>
          </w:p>
        </w:tc>
      </w:tr>
      <w:tr>
        <w:trPr>
          <w:trHeight w:val="425" w:hRule="atLeast"/>
        </w:trPr>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Minor impact</w:t>
            </w:r>
          </w:p>
        </w:tc>
        <w:tc>
          <w:tcPr>
            <w:tcW w:type="dxa" w:w="1949"/>
            <w:vAlign w:val="center"/>
          </w:tcPr>
          <w:p>
            <w:pPr>
              <w:spacing w:line="276" w:lineRule="auto" w:before="0" w:after="0"/>
            </w:pPr>
            <w:r/>
            <w:r>
              <w:rPr>
                <w:rFonts w:ascii="Figtree" w:hAnsi="Figtree"/>
                <w:b w:val="0"/>
                <w:i w:val="0"/>
                <w:sz w:val="20"/>
              </w:rPr>
              <w:t>24 hours</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Question</w:t>
            </w:r>
          </w:p>
        </w:tc>
        <w:tc>
          <w:tcPr>
            <w:tcW w:type="dxa" w:w="1949"/>
            <w:vAlign w:val="center"/>
          </w:tcPr>
          <w:p>
            <w:pPr>
              <w:spacing w:line="276" w:lineRule="auto" w:before="0" w:after="0"/>
            </w:pPr>
            <w:r/>
            <w:r>
              <w:rPr>
                <w:rFonts w:ascii="Figtree" w:hAnsi="Figtree"/>
                <w:b w:val="0"/>
                <w:i w:val="0"/>
                <w:sz w:val="20"/>
              </w:rPr>
              <w:t>72 hours</w:t>
            </w:r>
          </w:p>
        </w:tc>
        <w:tc>
          <w:tcPr>
            <w:tcW w:type="dxa" w:w="1949"/>
            <w:vAlign w:val="center"/>
          </w:tcPr>
          <w:p>
            <w:pPr>
              <w:spacing w:line="276" w:lineRule="auto" w:before="0" w:after="0"/>
            </w:pPr>
            <w:r/>
            <w:r>
              <w:rPr>
                <w:rFonts w:ascii="Figtree" w:hAnsi="Figtree"/>
                <w:b w:val="0"/>
                <w:i w:val="0"/>
                <w:sz w:val="20"/>
              </w:rPr>
              <w:t>24 hours</w:t>
            </w:r>
          </w:p>
        </w:tc>
        <w:tc>
          <w:tcPr>
            <w:tcW w:type="dxa" w:w="1949"/>
            <w:vAlign w:val="center"/>
          </w:tcPr>
          <w:p>
            <w:pPr>
              <w:spacing w:line="276" w:lineRule="auto" w:before="0" w:after="0"/>
            </w:pPr>
            <w:r/>
            <w:r>
              <w:rPr>
                <w:rFonts w:ascii="Figtree" w:hAnsi="Figtree"/>
                <w:b w:val="0"/>
                <w:i w:val="0"/>
                <w:sz w:val="20"/>
              </w:rPr>
              <w:t>8 hours</w:t>
            </w:r>
          </w:p>
        </w:tc>
      </w:tr>
    </w:tbl>
    <w:p>
      <w:pPr>
        <w:spacing w:before="0" w:after="0" w:line="120" w:lineRule="exact"/>
      </w:pPr>
    </w:p>
    <w:p>
      <w:pPr>
        <w:pStyle w:val="H3"/>
        <w:numPr>
          <w:ilvl w:val="2"/>
          <w:numId w:val="1"/>
        </w:numPr>
      </w:pPr>
      <w:r>
        <w:t>15.2.2 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51"/>
        <w:gridCol w:w="3084"/>
        <w:gridCol w:w="1451"/>
        <w:gridCol w:w="1270"/>
        <w:gridCol w:w="181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 Resolution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1949"/>
            <w:vAlign w:val="center"/>
          </w:tcPr>
          <w:p>
            <w:pPr>
              <w:spacing w:line="276" w:lineRule="auto" w:before="0" w:after="0"/>
            </w:pPr>
            <w:r/>
            <w:r>
              <w:rPr>
                <w:rFonts w:ascii="Figtree" w:hAnsi="Figtree"/>
                <w:b w:val="0"/>
                <w:i w:val="0"/>
                <w:sz w:val="20"/>
              </w:rPr>
              <w:t>Critical</w:t>
            </w:r>
          </w:p>
        </w:tc>
        <w:tc>
          <w:tcPr>
            <w:tcW w:type="dxa" w:w="1949"/>
            <w:vAlign w:val="center"/>
          </w:tcPr>
          <w:p>
            <w:pPr>
              <w:spacing w:line="276" w:lineRule="auto" w:before="0" w:after="0"/>
            </w:pPr>
            <w:r/>
            <w:r>
              <w:rPr>
                <w:rFonts w:ascii="Figtree" w:hAnsi="Figtree"/>
                <w:b w:val="0"/>
                <w:i w:val="0"/>
                <w:sz w:val="20"/>
              </w:rPr>
              <w:t>24 hours</w:t>
            </w:r>
          </w:p>
        </w:tc>
        <w:tc>
          <w:tcPr>
            <w:tcW w:type="dxa" w:w="1949"/>
            <w:vAlign w:val="center"/>
          </w:tcPr>
          <w:p>
            <w:pPr>
              <w:spacing w:line="276" w:lineRule="auto" w:before="0" w:after="0"/>
            </w:pPr>
            <w:r/>
            <w:r>
              <w:rPr>
                <w:rFonts w:ascii="Figtree" w:hAnsi="Figtree"/>
                <w:b w:val="0"/>
                <w:i w:val="0"/>
                <w:sz w:val="20"/>
              </w:rPr>
              <w:t>80%</w:t>
            </w:r>
          </w:p>
        </w:tc>
        <w:tc>
          <w:tcPr>
            <w:tcW w:type="dxa" w:w="1949"/>
            <w:vAlign w:val="center"/>
          </w:tcPr>
          <w:p>
            <w:pPr>
              <w:spacing w:line="276" w:lineRule="auto" w:before="0" w:after="0"/>
            </w:pPr>
            <w:r/>
            <w:r>
              <w:rPr>
                <w:rFonts w:ascii="Figtree" w:hAnsi="Figtree"/>
                <w:b w:val="0"/>
                <w:i w:val="0"/>
                <w:sz w:val="20"/>
              </w:rPr>
              <w:t>90%</w:t>
            </w:r>
          </w:p>
        </w:tc>
        <w:tc>
          <w:tcPr>
            <w:tcW w:type="dxa" w:w="1949"/>
            <w:vAlign w:val="center"/>
          </w:tcPr>
          <w:p>
            <w:pPr>
              <w:spacing w:line="276" w:lineRule="auto" w:before="0" w:after="0"/>
            </w:pPr>
            <w:r/>
            <w:r>
              <w:rPr>
                <w:rFonts w:ascii="Figtree" w:hAnsi="Figtree"/>
                <w:b w:val="0"/>
                <w:i w:val="0"/>
                <w:sz w:val="20"/>
              </w:rPr>
              <w:t>95%</w:t>
            </w:r>
          </w:p>
        </w:tc>
      </w:tr>
      <w:tr>
        <w:trPr>
          <w:trHeight w:val="425" w:hRule="atLeast"/>
        </w:trPr>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48 hours</w:t>
            </w:r>
          </w:p>
        </w:tc>
        <w:tc>
          <w:tcPr>
            <w:tcW w:type="dxa" w:w="1949"/>
            <w:vAlign w:val="center"/>
          </w:tcPr>
          <w:p>
            <w:pPr>
              <w:spacing w:line="276" w:lineRule="auto" w:before="0" w:after="0"/>
            </w:pPr>
            <w:r/>
            <w:r>
              <w:rPr>
                <w:rFonts w:ascii="Figtree" w:hAnsi="Figtree"/>
                <w:b w:val="0"/>
                <w:i w:val="0"/>
                <w:sz w:val="20"/>
              </w:rPr>
              <w:t>70%</w:t>
            </w:r>
          </w:p>
        </w:tc>
        <w:tc>
          <w:tcPr>
            <w:tcW w:type="dxa" w:w="1949"/>
            <w:vAlign w:val="center"/>
          </w:tcPr>
          <w:p>
            <w:pPr>
              <w:spacing w:line="276" w:lineRule="auto" w:before="0" w:after="0"/>
            </w:pPr>
            <w:r/>
            <w:r>
              <w:rPr>
                <w:rFonts w:ascii="Figtree" w:hAnsi="Figtree"/>
                <w:b w:val="0"/>
                <w:i w:val="0"/>
                <w:sz w:val="20"/>
              </w:rPr>
              <w:t>85%</w:t>
            </w:r>
          </w:p>
        </w:tc>
        <w:tc>
          <w:tcPr>
            <w:tcW w:type="dxa" w:w="1949"/>
            <w:vAlign w:val="center"/>
          </w:tcPr>
          <w:p>
            <w:pPr>
              <w:spacing w:line="276" w:lineRule="auto" w:before="0" w:after="0"/>
            </w:pPr>
            <w:r/>
            <w:r>
              <w:rPr>
                <w:rFonts w:ascii="Figtree" w:hAnsi="Figtree"/>
                <w:b w:val="0"/>
                <w:i w:val="0"/>
                <w:sz w:val="20"/>
              </w:rPr>
              <w:t>90%</w:t>
            </w:r>
          </w:p>
        </w:tc>
      </w:tr>
      <w:tr>
        <w:trPr>
          <w:trHeight w:val="425" w:hRule="atLeast"/>
        </w:trPr>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5 days</w:t>
            </w:r>
          </w:p>
        </w:tc>
        <w:tc>
          <w:tcPr>
            <w:tcW w:type="dxa" w:w="1949"/>
            <w:vAlign w:val="center"/>
          </w:tcPr>
          <w:p>
            <w:pPr>
              <w:spacing w:line="276" w:lineRule="auto" w:before="0" w:after="0"/>
            </w:pPr>
            <w:r/>
            <w:r>
              <w:rPr>
                <w:rFonts w:ascii="Figtree" w:hAnsi="Figtree"/>
                <w:b w:val="0"/>
                <w:i w:val="0"/>
                <w:sz w:val="20"/>
              </w:rPr>
              <w:t>60%</w:t>
            </w:r>
          </w:p>
        </w:tc>
        <w:tc>
          <w:tcPr>
            <w:tcW w:type="dxa" w:w="1949"/>
            <w:vAlign w:val="center"/>
          </w:tcPr>
          <w:p>
            <w:pPr>
              <w:spacing w:line="276" w:lineRule="auto" w:before="0" w:after="0"/>
            </w:pPr>
            <w:r/>
            <w:r>
              <w:rPr>
                <w:rFonts w:ascii="Figtree" w:hAnsi="Figtree"/>
                <w:b w:val="0"/>
                <w:i w:val="0"/>
                <w:sz w:val="20"/>
              </w:rPr>
              <w:t>75%</w:t>
            </w:r>
          </w:p>
        </w:tc>
        <w:tc>
          <w:tcPr>
            <w:tcW w:type="dxa" w:w="1949"/>
            <w:vAlign w:val="center"/>
          </w:tcPr>
          <w:p>
            <w:pPr>
              <w:spacing w:line="276" w:lineRule="auto" w:before="0" w:after="0"/>
            </w:pPr>
            <w:r/>
            <w:r>
              <w:rPr>
                <w:rFonts w:ascii="Figtree" w:hAnsi="Figtree"/>
                <w:b w:val="0"/>
                <w:i w:val="0"/>
                <w:sz w:val="20"/>
              </w:rPr>
              <w:t>85%</w:t>
            </w:r>
          </w:p>
        </w:tc>
      </w:tr>
      <w:tr>
        <w:trPr>
          <w:trHeight w:val="425" w:hRule="atLeast"/>
        </w:trPr>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10 days</w:t>
            </w:r>
          </w:p>
        </w:tc>
        <w:tc>
          <w:tcPr>
            <w:tcW w:type="dxa" w:w="1949"/>
            <w:vAlign w:val="center"/>
          </w:tcPr>
          <w:p>
            <w:pPr>
              <w:spacing w:line="276" w:lineRule="auto" w:before="0" w:after="0"/>
            </w:pPr>
            <w:r/>
            <w:r>
              <w:rPr>
                <w:rFonts w:ascii="Figtree" w:hAnsi="Figtree"/>
                <w:b w:val="0"/>
                <w:i w:val="0"/>
                <w:sz w:val="20"/>
              </w:rPr>
              <w:t>50%</w:t>
            </w:r>
          </w:p>
        </w:tc>
        <w:tc>
          <w:tcPr>
            <w:tcW w:type="dxa" w:w="1949"/>
            <w:vAlign w:val="center"/>
          </w:tcPr>
          <w:p>
            <w:pPr>
              <w:spacing w:line="276" w:lineRule="auto" w:before="0" w:after="0"/>
            </w:pPr>
            <w:r/>
            <w:r>
              <w:rPr>
                <w:rFonts w:ascii="Figtree" w:hAnsi="Figtree"/>
                <w:b w:val="0"/>
                <w:i w:val="0"/>
                <w:sz w:val="20"/>
              </w:rPr>
              <w:t>65%</w:t>
            </w:r>
          </w:p>
        </w:tc>
        <w:tc>
          <w:tcPr>
            <w:tcW w:type="dxa" w:w="1949"/>
            <w:vAlign w:val="center"/>
          </w:tcPr>
          <w:p>
            <w:pPr>
              <w:spacing w:line="276" w:lineRule="auto" w:before="0" w:after="0"/>
            </w:pPr>
            <w:r/>
            <w:r>
              <w:rPr>
                <w:rFonts w:ascii="Figtree" w:hAnsi="Figtree"/>
                <w:b w:val="0"/>
                <w:i w:val="0"/>
                <w:sz w:val="20"/>
              </w:rPr>
              <w:t>75%</w:t>
            </w:r>
          </w:p>
        </w:tc>
      </w:tr>
    </w:tbl>
    <w:p>
      <w:pPr>
        <w:spacing w:before="0" w:after="0" w:line="120" w:lineRule="exact"/>
      </w:pPr>
    </w:p>
    <w:p>
      <w:pPr>
        <w:pStyle w:val="H2"/>
        <w:numPr>
          <w:ilvl w:val="1"/>
          <w:numId w:val="1"/>
        </w:numPr>
      </w:pPr>
      <w:r>
        <w:t>15.3 Escalation</w:t>
      </w:r>
    </w:p>
    <w:p>
      <w:pPr>
        <w:pStyle w:val="H3"/>
        <w:numPr>
          <w:ilvl w:val="2"/>
          <w:numId w:val="1"/>
        </w:numPr>
      </w:pPr>
      <w:r>
        <w:t>15.3.1 Escalation Path</w:t>
      </w:r>
    </w:p>
    <w:p>
      <w:r>
        <w:rPr>
          <w:rFonts w:ascii="Figtree" w:hAnsi="Figtree"/>
          <w:b w:val="0"/>
          <w:i w:val="0"/>
          <w:sz w:val="22"/>
        </w:rPr>
        <w:t>Escalation follows:</w:t>
      </w:r>
    </w:p>
    <w:p>
      <w:pPr>
        <w:pStyle w:val="ListParagraph"/>
        <w:numPr>
          <w:ilvl w:val="0"/>
          <w:numId w:val="7"/>
        </w:numPr>
      </w:pPr>
      <w:r>
        <w:rPr>
          <w:rFonts w:ascii="Figtree" w:hAnsi="Figtree"/>
          <w:b w:val="0"/>
          <w:i w:val="0"/>
          <w:sz w:val="22"/>
        </w:rPr>
        <w:t>Support Engineer (initial contact)</w:t>
      </w:r>
    </w:p>
    <w:p>
      <w:pPr>
        <w:pStyle w:val="ListParagraph"/>
        <w:numPr>
          <w:ilvl w:val="0"/>
          <w:numId w:val="7"/>
        </w:numPr>
      </w:pPr>
      <w:r>
        <w:rPr>
          <w:rFonts w:ascii="Figtree" w:hAnsi="Figtree"/>
          <w:b w:val="0"/>
          <w:i w:val="0"/>
          <w:sz w:val="22"/>
        </w:rPr>
        <w:t>Support Manager (4 hours for critical)</w:t>
      </w:r>
    </w:p>
    <w:p>
      <w:pPr>
        <w:pStyle w:val="ListParagraph"/>
        <w:numPr>
          <w:ilvl w:val="0"/>
          <w:numId w:val="7"/>
        </w:numPr>
      </w:pPr>
      <w:r>
        <w:rPr>
          <w:rFonts w:ascii="Figtree" w:hAnsi="Figtree"/>
          <w:b w:val="0"/>
          <w:i w:val="0"/>
          <w:sz w:val="22"/>
        </w:rPr>
        <w:t>Delivery Director (24 hours)</w:t>
      </w:r>
    </w:p>
    <w:p>
      <w:pPr>
        <w:pStyle w:val="ListParagraph"/>
        <w:numPr>
          <w:ilvl w:val="0"/>
          <w:numId w:val="7"/>
        </w:numPr>
      </w:pPr>
      <w:r>
        <w:rPr>
          <w:rFonts w:ascii="Figtree" w:hAnsi="Figtree"/>
          <w:b w:val="0"/>
          <w:i w:val="0"/>
          <w:sz w:val="22"/>
        </w:rPr>
        <w:t>Executive Sponsor (72 hours)</w:t>
      </w:r>
    </w:p>
    <w:p>
      <w:pPr>
        <w:pStyle w:val="H3"/>
        <w:numPr>
          <w:ilvl w:val="2"/>
          <w:numId w:val="1"/>
        </w:numPr>
      </w:pPr>
      <w:r>
        <w:t>15.3.2 Escalation Triggers</w:t>
      </w:r>
    </w:p>
    <w:p>
      <w:r>
        <w:rPr>
          <w:rFonts w:ascii="Figtree" w:hAnsi="Figtree"/>
          <w:b w:val="0"/>
          <w:i w:val="0"/>
          <w:sz w:val="22"/>
        </w:rPr>
        <w:t>Escalation is triggered by:</w:t>
      </w:r>
    </w:p>
    <w:p>
      <w:pPr>
        <w:pStyle w:val="ListParagraph"/>
        <w:numPr>
          <w:ilvl w:val="0"/>
          <w:numId w:val="4"/>
        </w:numPr>
      </w:pPr>
      <w:r>
        <w:rPr>
          <w:rFonts w:ascii="Figtree" w:hAnsi="Figtree"/>
          <w:b w:val="0"/>
          <w:i w:val="0"/>
          <w:sz w:val="22"/>
        </w:rPr>
        <w:t>Request from customer</w:t>
      </w:r>
    </w:p>
    <w:p>
      <w:pPr>
        <w:pStyle w:val="ListParagraph"/>
        <w:numPr>
          <w:ilvl w:val="0"/>
          <w:numId w:val="4"/>
        </w:numPr>
      </w:pPr>
      <w:r>
        <w:rPr>
          <w:rFonts w:ascii="Figtree" w:hAnsi="Figtree"/>
          <w:b w:val="0"/>
          <w:i w:val="0"/>
          <w:sz w:val="22"/>
        </w:rPr>
        <w:t>Response time breach</w:t>
      </w:r>
    </w:p>
    <w:p>
      <w:pPr>
        <w:pStyle w:val="ListParagraph"/>
        <w:numPr>
          <w:ilvl w:val="0"/>
          <w:numId w:val="4"/>
        </w:numPr>
      </w:pPr>
      <w:r>
        <w:rPr>
          <w:rFonts w:ascii="Figtree" w:hAnsi="Figtree"/>
          <w:b w:val="0"/>
          <w:i w:val="0"/>
          <w:sz w:val="22"/>
        </w:rPr>
        <w:t>Resolution time breach</w:t>
      </w:r>
    </w:p>
    <w:p>
      <w:pPr>
        <w:pStyle w:val="ListParagraph"/>
        <w:numPr>
          <w:ilvl w:val="0"/>
          <w:numId w:val="4"/>
        </w:numPr>
      </w:pPr>
      <w:r>
        <w:rPr>
          <w:rFonts w:ascii="Figtree" w:hAnsi="Figtree"/>
          <w:b w:val="0"/>
          <w:i w:val="0"/>
          <w:sz w:val="22"/>
        </w:rPr>
        <w:t>Major incident declaration</w:t>
      </w:r>
    </w:p>
    <w:p>
      <w:r>
        <w:br w:type="page"/>
      </w:r>
    </w:p>
    <w:p>
      <w:pPr>
        <w:pStyle w:val="H1"/>
        <w:numPr>
          <w:ilvl w:val="0"/>
          <w:numId w:val="1"/>
        </w:numPr>
      </w:pPr>
      <w:r>
        <w:t>16. Terms and Conditions</w:t>
      </w:r>
    </w:p>
    <w:p>
      <w:pPr>
        <w:pStyle w:val="H2"/>
        <w:numPr>
          <w:ilvl w:val="1"/>
          <w:numId w:val="1"/>
        </w:numPr>
      </w:pPr>
      <w:r>
        <w:t>16.1 Intellectual Property</w:t>
      </w:r>
    </w:p>
    <w:p>
      <w:pPr>
        <w:pStyle w:val="H3"/>
        <w:numPr>
          <w:ilvl w:val="2"/>
          <w:numId w:val="1"/>
        </w:numPr>
      </w:pPr>
      <w:r>
        <w:t>16.1.1 Platform IP</w:t>
      </w:r>
    </w:p>
    <w:p>
      <w:r>
        <w:rPr>
          <w:rFonts w:ascii="Figtree" w:hAnsi="Figtree"/>
          <w:b w:val="0"/>
          <w:i w:val="0"/>
          <w:sz w:val="22"/>
        </w:rPr>
        <w:t>The platform remains the intellectual property of SettleMint. The license grants use rights, not ownership.</w:t>
      </w:r>
    </w:p>
    <w:p>
      <w:pPr>
        <w:pStyle w:val="H3"/>
        <w:numPr>
          <w:ilvl w:val="2"/>
          <w:numId w:val="1"/>
        </w:numPr>
      </w:pPr>
      <w:r>
        <w:t>16.1.2 Customer Data</w:t>
      </w:r>
    </w:p>
    <w:p>
      <w:r>
        <w:rPr>
          <w:rFonts w:ascii="Figtree" w:hAnsi="Figtree"/>
          <w:b w:val="0"/>
          <w:i w:val="0"/>
          <w:sz w:val="22"/>
        </w:rPr>
        <w:t>Customer data remains the property of the customer. SettleMint has no rights to use customer data for purposes other than providing services.</w:t>
      </w:r>
    </w:p>
    <w:p>
      <w:pPr>
        <w:pStyle w:val="H3"/>
        <w:numPr>
          <w:ilvl w:val="2"/>
          <w:numId w:val="1"/>
        </w:numPr>
      </w:pPr>
      <w:r>
        <w:t>16.1.3 Customizations</w:t>
      </w:r>
    </w:p>
    <w:p>
      <w:r>
        <w:rPr>
          <w:rFonts w:ascii="Figtree" w:hAnsi="Figtree"/>
          <w:b w:val="0"/>
          <w:i w:val="0"/>
          <w:sz w:val="22"/>
        </w:rPr>
        <w:t>Customizations developed specifically for the customer are included in the license. Generic improvements become part of the platform.</w:t>
      </w:r>
    </w:p>
    <w:p>
      <w:pPr>
        <w:pStyle w:val="H2"/>
        <w:numPr>
          <w:ilvl w:val="1"/>
          <w:numId w:val="1"/>
        </w:numPr>
      </w:pPr>
      <w:r>
        <w:t>16.2 Liability</w:t>
      </w:r>
    </w:p>
    <w:p>
      <w:pPr>
        <w:pStyle w:val="H3"/>
        <w:numPr>
          <w:ilvl w:val="2"/>
          <w:numId w:val="1"/>
        </w:numPr>
      </w:pPr>
      <w:r>
        <w:t>16.2.1 Limitation</w:t>
      </w:r>
    </w:p>
    <w:p>
      <w:r>
        <w:rPr>
          <w:rFonts w:ascii="Figtree" w:hAnsi="Figtree"/>
          <w:b w:val="0"/>
          <w:i w:val="0"/>
          <w:sz w:val="22"/>
        </w:rPr>
        <w:t>Total liability is capped at the fees paid in the 12 months preceding the claim.</w:t>
      </w:r>
    </w:p>
    <w:p>
      <w:pPr>
        <w:pStyle w:val="H3"/>
        <w:numPr>
          <w:ilvl w:val="2"/>
          <w:numId w:val="1"/>
        </w:numPr>
      </w:pPr>
      <w:r>
        <w:t>16.2.2 Exclusions</w:t>
      </w:r>
    </w:p>
    <w:p>
      <w:r>
        <w:rPr>
          <w:rFonts w:ascii="Figtree" w:hAnsi="Figtree"/>
          <w:b w:val="0"/>
          <w:i w:val="0"/>
          <w:sz w:val="22"/>
        </w:rPr>
        <w:t>Liability excludes:</w:t>
      </w:r>
    </w:p>
    <w:p>
      <w:pPr>
        <w:pStyle w:val="ListParagraph"/>
        <w:numPr>
          <w:ilvl w:val="0"/>
          <w:numId w:val="4"/>
        </w:numPr>
      </w:pPr>
      <w:r>
        <w:rPr>
          <w:rFonts w:ascii="Figtree" w:hAnsi="Figtree"/>
          <w:b w:val="0"/>
          <w:i w:val="0"/>
          <w:sz w:val="22"/>
        </w:rPr>
        <w:t>Indirect or consequential damages</w:t>
      </w:r>
    </w:p>
    <w:p>
      <w:pPr>
        <w:pStyle w:val="ListParagraph"/>
        <w:numPr>
          <w:ilvl w:val="0"/>
          <w:numId w:val="4"/>
        </w:numPr>
      </w:pPr>
      <w:r>
        <w:rPr>
          <w:rFonts w:ascii="Figtree" w:hAnsi="Figtree"/>
          <w:b w:val="0"/>
          <w:i w:val="0"/>
          <w:sz w:val="22"/>
        </w:rPr>
        <w:t>Lost profits or revenue</w:t>
      </w:r>
    </w:p>
    <w:p>
      <w:pPr>
        <w:pStyle w:val="ListParagraph"/>
        <w:numPr>
          <w:ilvl w:val="0"/>
          <w:numId w:val="4"/>
        </w:numPr>
      </w:pPr>
      <w:r>
        <w:rPr>
          <w:rFonts w:ascii="Figtree" w:hAnsi="Figtree"/>
          <w:b w:val="0"/>
          <w:i w:val="0"/>
          <w:sz w:val="22"/>
        </w:rPr>
        <w:t>Data loss (except for confidentiality breaches)</w:t>
      </w:r>
    </w:p>
    <w:p>
      <w:pPr>
        <w:pStyle w:val="H2"/>
        <w:numPr>
          <w:ilvl w:val="1"/>
          <w:numId w:val="1"/>
        </w:numPr>
      </w:pPr>
      <w:r>
        <w:t>16.3 Confidentiality</w:t>
      </w:r>
    </w:p>
    <w:p>
      <w:pPr>
        <w:pStyle w:val="H3"/>
        <w:numPr>
          <w:ilvl w:val="2"/>
          <w:numId w:val="1"/>
        </w:numPr>
      </w:pPr>
      <w:r>
        <w:t>16.3.1 Obligations</w:t>
      </w:r>
    </w:p>
    <w:p>
      <w:r>
        <w:rPr>
          <w:rFonts w:ascii="Figtree" w:hAnsi="Figtree"/>
          <w:b w:val="0"/>
          <w:i w:val="0"/>
          <w:sz w:val="22"/>
        </w:rPr>
        <w:t>Both parties agree to protect confidential information with at least reasonable care.</w:t>
      </w:r>
    </w:p>
    <w:p>
      <w:pPr>
        <w:pStyle w:val="H3"/>
        <w:numPr>
          <w:ilvl w:val="2"/>
          <w:numId w:val="1"/>
        </w:numPr>
      </w:pPr>
      <w:r>
        <w:t>16.3.2 Exceptions</w:t>
      </w:r>
    </w:p>
    <w:p>
      <w:r>
        <w:rPr>
          <w:rFonts w:ascii="Figtree" w:hAnsi="Figtree"/>
          <w:b w:val="0"/>
          <w:i w:val="0"/>
          <w:sz w:val="22"/>
        </w:rPr>
        <w:t>Confidentiality does not apply to information that:</w:t>
      </w:r>
    </w:p>
    <w:p>
      <w:pPr>
        <w:pStyle w:val="ListParagraph"/>
        <w:numPr>
          <w:ilvl w:val="0"/>
          <w:numId w:val="4"/>
        </w:numPr>
      </w:pPr>
      <w:r>
        <w:rPr>
          <w:rFonts w:ascii="Figtree" w:hAnsi="Figtree"/>
          <w:b w:val="0"/>
          <w:i w:val="0"/>
          <w:sz w:val="22"/>
        </w:rPr>
        <w:t>Is publicly available</w:t>
      </w:r>
    </w:p>
    <w:p>
      <w:pPr>
        <w:pStyle w:val="ListParagraph"/>
        <w:numPr>
          <w:ilvl w:val="0"/>
          <w:numId w:val="4"/>
        </w:numPr>
      </w:pPr>
      <w:r>
        <w:rPr>
          <w:rFonts w:ascii="Figtree" w:hAnsi="Figtree"/>
          <w:b w:val="0"/>
          <w:i w:val="0"/>
          <w:sz w:val="22"/>
        </w:rPr>
        <w:t>Was known before disclosure</w:t>
      </w:r>
    </w:p>
    <w:p>
      <w:pPr>
        <w:pStyle w:val="ListParagraph"/>
        <w:numPr>
          <w:ilvl w:val="0"/>
          <w:numId w:val="4"/>
        </w:numPr>
      </w:pPr>
      <w:r>
        <w:rPr>
          <w:rFonts w:ascii="Figtree" w:hAnsi="Figtree"/>
          <w:b w:val="0"/>
          <w:i w:val="0"/>
          <w:sz w:val="22"/>
        </w:rPr>
        <w:t>Is independently developed</w:t>
      </w:r>
    </w:p>
    <w:p>
      <w:pPr>
        <w:pStyle w:val="ListParagraph"/>
        <w:numPr>
          <w:ilvl w:val="0"/>
          <w:numId w:val="4"/>
        </w:numPr>
      </w:pPr>
      <w:r>
        <w:rPr>
          <w:rFonts w:ascii="Figtree" w:hAnsi="Figtree"/>
          <w:b w:val="0"/>
          <w:i w:val="0"/>
          <w:sz w:val="22"/>
        </w:rPr>
        <w:t>Is required by law</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17. Additional Commercial Details</w:t>
      </w:r>
    </w:p>
    <w:p>
      <w:pPr>
        <w:pStyle w:val="H2"/>
        <w:numPr>
          <w:ilvl w:val="1"/>
          <w:numId w:val="1"/>
        </w:numPr>
      </w:pPr>
      <w:r>
        <w:t>17.1 Payment Schedule</w:t>
      </w:r>
    </w:p>
    <w:p>
      <w:r>
        <w:rPr>
          <w:rFonts w:ascii="Figtree" w:hAnsi="Figtree"/>
          <w:b w:val="0"/>
          <w:i w:val="0"/>
          <w:sz w:val="22"/>
        </w:rPr>
        <w:t>The payment schedule aligns with project milestones to ensure appropriate cash flow alignment.</w:t>
      </w:r>
    </w:p>
    <w:p>
      <w:pPr>
        <w:pStyle w:val="H3"/>
        <w:numPr>
          <w:ilvl w:val="2"/>
          <w:numId w:val="1"/>
        </w:numPr>
      </w:pPr>
      <w:r>
        <w:t>17.1.1 Implementation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2"/>
        <w:gridCol w:w="2366"/>
        <w:gridCol w:w="1446"/>
        <w:gridCol w:w="236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 Percentage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2436"/>
            <w:vAlign w:val="center"/>
          </w:tcPr>
          <w:p>
            <w:pPr>
              <w:spacing w:line="276" w:lineRule="auto" w:before="0" w:after="0"/>
            </w:pPr>
            <w:r/>
            <w:r>
              <w:rPr>
                <w:rFonts w:ascii="Figtree" w:hAnsi="Figtree"/>
                <w:b w:val="0"/>
                <w:i w:val="0"/>
                <w:sz w:val="20"/>
              </w:rPr>
              <w:t>Contract signature</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USD 255,000</w:t>
            </w:r>
          </w:p>
        </w:tc>
        <w:tc>
          <w:tcPr>
            <w:tcW w:type="dxa" w:w="2436"/>
            <w:vAlign w:val="center"/>
          </w:tcPr>
          <w:p>
            <w:pPr>
              <w:spacing w:line="276" w:lineRule="auto" w:before="0" w:after="0"/>
            </w:pPr>
            <w:r/>
            <w:r>
              <w:rPr>
                <w:rFonts w:ascii="Figtree" w:hAnsi="Figtree"/>
                <w:b w:val="0"/>
                <w:i w:val="0"/>
                <w:sz w:val="20"/>
              </w:rPr>
              <w:t>Signed contract</w:t>
            </w:r>
          </w:p>
        </w:tc>
      </w:tr>
      <w:tr>
        <w:trPr>
          <w:trHeight w:val="425" w:hRule="atLeast"/>
        </w:trPr>
        <w:tc>
          <w:tcPr>
            <w:tcW w:type="dxa" w:w="2436"/>
            <w:vAlign w:val="center"/>
          </w:tcPr>
          <w:p>
            <w:pPr>
              <w:spacing w:line="276" w:lineRule="auto" w:before="0" w:after="0"/>
            </w:pPr>
            <w:r/>
            <w:r>
              <w:rPr>
                <w:rFonts w:ascii="Figtree" w:hAnsi="Figtree"/>
                <w:b w:val="0"/>
                <w:i w:val="0"/>
                <w:sz w:val="20"/>
              </w:rPr>
              <w:t>Foundation complete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USD 170,000</w:t>
            </w:r>
          </w:p>
        </w:tc>
        <w:tc>
          <w:tcPr>
            <w:tcW w:type="dxa" w:w="2436"/>
            <w:vAlign w:val="center"/>
          </w:tcPr>
          <w:p>
            <w:pPr>
              <w:spacing w:line="276" w:lineRule="auto" w:before="0" w:after="0"/>
            </w:pPr>
            <w:r/>
            <w:r>
              <w:rPr>
                <w:rFonts w:ascii="Figtree" w:hAnsi="Figtree"/>
                <w:b w:val="0"/>
                <w:i w:val="0"/>
                <w:sz w:val="20"/>
              </w:rPr>
              <w:t>Phase 2 acceptance</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complete</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USD 170,000</w:t>
            </w:r>
          </w:p>
        </w:tc>
        <w:tc>
          <w:tcPr>
            <w:tcW w:type="dxa" w:w="2436"/>
            <w:vAlign w:val="center"/>
          </w:tcPr>
          <w:p>
            <w:pPr>
              <w:spacing w:line="276" w:lineRule="auto" w:before="0" w:after="0"/>
            </w:pPr>
            <w:r/>
            <w:r>
              <w:rPr>
                <w:rFonts w:ascii="Figtree" w:hAnsi="Figtree"/>
                <w:b w:val="0"/>
                <w:i w:val="0"/>
                <w:sz w:val="20"/>
              </w:rPr>
              <w:t>Phase 3 acceptance</w:t>
            </w:r>
          </w:p>
        </w:tc>
      </w:tr>
      <w:tr>
        <w:trPr>
          <w:trHeight w:val="425" w:hRule="atLeast"/>
        </w:trPr>
        <w:tc>
          <w:tcPr>
            <w:tcW w:type="dxa" w:w="2436"/>
            <w:vAlign w:val="center"/>
          </w:tcPr>
          <w:p>
            <w:pPr>
              <w:spacing w:line="276" w:lineRule="auto" w:before="0" w:after="0"/>
            </w:pPr>
            <w:r/>
            <w:r>
              <w:rPr>
                <w:rFonts w:ascii="Figtree" w:hAnsi="Figtree"/>
                <w:b w:val="0"/>
                <w:i w:val="0"/>
                <w:sz w:val="20"/>
              </w:rPr>
              <w:t>UAT complete</w:t>
            </w:r>
          </w:p>
        </w:tc>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USD 127,500</w:t>
            </w:r>
          </w:p>
        </w:tc>
        <w:tc>
          <w:tcPr>
            <w:tcW w:type="dxa" w:w="2436"/>
            <w:vAlign w:val="center"/>
          </w:tcPr>
          <w:p>
            <w:pPr>
              <w:spacing w:line="276" w:lineRule="auto" w:before="0" w:after="0"/>
            </w:pPr>
            <w:r/>
            <w:r>
              <w:rPr>
                <w:rFonts w:ascii="Figtree" w:hAnsi="Figtree"/>
                <w:b w:val="0"/>
                <w:i w:val="0"/>
                <w:sz w:val="20"/>
              </w:rPr>
              <w:t>Phase 4 acceptance</w:t>
            </w:r>
          </w:p>
        </w:tc>
      </w:tr>
      <w:tr>
        <w:trPr>
          <w:trHeight w:val="425" w:hRule="atLeast"/>
        </w:trPr>
        <w:tc>
          <w:tcPr>
            <w:tcW w:type="dxa" w:w="2436"/>
            <w:vAlign w:val="center"/>
          </w:tcPr>
          <w:p>
            <w:pPr>
              <w:spacing w:line="276" w:lineRule="auto" w:before="0" w:after="0"/>
            </w:pPr>
            <w:r/>
            <w:r>
              <w:rPr>
                <w:rFonts w:ascii="Figtree" w:hAnsi="Figtree"/>
                <w:b w:val="0"/>
                <w:i w:val="0"/>
                <w:sz w:val="20"/>
              </w:rPr>
              <w:t>Go-live</w:t>
            </w:r>
          </w:p>
        </w:tc>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USD 127,500</w:t>
            </w:r>
          </w:p>
        </w:tc>
        <w:tc>
          <w:tcPr>
            <w:tcW w:type="dxa" w:w="2436"/>
            <w:vAlign w:val="center"/>
          </w:tcPr>
          <w:p>
            <w:pPr>
              <w:spacing w:line="276" w:lineRule="auto" w:before="0" w:after="0"/>
            </w:pPr>
            <w:r/>
            <w:r>
              <w:rPr>
                <w:rFonts w:ascii="Figtree" w:hAnsi="Figtree"/>
                <w:b w:val="0"/>
                <w:i w:val="0"/>
                <w:sz w:val="20"/>
              </w:rPr>
              <w:t>Phase 5 acceptance</w:t>
            </w:r>
          </w:p>
        </w:tc>
      </w:tr>
    </w:tbl>
    <w:p>
      <w:pPr>
        <w:spacing w:before="0" w:after="0" w:line="120" w:lineRule="exact"/>
      </w:pPr>
    </w:p>
    <w:p>
      <w:pPr>
        <w:pStyle w:val="H3"/>
        <w:numPr>
          <w:ilvl w:val="2"/>
          <w:numId w:val="1"/>
        </w:numPr>
      </w:pPr>
      <w:r>
        <w:t>17.1.2 License Payments</w:t>
      </w:r>
    </w:p>
    <w:p>
      <w:r>
        <w:rPr>
          <w:rFonts w:ascii="Figtree" w:hAnsi="Figtree"/>
          <w:b w:val="0"/>
          <w:i w:val="0"/>
          <w:sz w:val="22"/>
        </w:rPr>
        <w:t>Annual license fees are payable in advance: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4"/>
        <w:gridCol w:w="4536"/>
        <w:gridCol w:w="2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Due 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Year 1</w:t>
            </w:r>
          </w:p>
        </w:tc>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USD 450,000</w:t>
            </w:r>
          </w:p>
        </w:tc>
      </w:tr>
      <w:tr>
        <w:trPr>
          <w:trHeight w:val="425" w:hRule="atLeast"/>
        </w:trPr>
        <w:tc>
          <w:tcPr>
            <w:tcW w:type="dxa" w:w="3249"/>
            <w:vAlign w:val="center"/>
          </w:tcPr>
          <w:p>
            <w:pPr>
              <w:spacing w:line="276" w:lineRule="auto" w:before="0" w:after="0"/>
            </w:pPr>
            <w:r/>
            <w:r>
              <w:rPr>
                <w:rFonts w:ascii="Figtree" w:hAnsi="Figtree"/>
                <w:b w:val="0"/>
                <w:i w:val="0"/>
                <w:sz w:val="20"/>
              </w:rPr>
              <w:t>Year 2</w:t>
            </w:r>
          </w:p>
        </w:tc>
        <w:tc>
          <w:tcPr>
            <w:tcW w:type="dxa" w:w="3249"/>
            <w:vAlign w:val="center"/>
          </w:tcPr>
          <w:p>
            <w:pPr>
              <w:spacing w:line="276" w:lineRule="auto" w:before="0" w:after="0"/>
            </w:pPr>
            <w:r/>
            <w:r>
              <w:rPr>
                <w:rFonts w:ascii="Figtree" w:hAnsi="Figtree"/>
                <w:b w:val="0"/>
                <w:i w:val="0"/>
                <w:sz w:val="20"/>
              </w:rPr>
              <w:t>Anniversary</w:t>
            </w:r>
          </w:p>
        </w:tc>
        <w:tc>
          <w:tcPr>
            <w:tcW w:type="dxa" w:w="3249"/>
            <w:vAlign w:val="center"/>
          </w:tcPr>
          <w:p>
            <w:pPr>
              <w:spacing w:line="276" w:lineRule="auto" w:before="0" w:after="0"/>
            </w:pPr>
            <w:r/>
            <w:r>
              <w:rPr>
                <w:rFonts w:ascii="Figtree" w:hAnsi="Figtree"/>
                <w:b w:val="0"/>
                <w:i w:val="0"/>
                <w:sz w:val="20"/>
              </w:rPr>
              <w:t>USD 450,000</w:t>
            </w:r>
          </w:p>
        </w:tc>
      </w:tr>
      <w:tr>
        <w:trPr>
          <w:trHeight w:val="425" w:hRule="atLeast"/>
        </w:trPr>
        <w:tc>
          <w:tcPr>
            <w:tcW w:type="dxa" w:w="3249"/>
            <w:vAlign w:val="center"/>
          </w:tcPr>
          <w:p>
            <w:pPr>
              <w:spacing w:line="276" w:lineRule="auto" w:before="0" w:after="0"/>
            </w:pPr>
            <w:r/>
            <w:r>
              <w:rPr>
                <w:rFonts w:ascii="Figtree" w:hAnsi="Figtree"/>
                <w:b w:val="0"/>
                <w:i w:val="0"/>
                <w:sz w:val="20"/>
              </w:rPr>
              <w:t>Year 3</w:t>
            </w:r>
          </w:p>
        </w:tc>
        <w:tc>
          <w:tcPr>
            <w:tcW w:type="dxa" w:w="3249"/>
            <w:vAlign w:val="center"/>
          </w:tcPr>
          <w:p>
            <w:pPr>
              <w:spacing w:line="276" w:lineRule="auto" w:before="0" w:after="0"/>
            </w:pPr>
            <w:r/>
            <w:r>
              <w:rPr>
                <w:rFonts w:ascii="Figtree" w:hAnsi="Figtree"/>
                <w:b w:val="0"/>
                <w:i w:val="0"/>
                <w:sz w:val="20"/>
              </w:rPr>
              <w:t>Anniversary</w:t>
            </w:r>
          </w:p>
        </w:tc>
        <w:tc>
          <w:tcPr>
            <w:tcW w:type="dxa" w:w="3249"/>
            <w:vAlign w:val="center"/>
          </w:tcPr>
          <w:p>
            <w:pPr>
              <w:spacing w:line="276" w:lineRule="auto" w:before="0" w:after="0"/>
            </w:pPr>
            <w:r/>
            <w:r>
              <w:rPr>
                <w:rFonts w:ascii="Figtree" w:hAnsi="Figtree"/>
                <w:b w:val="0"/>
                <w:i w:val="0"/>
                <w:sz w:val="20"/>
              </w:rPr>
              <w:t>USD 450,000</w:t>
            </w:r>
          </w:p>
        </w:tc>
      </w:tr>
    </w:tbl>
    <w:p>
      <w:pPr>
        <w:spacing w:before="0" w:after="0" w:line="120" w:lineRule="exact"/>
      </w:pPr>
    </w:p>
    <w:p>
      <w:pPr>
        <w:pStyle w:val="H3"/>
        <w:numPr>
          <w:ilvl w:val="2"/>
          <w:numId w:val="1"/>
        </w:numPr>
      </w:pPr>
      <w:r>
        <w:t>17.1.3 Support Payments</w:t>
      </w:r>
    </w:p>
    <w:p>
      <w:r>
        <w:rPr>
          <w:rFonts w:ascii="Figtree" w:hAnsi="Figtree"/>
          <w:b w:val="0"/>
          <w:i w:val="0"/>
          <w:sz w:val="22"/>
        </w:rPr>
        <w:t>Support fees are payable quarterly in advance: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4"/>
        <w:gridCol w:w="2551"/>
        <w:gridCol w:w="4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Quarter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Due 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 (Premium)</w:t>
            </w:r>
          </w:p>
        </w:tc>
      </w:tr>
      <w:tr>
        <w:trPr>
          <w:trHeight w:val="425" w:hRule="atLeast"/>
        </w:trPr>
        <w:tc>
          <w:tcPr>
            <w:tcW w:type="dxa" w:w="3249"/>
            <w:vAlign w:val="center"/>
          </w:tcPr>
          <w:p>
            <w:pPr>
              <w:spacing w:line="276" w:lineRule="auto" w:before="0" w:after="0"/>
            </w:pPr>
            <w:r/>
            <w:r>
              <w:rPr>
                <w:rFonts w:ascii="Figtree" w:hAnsi="Figtree"/>
                <w:b w:val="0"/>
                <w:i w:val="0"/>
                <w:sz w:val="20"/>
              </w:rPr>
              <w:t>Q1</w:t>
            </w:r>
          </w:p>
        </w:tc>
        <w:tc>
          <w:tcPr>
            <w:tcW w:type="dxa" w:w="3249"/>
            <w:vAlign w:val="center"/>
          </w:tcPr>
          <w:p>
            <w:pPr>
              <w:spacing w:line="276" w:lineRule="auto" w:before="0" w:after="0"/>
            </w:pPr>
            <w:r/>
            <w:r>
              <w:rPr>
                <w:rFonts w:ascii="Figtree" w:hAnsi="Figtree"/>
                <w:b w:val="0"/>
                <w:i w:val="0"/>
                <w:sz w:val="20"/>
              </w:rPr>
              <w:t>January 1</w:t>
            </w:r>
          </w:p>
        </w:tc>
        <w:tc>
          <w:tcPr>
            <w:tcW w:type="dxa" w:w="3249"/>
            <w:vAlign w:val="center"/>
          </w:tcPr>
          <w:p>
            <w:pPr>
              <w:spacing w:line="276" w:lineRule="auto" w:before="0" w:after="0"/>
            </w:pPr>
            <w:r/>
            <w:r>
              <w:rPr>
                <w:rFonts w:ascii="Figtree" w:hAnsi="Figtree"/>
                <w:b w:val="0"/>
                <w:i w:val="0"/>
                <w:sz w:val="20"/>
              </w:rPr>
              <w:t>USD 48,000</w:t>
            </w:r>
          </w:p>
        </w:tc>
      </w:tr>
      <w:tr>
        <w:trPr>
          <w:trHeight w:val="425" w:hRule="atLeast"/>
        </w:trPr>
        <w:tc>
          <w:tcPr>
            <w:tcW w:type="dxa" w:w="3249"/>
            <w:vAlign w:val="center"/>
          </w:tcPr>
          <w:p>
            <w:pPr>
              <w:spacing w:line="276" w:lineRule="auto" w:before="0" w:after="0"/>
            </w:pPr>
            <w:r/>
            <w:r>
              <w:rPr>
                <w:rFonts w:ascii="Figtree" w:hAnsi="Figtree"/>
                <w:b w:val="0"/>
                <w:i w:val="0"/>
                <w:sz w:val="20"/>
              </w:rPr>
              <w:t>Q2</w:t>
            </w:r>
          </w:p>
        </w:tc>
        <w:tc>
          <w:tcPr>
            <w:tcW w:type="dxa" w:w="3249"/>
            <w:vAlign w:val="center"/>
          </w:tcPr>
          <w:p>
            <w:pPr>
              <w:spacing w:line="276" w:lineRule="auto" w:before="0" w:after="0"/>
            </w:pPr>
            <w:r/>
            <w:r>
              <w:rPr>
                <w:rFonts w:ascii="Figtree" w:hAnsi="Figtree"/>
                <w:b w:val="0"/>
                <w:i w:val="0"/>
                <w:sz w:val="20"/>
              </w:rPr>
              <w:t>April 1</w:t>
            </w:r>
          </w:p>
        </w:tc>
        <w:tc>
          <w:tcPr>
            <w:tcW w:type="dxa" w:w="3249"/>
            <w:vAlign w:val="center"/>
          </w:tcPr>
          <w:p>
            <w:pPr>
              <w:spacing w:line="276" w:lineRule="auto" w:before="0" w:after="0"/>
            </w:pPr>
            <w:r/>
            <w:r>
              <w:rPr>
                <w:rFonts w:ascii="Figtree" w:hAnsi="Figtree"/>
                <w:b w:val="0"/>
                <w:i w:val="0"/>
                <w:sz w:val="20"/>
              </w:rPr>
              <w:t>USD 48,000</w:t>
            </w:r>
          </w:p>
        </w:tc>
      </w:tr>
      <w:tr>
        <w:trPr>
          <w:trHeight w:val="425" w:hRule="atLeast"/>
        </w:trPr>
        <w:tc>
          <w:tcPr>
            <w:tcW w:type="dxa" w:w="3249"/>
            <w:vAlign w:val="center"/>
          </w:tcPr>
          <w:p>
            <w:pPr>
              <w:spacing w:line="276" w:lineRule="auto" w:before="0" w:after="0"/>
            </w:pPr>
            <w:r/>
            <w:r>
              <w:rPr>
                <w:rFonts w:ascii="Figtree" w:hAnsi="Figtree"/>
                <w:b w:val="0"/>
                <w:i w:val="0"/>
                <w:sz w:val="20"/>
              </w:rPr>
              <w:t>Q3</w:t>
            </w:r>
          </w:p>
        </w:tc>
        <w:tc>
          <w:tcPr>
            <w:tcW w:type="dxa" w:w="3249"/>
            <w:vAlign w:val="center"/>
          </w:tcPr>
          <w:p>
            <w:pPr>
              <w:spacing w:line="276" w:lineRule="auto" w:before="0" w:after="0"/>
            </w:pPr>
            <w:r/>
            <w:r>
              <w:rPr>
                <w:rFonts w:ascii="Figtree" w:hAnsi="Figtree"/>
                <w:b w:val="0"/>
                <w:i w:val="0"/>
                <w:sz w:val="20"/>
              </w:rPr>
              <w:t>July 1</w:t>
            </w:r>
          </w:p>
        </w:tc>
        <w:tc>
          <w:tcPr>
            <w:tcW w:type="dxa" w:w="3249"/>
            <w:vAlign w:val="center"/>
          </w:tcPr>
          <w:p>
            <w:pPr>
              <w:spacing w:line="276" w:lineRule="auto" w:before="0" w:after="0"/>
            </w:pPr>
            <w:r/>
            <w:r>
              <w:rPr>
                <w:rFonts w:ascii="Figtree" w:hAnsi="Figtree"/>
                <w:b w:val="0"/>
                <w:i w:val="0"/>
                <w:sz w:val="20"/>
              </w:rPr>
              <w:t>USD 48,000</w:t>
            </w:r>
          </w:p>
        </w:tc>
      </w:tr>
      <w:tr>
        <w:trPr>
          <w:trHeight w:val="425" w:hRule="atLeast"/>
        </w:trPr>
        <w:tc>
          <w:tcPr>
            <w:tcW w:type="dxa" w:w="3249"/>
            <w:vAlign w:val="center"/>
          </w:tcPr>
          <w:p>
            <w:pPr>
              <w:spacing w:line="276" w:lineRule="auto" w:before="0" w:after="0"/>
            </w:pPr>
            <w:r/>
            <w:r>
              <w:rPr>
                <w:rFonts w:ascii="Figtree" w:hAnsi="Figtree"/>
                <w:b w:val="0"/>
                <w:i w:val="0"/>
                <w:sz w:val="20"/>
              </w:rPr>
              <w:t>Q4</w:t>
            </w:r>
          </w:p>
        </w:tc>
        <w:tc>
          <w:tcPr>
            <w:tcW w:type="dxa" w:w="3249"/>
            <w:vAlign w:val="center"/>
          </w:tcPr>
          <w:p>
            <w:pPr>
              <w:spacing w:line="276" w:lineRule="auto" w:before="0" w:after="0"/>
            </w:pPr>
            <w:r/>
            <w:r>
              <w:rPr>
                <w:rFonts w:ascii="Figtree" w:hAnsi="Figtree"/>
                <w:b w:val="0"/>
                <w:i w:val="0"/>
                <w:sz w:val="20"/>
              </w:rPr>
              <w:t>October 1</w:t>
            </w:r>
          </w:p>
        </w:tc>
        <w:tc>
          <w:tcPr>
            <w:tcW w:type="dxa" w:w="3249"/>
            <w:vAlign w:val="center"/>
          </w:tcPr>
          <w:p>
            <w:pPr>
              <w:spacing w:line="276" w:lineRule="auto" w:before="0" w:after="0"/>
            </w:pPr>
            <w:r/>
            <w:r>
              <w:rPr>
                <w:rFonts w:ascii="Figtree" w:hAnsi="Figtree"/>
                <w:b w:val="0"/>
                <w:i w:val="0"/>
                <w:sz w:val="20"/>
              </w:rPr>
              <w:t>USD 48,000</w:t>
            </w:r>
          </w:p>
        </w:tc>
      </w:tr>
    </w:tbl>
    <w:p>
      <w:pPr>
        <w:spacing w:before="0" w:after="0" w:line="120" w:lineRule="exact"/>
      </w:pPr>
    </w:p>
    <w:p>
      <w:pPr>
        <w:pStyle w:val="H2"/>
        <w:numPr>
          <w:ilvl w:val="1"/>
          <w:numId w:val="1"/>
        </w:numPr>
      </w:pPr>
      <w:r>
        <w:t>17.2 Investment Summary</w:t>
      </w:r>
    </w:p>
    <w:p>
      <w:pPr>
        <w:pStyle w:val="H3"/>
        <w:numPr>
          <w:ilvl w:val="2"/>
          <w:numId w:val="1"/>
        </w:numPr>
      </w:pPr>
      <w:r>
        <w:t>17.2.1 Three-Year Total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4"/>
        <w:gridCol w:w="1904"/>
        <w:gridCol w:w="1680"/>
        <w:gridCol w:w="1680"/>
        <w:gridCol w:w="19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450,000</w:t>
            </w:r>
          </w:p>
        </w:tc>
        <w:tc>
          <w:tcPr>
            <w:tcW w:type="dxa" w:w="1949"/>
            <w:vAlign w:val="center"/>
          </w:tcPr>
          <w:p>
            <w:pPr>
              <w:spacing w:line="276" w:lineRule="auto" w:before="0" w:after="0"/>
            </w:pPr>
            <w:r/>
            <w:r>
              <w:rPr>
                <w:rFonts w:ascii="Figtree" w:hAnsi="Figtree"/>
                <w:b w:val="0"/>
                <w:i w:val="0"/>
                <w:sz w:val="20"/>
              </w:rPr>
              <w:t>USD 1,350,000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USD 850,000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USD 850,000</w:t>
            </w:r>
          </w:p>
        </w:tc>
      </w:tr>
      <w:tr>
        <w:trPr>
          <w:trHeight w:val="425" w:hRule="atLeast"/>
        </w:trPr>
        <w:tc>
          <w:tcPr>
            <w:tcW w:type="dxa" w:w="1949"/>
            <w:vAlign w:val="center"/>
          </w:tcPr>
          <w:p>
            <w:pPr>
              <w:spacing w:line="276" w:lineRule="auto" w:before="0" w:after="0"/>
            </w:pPr>
            <w:r/>
            <w:r>
              <w:rPr>
                <w:rFonts w:ascii="Figtree" w:hAnsi="Figtree"/>
                <w:b w:val="0"/>
                <w:i w:val="0"/>
                <w:sz w:val="20"/>
              </w:rPr>
              <w:t>Support (Premium)</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USD 192,000</w:t>
            </w:r>
          </w:p>
        </w:tc>
        <w:tc>
          <w:tcPr>
            <w:tcW w:type="dxa" w:w="1949"/>
            <w:vAlign w:val="center"/>
          </w:tcPr>
          <w:p>
            <w:pPr>
              <w:spacing w:line="276" w:lineRule="auto" w:before="0" w:after="0"/>
            </w:pPr>
            <w:r/>
            <w:r>
              <w:rPr>
                <w:rFonts w:ascii="Figtree" w:hAnsi="Figtree"/>
                <w:b w:val="0"/>
                <w:i w:val="0"/>
                <w:sz w:val="20"/>
              </w:rPr>
              <w:t>USD 192,000</w:t>
            </w:r>
          </w:p>
        </w:tc>
        <w:tc>
          <w:tcPr>
            <w:tcW w:type="dxa" w:w="1949"/>
            <w:vAlign w:val="center"/>
          </w:tcPr>
          <w:p>
            <w:pPr>
              <w:spacing w:line="276" w:lineRule="auto" w:before="0" w:after="0"/>
            </w:pPr>
            <w:r/>
            <w:r>
              <w:rPr>
                <w:rFonts w:ascii="Figtree" w:hAnsi="Figtree"/>
                <w:b w:val="0"/>
                <w:i w:val="0"/>
                <w:sz w:val="20"/>
              </w:rPr>
              <w:t>USD 384,000</w:t>
            </w:r>
          </w:p>
        </w:tc>
      </w:tr>
      <w:tr>
        <w:trPr>
          <w:trHeight w:val="425" w:hRule="atLeast"/>
        </w:trPr>
        <w:tc>
          <w:tcPr>
            <w:tcW w:type="dxa" w:w="1949"/>
            <w:vAlign w:val="center"/>
          </w:tcPr>
          <w:p>
            <w:pPr>
              <w:spacing w:line="276" w:lineRule="auto" w:before="0" w:after="0"/>
            </w:pPr>
            <w:r/>
            <w:r>
              <w:rPr>
                <w:rFonts w:ascii="Figtree" w:hAnsi="Figtree"/>
                <w:b/>
                <w:i w:val="0"/>
                <w:sz w:val="20"/>
              </w:rPr>
              <w:t>Subtotal</w:t>
            </w:r>
          </w:p>
        </w:tc>
        <w:tc>
          <w:tcPr>
            <w:tcW w:type="dxa" w:w="1949"/>
            <w:vAlign w:val="center"/>
          </w:tcPr>
          <w:p>
            <w:pPr>
              <w:spacing w:line="276" w:lineRule="auto" w:before="0" w:after="0"/>
            </w:pPr>
            <w:r/>
            <w:r>
              <w:rPr>
                <w:rFonts w:ascii="Figtree" w:hAnsi="Figtree"/>
                <w:b/>
                <w:i w:val="0"/>
                <w:sz w:val="20"/>
              </w:rPr>
              <w:t>USD 1,300,000</w:t>
            </w:r>
          </w:p>
        </w:tc>
        <w:tc>
          <w:tcPr>
            <w:tcW w:type="dxa" w:w="1949"/>
            <w:vAlign w:val="center"/>
          </w:tcPr>
          <w:p>
            <w:pPr>
              <w:spacing w:line="276" w:lineRule="auto" w:before="0" w:after="0"/>
            </w:pPr>
            <w:r/>
            <w:r>
              <w:rPr>
                <w:rFonts w:ascii="Figtree" w:hAnsi="Figtree"/>
                <w:b/>
                <w:i w:val="0"/>
                <w:sz w:val="20"/>
              </w:rPr>
              <w:t>USD 642,000</w:t>
            </w:r>
          </w:p>
        </w:tc>
        <w:tc>
          <w:tcPr>
            <w:tcW w:type="dxa" w:w="1949"/>
            <w:vAlign w:val="center"/>
          </w:tcPr>
          <w:p>
            <w:pPr>
              <w:spacing w:line="276" w:lineRule="auto" w:before="0" w:after="0"/>
            </w:pPr>
            <w:r/>
            <w:r>
              <w:rPr>
                <w:rFonts w:ascii="Figtree" w:hAnsi="Figtree"/>
                <w:b/>
                <w:i w:val="0"/>
                <w:sz w:val="20"/>
              </w:rPr>
              <w:t>USD 642,000</w:t>
            </w:r>
          </w:p>
        </w:tc>
        <w:tc>
          <w:tcPr>
            <w:tcW w:type="dxa" w:w="1949"/>
            <w:vAlign w:val="center"/>
          </w:tcPr>
          <w:p>
            <w:pPr>
              <w:spacing w:line="276" w:lineRule="auto" w:before="0" w:after="0"/>
            </w:pPr>
            <w:r/>
            <w:r>
              <w:rPr>
                <w:rFonts w:ascii="Figtree" w:hAnsi="Figtree"/>
                <w:b/>
                <w:i w:val="0"/>
                <w:sz w:val="20"/>
              </w:rPr>
              <w:t>USD 2,584,000</w:t>
            </w:r>
          </w:p>
        </w:tc>
      </w:tr>
    </w:tbl>
    <w:p>
      <w:pPr>
        <w:spacing w:before="0" w:after="0" w:line="120" w:lineRule="exact"/>
      </w:pPr>
    </w:p>
    <w:p>
      <w:r>
        <w:rPr>
          <w:rFonts w:ascii="Figtree" w:hAnsi="Figtree"/>
          <w:b w:val="0"/>
          <w:i w:val="0"/>
          <w:sz w:val="22"/>
        </w:rPr>
        <w:t>Note: Infrastructure costs (cloud, blockchain nodes, HSM) are billed directly by providers and are not included in SettleMint fees. Estimated infrastructure costs are USD 540,000-840,000 annually.</w:t>
      </w:r>
    </w:p>
    <w:p>
      <w:pPr>
        <w:pStyle w:val="H3"/>
        <w:numPr>
          <w:ilvl w:val="2"/>
          <w:numId w:val="1"/>
        </w:numPr>
      </w:pPr>
      <w:r>
        <w:t>17.2.2 Cost Optimization Opportunities</w:t>
      </w:r>
    </w:p>
    <w:p>
      <w:r>
        <w:rPr>
          <w:rFonts w:ascii="Figtree" w:hAnsi="Figtree"/>
          <w:b w:val="0"/>
          <w:i w:val="0"/>
          <w:sz w:val="22"/>
        </w:rPr>
        <w:t>Several opportunities exist to optimize the total investment:</w:t>
      </w:r>
    </w:p>
    <w:p>
      <w:r>
        <w:rPr>
          <w:rFonts w:ascii="Figtree" w:hAnsi="Figtree"/>
          <w:b/>
          <w:i w:val="0"/>
          <w:sz w:val="22"/>
        </w:rPr>
        <w:t>Multi-Year Commitment</w:t>
      </w:r>
      <w:r>
        <w:rPr>
          <w:rFonts w:ascii="Figtree" w:hAnsi="Figtree"/>
          <w:b w:val="0"/>
          <w:i w:val="0"/>
          <w:sz w:val="22"/>
        </w:rPr>
        <w:t>: A three-year license commitment provides a 10% discount on license fees, saving USD 135,000 over the term.</w:t>
      </w:r>
    </w:p>
    <w:p>
      <w:r>
        <w:rPr>
          <w:rFonts w:ascii="Figtree" w:hAnsi="Figtree"/>
          <w:b/>
          <w:i w:val="0"/>
          <w:sz w:val="22"/>
        </w:rPr>
        <w:t>Payment Terms</w:t>
      </w:r>
      <w:r>
        <w:rPr>
          <w:rFonts w:ascii="Figtree" w:hAnsi="Figtree"/>
          <w:b w:val="0"/>
          <w:i w:val="0"/>
          <w:sz w:val="22"/>
        </w:rPr>
        <w:t>: Annual payment in advance (rather than quarterly) provides a 5% discount on support fees.</w:t>
      </w:r>
    </w:p>
    <w:p>
      <w:r>
        <w:rPr>
          <w:rFonts w:ascii="Figtree" w:hAnsi="Figtree"/>
          <w:b/>
          <w:i w:val="0"/>
          <w:sz w:val="22"/>
        </w:rPr>
        <w:t>Infrastructure Optimization</w:t>
      </w:r>
      <w:r>
        <w:rPr>
          <w:rFonts w:ascii="Figtree" w:hAnsi="Figtree"/>
          <w:b w:val="0"/>
          <w:i w:val="0"/>
          <w:sz w:val="22"/>
        </w:rPr>
        <w:t>: Rightsizing of environments and use of reserved capacity can reduce infrastructure costs by 15-20%.</w:t>
      </w:r>
    </w:p>
    <w:p>
      <w:r>
        <w:rPr>
          <w:rFonts w:ascii="Figtree" w:hAnsi="Figtree"/>
          <w:b/>
          <w:i w:val="0"/>
          <w:sz w:val="22"/>
        </w:rPr>
        <w:t>Phased Scope</w:t>
      </w:r>
      <w:r>
        <w:rPr>
          <w:rFonts w:ascii="Figtree" w:hAnsi="Figtree"/>
          <w:b w:val="0"/>
          <w:i w:val="0"/>
          <w:sz w:val="22"/>
        </w:rPr>
        <w:t>: Initial deployment with core asset classes, followed by expansion, can spread investment over time.</w:t>
      </w:r>
    </w:p>
    <w:p>
      <w:pPr>
        <w:pStyle w:val="H2"/>
        <w:numPr>
          <w:ilvl w:val="1"/>
          <w:numId w:val="1"/>
        </w:numPr>
      </w:pPr>
      <w:r>
        <w:t>17.3 Commercial Flexibility</w:t>
      </w:r>
    </w:p>
    <w:p>
      <w:pPr>
        <w:pStyle w:val="H3"/>
        <w:numPr>
          <w:ilvl w:val="2"/>
          <w:numId w:val="1"/>
        </w:numPr>
      </w:pPr>
      <w:r>
        <w:t>17.3.1 Scope Adjustment</w:t>
      </w:r>
    </w:p>
    <w:p>
      <w:r>
        <w:rPr>
          <w:rFonts w:ascii="Figtree" w:hAnsi="Figtree"/>
          <w:b w:val="0"/>
          <w:i w:val="0"/>
          <w:sz w:val="22"/>
        </w:rPr>
        <w:t>The proposal includes mechanisms for scope adjustment:</w:t>
      </w:r>
    </w:p>
    <w:p>
      <w:r>
        <w:rPr>
          <w:rFonts w:ascii="Figtree" w:hAnsi="Figtree"/>
          <w:b/>
          <w:i w:val="0"/>
          <w:sz w:val="22"/>
        </w:rPr>
        <w:t>Addition of Asset Classes</w:t>
      </w:r>
      <w:r>
        <w:rPr>
          <w:rFonts w:ascii="Figtree" w:hAnsi="Figtree"/>
          <w:b w:val="0"/>
          <w:i w:val="0"/>
          <w:sz w:val="22"/>
        </w:rPr>
        <w:t>: Each additional asset class beyond the initial scope requires USD 75,000 implementation and USD 25,000 annual license.</w:t>
      </w:r>
    </w:p>
    <w:p>
      <w:r>
        <w:rPr>
          <w:rFonts w:ascii="Figtree" w:hAnsi="Figtree"/>
          <w:b/>
          <w:i w:val="0"/>
          <w:sz w:val="22"/>
        </w:rPr>
        <w:t>Addition of Jurisdictions</w:t>
      </w:r>
      <w:r>
        <w:rPr>
          <w:rFonts w:ascii="Figtree" w:hAnsi="Figtree"/>
          <w:b w:val="0"/>
          <w:i w:val="0"/>
          <w:sz w:val="22"/>
        </w:rPr>
        <w:t>: Each additional jurisdiction requires USD 50,000 implementation and USD 15,000 annual license.</w:t>
      </w:r>
    </w:p>
    <w:p>
      <w:r>
        <w:rPr>
          <w:rFonts w:ascii="Figtree" w:hAnsi="Figtree"/>
          <w:b/>
          <w:i w:val="0"/>
          <w:sz w:val="22"/>
        </w:rPr>
        <w:t>Integration Extensions</w:t>
      </w:r>
      <w:r>
        <w:rPr>
          <w:rFonts w:ascii="Figtree" w:hAnsi="Figtree"/>
          <w:b w:val="0"/>
          <w:i w:val="0"/>
          <w:sz w:val="22"/>
        </w:rPr>
        <w:t>: Additional integration points are quoted at standard daily rates of USD 1,500 per day.</w:t>
      </w:r>
    </w:p>
    <w:p>
      <w:pPr>
        <w:pStyle w:val="H3"/>
        <w:numPr>
          <w:ilvl w:val="2"/>
          <w:numId w:val="1"/>
        </w:numPr>
      </w:pPr>
      <w:r>
        <w:t>17.3.2 Change Control</w:t>
      </w:r>
    </w:p>
    <w:p>
      <w:r>
        <w:rPr>
          <w:rFonts w:ascii="Figtree" w:hAnsi="Figtree"/>
          <w:b w:val="0"/>
          <w:i w:val="0"/>
          <w:sz w:val="22"/>
        </w:rPr>
        <w:t>Changes to scope, timeline, or requirements follow a formal change control process:</w:t>
      </w:r>
    </w:p>
    <w:p>
      <w:pPr>
        <w:pStyle w:val="ListParagraph"/>
        <w:numPr>
          <w:ilvl w:val="0"/>
          <w:numId w:val="8"/>
        </w:numPr>
      </w:pPr>
      <w:r>
        <w:rPr>
          <w:rFonts w:ascii="Figtree" w:hAnsi="Figtree"/>
          <w:b w:val="0"/>
          <w:i w:val="0"/>
          <w:sz w:val="22"/>
        </w:rPr>
        <w:t>Change request submitted by either party</w:t>
      </w:r>
    </w:p>
    <w:p>
      <w:pPr>
        <w:pStyle w:val="ListParagraph"/>
        <w:numPr>
          <w:ilvl w:val="0"/>
          <w:numId w:val="8"/>
        </w:numPr>
      </w:pPr>
      <w:r>
        <w:rPr>
          <w:rFonts w:ascii="Figtree" w:hAnsi="Figtree"/>
          <w:b w:val="0"/>
          <w:i w:val="0"/>
          <w:sz w:val="22"/>
        </w:rPr>
        <w:t>Impact assessment by SettleMint</w:t>
      </w:r>
    </w:p>
    <w:p>
      <w:pPr>
        <w:pStyle w:val="ListParagraph"/>
        <w:numPr>
          <w:ilvl w:val="0"/>
          <w:numId w:val="8"/>
        </w:numPr>
      </w:pPr>
      <w:r>
        <w:rPr>
          <w:rFonts w:ascii="Figtree" w:hAnsi="Figtree"/>
          <w:b w:val="0"/>
          <w:i w:val="0"/>
          <w:sz w:val="22"/>
        </w:rPr>
        <w:t>Commercial and timeline impact documented</w:t>
      </w:r>
    </w:p>
    <w:p>
      <w:pPr>
        <w:pStyle w:val="ListParagraph"/>
        <w:numPr>
          <w:ilvl w:val="0"/>
          <w:numId w:val="8"/>
        </w:numPr>
      </w:pPr>
      <w:r>
        <w:rPr>
          <w:rFonts w:ascii="Figtree" w:hAnsi="Figtree"/>
          <w:b w:val="0"/>
          <w:i w:val="0"/>
          <w:sz w:val="22"/>
        </w:rPr>
        <w:t>Approval by both parties</w:t>
      </w:r>
    </w:p>
    <w:p>
      <w:pPr>
        <w:pStyle w:val="ListParagraph"/>
        <w:numPr>
          <w:ilvl w:val="0"/>
          <w:numId w:val="8"/>
        </w:numPr>
      </w:pPr>
      <w:r>
        <w:rPr>
          <w:rFonts w:ascii="Figtree" w:hAnsi="Figtree"/>
          <w:b w:val="0"/>
          <w:i w:val="0"/>
          <w:sz w:val="22"/>
        </w:rPr>
        <w:t>Implementation of approved changes</w:t>
      </w:r>
    </w:p>
    <w:p>
      <w:pPr>
        <w:pStyle w:val="H3"/>
        <w:numPr>
          <w:ilvl w:val="2"/>
          <w:numId w:val="1"/>
        </w:numPr>
      </w:pPr>
      <w:r>
        <w:t>17.3.3 Exit Provisions</w:t>
      </w:r>
    </w:p>
    <w:p>
      <w:r>
        <w:rPr>
          <w:rFonts w:ascii="Figtree" w:hAnsi="Figtree"/>
          <w:b w:val="0"/>
          <w:i w:val="0"/>
          <w:sz w:val="22"/>
        </w:rPr>
        <w:t>The agreement includes provisions for orderly exit:</w:t>
      </w:r>
    </w:p>
    <w:p>
      <w:r>
        <w:rPr>
          <w:rFonts w:ascii="Figtree" w:hAnsi="Figtree"/>
          <w:b/>
          <w:i w:val="0"/>
          <w:sz w:val="22"/>
        </w:rPr>
        <w:t>Termination for Convenience</w:t>
      </w:r>
      <w:r>
        <w:rPr>
          <w:rFonts w:ascii="Figtree" w:hAnsi="Figtree"/>
          <w:b w:val="0"/>
          <w:i w:val="0"/>
          <w:sz w:val="22"/>
        </w:rPr>
        <w:t>: Either party may terminate with 90 days notice after the initial term.</w:t>
      </w:r>
    </w:p>
    <w:p>
      <w:r>
        <w:rPr>
          <w:rFonts w:ascii="Figtree" w:hAnsi="Figtree"/>
          <w:b/>
          <w:i w:val="0"/>
          <w:sz w:val="22"/>
        </w:rPr>
        <w:t>Termination for Cause</w:t>
      </w:r>
      <w:r>
        <w:rPr>
          <w:rFonts w:ascii="Figtree" w:hAnsi="Figtree"/>
          <w:b w:val="0"/>
          <w:i w:val="0"/>
          <w:sz w:val="22"/>
        </w:rPr>
        <w:t>: Immediate termination rights for material breach with cure period.</w:t>
      </w:r>
    </w:p>
    <w:p>
      <w:r>
        <w:rPr>
          <w:rFonts w:ascii="Figtree" w:hAnsi="Figtree"/>
          <w:b/>
          <w:i w:val="0"/>
          <w:sz w:val="22"/>
        </w:rPr>
        <w:t>Data Export</w:t>
      </w:r>
      <w:r>
        <w:rPr>
          <w:rFonts w:ascii="Figtree" w:hAnsi="Figtree"/>
          <w:b w:val="0"/>
          <w:i w:val="0"/>
          <w:sz w:val="22"/>
        </w:rPr>
        <w:t>: Upon termination, Tadawul receives complete data export in standard formats.</w:t>
      </w:r>
    </w:p>
    <w:p>
      <w:r>
        <w:rPr>
          <w:rFonts w:ascii="Figtree" w:hAnsi="Figtree"/>
          <w:b/>
          <w:i w:val="0"/>
          <w:sz w:val="22"/>
        </w:rPr>
        <w:t>Transition Assistance</w:t>
      </w:r>
      <w:r>
        <w:rPr>
          <w:rFonts w:ascii="Figtree" w:hAnsi="Figtree"/>
          <w:b w:val="0"/>
          <w:i w:val="0"/>
          <w:sz w:val="22"/>
        </w:rPr>
        <w:t>: SettleMint provides 90 days of transition support at standard rates.</w:t>
      </w:r>
    </w:p>
    <w:p>
      <w:r>
        <w:br w:type="page"/>
      </w:r>
    </w:p>
    <w:p>
      <w:pPr>
        <w:pStyle w:val="H1"/>
        <w:numPr>
          <w:ilvl w:val="0"/>
          <w:numId w:val="1"/>
        </w:numPr>
      </w:pPr>
      <w:r>
        <w:t>18. Risk Allocation</w:t>
      </w:r>
    </w:p>
    <w:p>
      <w:pPr>
        <w:pStyle w:val="H2"/>
        <w:numPr>
          <w:ilvl w:val="1"/>
          <w:numId w:val="1"/>
        </w:numPr>
      </w:pPr>
      <w:r>
        <w:t>18.1 Risk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2"/>
        <w:gridCol w:w="1440"/>
        <w:gridCol w:w="43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delay</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Fixed timeline, change control</w:t>
            </w:r>
          </w:p>
        </w:tc>
      </w:tr>
      <w:tr>
        <w:trPr>
          <w:trHeight w:val="425" w:hRule="atLeast"/>
        </w:trPr>
        <w:tc>
          <w:tcPr>
            <w:tcW w:type="dxa" w:w="3249"/>
            <w:vAlign w:val="center"/>
          </w:tcPr>
          <w:p>
            <w:pPr>
              <w:spacing w:line="276" w:lineRule="auto" w:before="0" w:after="0"/>
            </w:pPr>
            <w:r/>
            <w:r>
              <w:rPr>
                <w:rFonts w:ascii="Figtree" w:hAnsi="Figtree"/>
                <w:b w:val="0"/>
                <w:i w:val="0"/>
                <w:sz w:val="20"/>
              </w:rPr>
              <w:t>Cost overrun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Fixed-price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Scope creep</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Change control process</w:t>
            </w:r>
          </w:p>
        </w:tc>
      </w:tr>
      <w:tr>
        <w:trPr>
          <w:trHeight w:val="425" w:hRule="atLeast"/>
        </w:trPr>
        <w:tc>
          <w:tcPr>
            <w:tcW w:type="dxa" w:w="3249"/>
            <w:vAlign w:val="center"/>
          </w:tcPr>
          <w:p>
            <w:pPr>
              <w:spacing w:line="276" w:lineRule="auto" w:before="0" w:after="0"/>
            </w:pPr>
            <w:r/>
            <w:r>
              <w:rPr>
                <w:rFonts w:ascii="Figtree" w:hAnsi="Figtree"/>
                <w:b w:val="0"/>
                <w:i w:val="0"/>
                <w:sz w:val="20"/>
              </w:rPr>
              <w:t>Regulatory change</w:t>
            </w:r>
          </w:p>
        </w:tc>
        <w:tc>
          <w:tcPr>
            <w:tcW w:type="dxa" w:w="3249"/>
            <w:vAlign w:val="center"/>
          </w:tcPr>
          <w:p>
            <w:pPr>
              <w:spacing w:line="276" w:lineRule="auto" w:before="0" w:after="0"/>
            </w:pPr>
            <w:r/>
            <w:r>
              <w:rPr>
                <w:rFonts w:ascii="Figtree" w:hAnsi="Figtree"/>
                <w:b w:val="0"/>
                <w:i w:val="0"/>
                <w:sz w:val="20"/>
              </w:rPr>
              <w:t>Tadawul</w:t>
            </w:r>
          </w:p>
        </w:tc>
        <w:tc>
          <w:tcPr>
            <w:tcW w:type="dxa" w:w="3249"/>
            <w:vAlign w:val="center"/>
          </w:tcPr>
          <w:p>
            <w:pPr>
              <w:spacing w:line="276" w:lineRule="auto" w:before="0" w:after="0"/>
            </w:pPr>
            <w:r/>
            <w:r>
              <w:rPr>
                <w:rFonts w:ascii="Figtree" w:hAnsi="Figtree"/>
                <w:b w:val="0"/>
                <w:i w:val="0"/>
                <w:sz w:val="20"/>
              </w:rPr>
              <w:t>Modular compliance</w:t>
            </w:r>
          </w:p>
        </w:tc>
      </w:tr>
      <w:tr>
        <w:trPr>
          <w:trHeight w:val="425" w:hRule="atLeast"/>
        </w:trPr>
        <w:tc>
          <w:tcPr>
            <w:tcW w:type="dxa" w:w="3249"/>
            <w:vAlign w:val="center"/>
          </w:tcPr>
          <w:p>
            <w:pPr>
              <w:spacing w:line="276" w:lineRule="auto" w:before="0" w:after="0"/>
            </w:pPr>
            <w:r/>
            <w:r>
              <w:rPr>
                <w:rFonts w:ascii="Figtree" w:hAnsi="Figtree"/>
                <w:b w:val="0"/>
                <w:i w:val="0"/>
                <w:sz w:val="20"/>
              </w:rPr>
              <w:t>Technology obsolescence</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Continuous updates</w:t>
            </w:r>
          </w:p>
        </w:tc>
      </w:tr>
      <w:tr>
        <w:trPr>
          <w:trHeight w:val="425" w:hRule="atLeast"/>
        </w:trPr>
        <w:tc>
          <w:tcPr>
            <w:tcW w:type="dxa" w:w="3249"/>
            <w:vAlign w:val="center"/>
          </w:tcPr>
          <w:p>
            <w:pPr>
              <w:spacing w:line="276" w:lineRule="auto" w:before="0" w:after="0"/>
            </w:pPr>
            <w:r/>
            <w:r>
              <w:rPr>
                <w:rFonts w:ascii="Figtree" w:hAnsi="Figtree"/>
                <w:b w:val="0"/>
                <w:i w:val="0"/>
                <w:sz w:val="20"/>
              </w:rPr>
              <w:t>Data breach</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Security controls, insurance</w:t>
            </w:r>
          </w:p>
        </w:tc>
      </w:tr>
    </w:tbl>
    <w:p>
      <w:pPr>
        <w:spacing w:before="0" w:after="0" w:line="120" w:lineRule="exact"/>
      </w:pPr>
    </w:p>
    <w:p>
      <w:pPr>
        <w:pStyle w:val="H2"/>
        <w:numPr>
          <w:ilvl w:val="1"/>
          <w:numId w:val="1"/>
        </w:numPr>
      </w:pPr>
      <w:r>
        <w:t>18.2 Insurance</w:t>
      </w:r>
    </w:p>
    <w:p>
      <w:r>
        <w:rPr>
          <w:rFonts w:ascii="Figtree" w:hAnsi="Figtree"/>
          <w:b w:val="0"/>
          <w:i w:val="0"/>
          <w:sz w:val="22"/>
        </w:rPr>
        <w:t>SettleMint maintains appropriate insurance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0"/>
        <w:gridCol w:w="1814"/>
        <w:gridCol w:w="4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Limit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Professional indemnity</w:t>
            </w:r>
          </w:p>
        </w:tc>
        <w:tc>
          <w:tcPr>
            <w:tcW w:type="dxa" w:w="3249"/>
            <w:vAlign w:val="center"/>
          </w:tcPr>
          <w:p>
            <w:pPr>
              <w:spacing w:line="276" w:lineRule="auto" w:before="0" w:after="0"/>
            </w:pPr>
            <w:r/>
            <w:r>
              <w:rPr>
                <w:rFonts w:ascii="Figtree" w:hAnsi="Figtree"/>
                <w:b w:val="0"/>
                <w:i w:val="0"/>
                <w:sz w:val="20"/>
              </w:rPr>
              <w:t>USD 5,000,000</w:t>
            </w:r>
          </w:p>
        </w:tc>
        <w:tc>
          <w:tcPr>
            <w:tcW w:type="dxa" w:w="3249"/>
            <w:vAlign w:val="center"/>
          </w:tcPr>
          <w:p>
            <w:pPr>
              <w:spacing w:line="276" w:lineRule="auto" w:before="0" w:after="0"/>
            </w:pPr>
            <w:r/>
            <w:r>
              <w:rPr>
                <w:rFonts w:ascii="Figtree" w:hAnsi="Figtree"/>
                <w:b w:val="0"/>
                <w:i w:val="0"/>
                <w:sz w:val="20"/>
              </w:rPr>
              <w:t>Errors and omissions</w:t>
            </w:r>
          </w:p>
        </w:tc>
      </w:tr>
      <w:tr>
        <w:trPr>
          <w:trHeight w:val="425" w:hRule="atLeast"/>
        </w:trPr>
        <w:tc>
          <w:tcPr>
            <w:tcW w:type="dxa" w:w="3249"/>
            <w:vAlign w:val="center"/>
          </w:tcPr>
          <w:p>
            <w:pPr>
              <w:spacing w:line="276" w:lineRule="auto" w:before="0" w:after="0"/>
            </w:pPr>
            <w:r/>
            <w:r>
              <w:rPr>
                <w:rFonts w:ascii="Figtree" w:hAnsi="Figtree"/>
                <w:b w:val="0"/>
                <w:i w:val="0"/>
                <w:sz w:val="20"/>
              </w:rPr>
              <w:t>Cyber liability</w:t>
            </w:r>
          </w:p>
        </w:tc>
        <w:tc>
          <w:tcPr>
            <w:tcW w:type="dxa" w:w="3249"/>
            <w:vAlign w:val="center"/>
          </w:tcPr>
          <w:p>
            <w:pPr>
              <w:spacing w:line="276" w:lineRule="auto" w:before="0" w:after="0"/>
            </w:pPr>
            <w:r/>
            <w:r>
              <w:rPr>
                <w:rFonts w:ascii="Figtree" w:hAnsi="Figtree"/>
                <w:b w:val="0"/>
                <w:i w:val="0"/>
                <w:sz w:val="20"/>
              </w:rPr>
              <w:t>USD 5,000,000</w:t>
            </w:r>
          </w:p>
        </w:tc>
        <w:tc>
          <w:tcPr>
            <w:tcW w:type="dxa" w:w="3249"/>
            <w:vAlign w:val="center"/>
          </w:tcPr>
          <w:p>
            <w:pPr>
              <w:spacing w:line="276" w:lineRule="auto" w:before="0" w:after="0"/>
            </w:pPr>
            <w:r/>
            <w:r>
              <w:rPr>
                <w:rFonts w:ascii="Figtree" w:hAnsi="Figtree"/>
                <w:b w:val="0"/>
                <w:i w:val="0"/>
                <w:sz w:val="20"/>
              </w:rPr>
              <w:t>Data breach, cyber events</w:t>
            </w:r>
          </w:p>
        </w:tc>
      </w:tr>
      <w:tr>
        <w:trPr>
          <w:trHeight w:val="425" w:hRule="atLeast"/>
        </w:trPr>
        <w:tc>
          <w:tcPr>
            <w:tcW w:type="dxa" w:w="3249"/>
            <w:vAlign w:val="center"/>
          </w:tcPr>
          <w:p>
            <w:pPr>
              <w:spacing w:line="276" w:lineRule="auto" w:before="0" w:after="0"/>
            </w:pPr>
            <w:r/>
            <w:r>
              <w:rPr>
                <w:rFonts w:ascii="Figtree" w:hAnsi="Figtree"/>
                <w:b w:val="0"/>
                <w:i w:val="0"/>
                <w:sz w:val="20"/>
              </w:rPr>
              <w:t>General liability</w:t>
            </w:r>
          </w:p>
        </w:tc>
        <w:tc>
          <w:tcPr>
            <w:tcW w:type="dxa" w:w="3249"/>
            <w:vAlign w:val="center"/>
          </w:tcPr>
          <w:p>
            <w:pPr>
              <w:spacing w:line="276" w:lineRule="auto" w:before="0" w:after="0"/>
            </w:pPr>
            <w:r/>
            <w:r>
              <w:rPr>
                <w:rFonts w:ascii="Figtree" w:hAnsi="Figtree"/>
                <w:b w:val="0"/>
                <w:i w:val="0"/>
                <w:sz w:val="20"/>
              </w:rPr>
              <w:t>USD 2,000,000</w:t>
            </w:r>
          </w:p>
        </w:tc>
        <w:tc>
          <w:tcPr>
            <w:tcW w:type="dxa" w:w="3249"/>
            <w:vAlign w:val="center"/>
          </w:tcPr>
          <w:p>
            <w:pPr>
              <w:spacing w:line="276" w:lineRule="auto" w:before="0" w:after="0"/>
            </w:pPr>
            <w:r/>
            <w:r>
              <w:rPr>
                <w:rFonts w:ascii="Figtree" w:hAnsi="Figtree"/>
                <w:b w:val="0"/>
                <w:i w:val="0"/>
                <w:sz w:val="20"/>
              </w:rPr>
              <w:t>Bodily injury, property damage</w:t>
            </w:r>
          </w:p>
        </w:tc>
      </w:tr>
    </w:tbl>
    <w:p>
      <w:pPr>
        <w:spacing w:before="0" w:after="0" w:line="120" w:lineRule="exact"/>
      </w:pPr>
    </w:p>
    <w:p>
      <w:pPr>
        <w:pStyle w:val="H2"/>
        <w:numPr>
          <w:ilvl w:val="1"/>
          <w:numId w:val="1"/>
        </w:numPr>
      </w:pPr>
      <w:r>
        <w:t>18.3 Limitation of Liability</w:t>
      </w:r>
    </w:p>
    <w:p>
      <w:r>
        <w:rPr>
          <w:rFonts w:ascii="Figtree" w:hAnsi="Figtree"/>
          <w:b w:val="0"/>
          <w:i w:val="0"/>
          <w:sz w:val="22"/>
        </w:rPr>
        <w:t>Liability is capped at the fees paid in the 12 months preceding the claim. This cap does not apply to:</w:t>
      </w:r>
    </w:p>
    <w:p>
      <w:pPr>
        <w:pStyle w:val="ListParagraph"/>
        <w:numPr>
          <w:ilvl w:val="0"/>
          <w:numId w:val="4"/>
        </w:numPr>
      </w:pPr>
      <w:r>
        <w:rPr>
          <w:rFonts w:ascii="Figtree" w:hAnsi="Figtree"/>
          <w:b w:val="0"/>
          <w:i w:val="0"/>
          <w:sz w:val="22"/>
        </w:rPr>
        <w:t>Confidentiality breaches</w:t>
      </w:r>
    </w:p>
    <w:p>
      <w:pPr>
        <w:pStyle w:val="ListParagraph"/>
        <w:numPr>
          <w:ilvl w:val="0"/>
          <w:numId w:val="4"/>
        </w:numPr>
      </w:pPr>
      <w:r>
        <w:rPr>
          <w:rFonts w:ascii="Figtree" w:hAnsi="Figtree"/>
          <w:b w:val="0"/>
          <w:i w:val="0"/>
          <w:sz w:val="22"/>
        </w:rPr>
        <w:t>IP infringement</w:t>
      </w:r>
    </w:p>
    <w:p>
      <w:pPr>
        <w:pStyle w:val="ListParagraph"/>
        <w:numPr>
          <w:ilvl w:val="0"/>
          <w:numId w:val="4"/>
        </w:numPr>
      </w:pPr>
      <w:r>
        <w:rPr>
          <w:rFonts w:ascii="Figtree" w:hAnsi="Figtree"/>
          <w:b w:val="0"/>
          <w:i w:val="0"/>
          <w:sz w:val="22"/>
        </w:rPr>
        <w:t>Fraud or willful misconduct</w:t>
      </w:r>
    </w:p>
    <w:p>
      <w:pPr>
        <w:pStyle w:val="ListParagraph"/>
        <w:numPr>
          <w:ilvl w:val="0"/>
          <w:numId w:val="4"/>
        </w:numPr>
      </w:pPr>
      <w:r>
        <w:rPr>
          <w:rFonts w:ascii="Figtree" w:hAnsi="Figtree"/>
          <w:b w:val="0"/>
          <w:i w:val="0"/>
          <w:sz w:val="22"/>
        </w:rPr>
        <w:t>Death or personal injury</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19. Extended Service Descriptions</w:t>
      </w:r>
    </w:p>
    <w:p>
      <w:pPr>
        <w:pStyle w:val="H2"/>
        <w:numPr>
          <w:ilvl w:val="1"/>
          <w:numId w:val="1"/>
        </w:numPr>
      </w:pPr>
      <w:r>
        <w:t>19.1 Professional Services</w:t>
      </w:r>
    </w:p>
    <w:p>
      <w:pPr>
        <w:pStyle w:val="H3"/>
        <w:numPr>
          <w:ilvl w:val="2"/>
          <w:numId w:val="1"/>
        </w:numPr>
      </w:pPr>
      <w:r>
        <w:t>19.1.1 Implementation Services</w:t>
      </w:r>
    </w:p>
    <w:p>
      <w:r>
        <w:rPr>
          <w:rFonts w:ascii="Figtree" w:hAnsi="Figtree"/>
          <w:b w:val="0"/>
          <w:i w:val="0"/>
          <w:sz w:val="22"/>
        </w:rPr>
        <w:t>Implementation services cover the complete deployment lifecycle from discovery through go-live. Services include project management, technical design, platform configuration, integration development, testing, and deployment support.</w:t>
      </w:r>
    </w:p>
    <w:p>
      <w:r>
        <w:rPr>
          <w:rFonts w:ascii="Figtree" w:hAnsi="Figtree"/>
          <w:b w:val="0"/>
          <w:i w:val="0"/>
          <w:sz w:val="22"/>
        </w:rPr>
        <w:t>The implementation team includes dedicated project resources with expertise in blockchain technology, financial services, and enterprise integration. Team members are assigned for the duration of the engagement ensuring continuity and accountability.</w:t>
      </w:r>
    </w:p>
    <w:p>
      <w:pPr>
        <w:pStyle w:val="H3"/>
        <w:numPr>
          <w:ilvl w:val="2"/>
          <w:numId w:val="1"/>
        </w:numPr>
      </w:pPr>
      <w:r>
        <w:t>19.1.2 Training Services</w:t>
      </w:r>
    </w:p>
    <w:p>
      <w:r>
        <w:rPr>
          <w:rFonts w:ascii="Figtree" w:hAnsi="Figtree"/>
          <w:b w:val="0"/>
          <w:i w:val="0"/>
          <w:sz w:val="22"/>
        </w:rPr>
        <w:t>Training services ensure that Tadawul's team can operate the platform independently. Training programs are customized to different roles including administrators, operators, and technical staff.</w:t>
      </w:r>
    </w:p>
    <w:p>
      <w:r>
        <w:rPr>
          <w:rFonts w:ascii="Figtree" w:hAnsi="Figtree"/>
          <w:b w:val="0"/>
          <w:i w:val="0"/>
          <w:sz w:val="22"/>
        </w:rPr>
        <w:t>Training delivery includes instructor-led sessions, hands-on exercises, and self-paced learning materials. Training completion is validated through assessments to ensure competency.</w:t>
      </w:r>
    </w:p>
    <w:p>
      <w:pPr>
        <w:pStyle w:val="H3"/>
        <w:numPr>
          <w:ilvl w:val="2"/>
          <w:numId w:val="1"/>
        </w:numPr>
      </w:pPr>
      <w:r>
        <w:t>19.1.3 Advisory Services</w:t>
      </w:r>
    </w:p>
    <w:p>
      <w:r>
        <w:rPr>
          <w:rFonts w:ascii="Figtree" w:hAnsi="Figtree"/>
          <w:b w:val="0"/>
          <w:i w:val="0"/>
          <w:sz w:val="22"/>
        </w:rPr>
        <w:t>Advisory services provide strategic guidance on digital asset implementation. Services include regulatory guidance, best practice recommendations, and industry insights.</w:t>
      </w:r>
    </w:p>
    <w:p>
      <w:r>
        <w:rPr>
          <w:rFonts w:ascii="Figtree" w:hAnsi="Figtree"/>
          <w:b w:val="0"/>
          <w:i w:val="0"/>
          <w:sz w:val="22"/>
        </w:rPr>
        <w:t>Advisory engagements are scoped separately from implementation and support services based on specific requirements.</w:t>
      </w:r>
    </w:p>
    <w:p>
      <w:pPr>
        <w:pStyle w:val="H2"/>
        <w:numPr>
          <w:ilvl w:val="1"/>
          <w:numId w:val="1"/>
        </w:numPr>
      </w:pPr>
      <w:r>
        <w:t>19.2 Managed Services</w:t>
      </w:r>
    </w:p>
    <w:p>
      <w:pPr>
        <w:pStyle w:val="H3"/>
        <w:numPr>
          <w:ilvl w:val="2"/>
          <w:numId w:val="1"/>
        </w:numPr>
      </w:pPr>
      <w:r>
        <w:t>19.2.1 Platform Management</w:t>
      </w:r>
    </w:p>
    <w:p>
      <w:r>
        <w:rPr>
          <w:rFonts w:ascii="Figtree" w:hAnsi="Figtree"/>
          <w:b w:val="0"/>
          <w:i w:val="0"/>
          <w:sz w:val="22"/>
        </w:rPr>
        <w:t>Managed platform services provide ongoing operational management of the DALP environment. Services include monitoring, maintenance, patching, and optimization.</w:t>
      </w:r>
    </w:p>
    <w:p>
      <w:r>
        <w:rPr>
          <w:rFonts w:ascii="Figtree" w:hAnsi="Figtree"/>
          <w:b w:val="0"/>
          <w:i w:val="0"/>
          <w:sz w:val="22"/>
        </w:rPr>
        <w:t>Managed services can supplement or replace internal operational resources depending on Tadawul's preferences and capabilities.</w:t>
      </w:r>
    </w:p>
    <w:p>
      <w:pPr>
        <w:pStyle w:val="H3"/>
        <w:numPr>
          <w:ilvl w:val="2"/>
          <w:numId w:val="1"/>
        </w:numPr>
      </w:pPr>
      <w:r>
        <w:t>19.2.2 Integration Management</w:t>
      </w:r>
    </w:p>
    <w:p>
      <w:r>
        <w:rPr>
          <w:rFonts w:ascii="Figtree" w:hAnsi="Figtree"/>
          <w:b w:val="0"/>
          <w:i w:val="0"/>
          <w:sz w:val="22"/>
        </w:rPr>
        <w:t>Integration management services maintain and enhance platform integrations. Services include monitoring integration health, troubleshooting issues, and implementing new connections.</w:t>
      </w:r>
    </w:p>
    <w:p>
      <w:r>
        <w:rPr>
          <w:rFonts w:ascii="Figtree" w:hAnsi="Figtree"/>
          <w:b w:val="0"/>
          <w:i w:val="0"/>
          <w:sz w:val="22"/>
        </w:rPr>
        <w:t>Integration management ensures that the platform continues to operate effectively within the broader system landscape.</w:t>
      </w:r>
    </w:p>
    <w:p>
      <w:pPr>
        <w:pStyle w:val="H2"/>
        <w:numPr>
          <w:ilvl w:val="1"/>
          <w:numId w:val="1"/>
        </w:numPr>
      </w:pPr>
      <w:r>
        <w:t>19.3 Value-Added Services</w:t>
      </w:r>
    </w:p>
    <w:p>
      <w:pPr>
        <w:pStyle w:val="H3"/>
        <w:numPr>
          <w:ilvl w:val="2"/>
          <w:numId w:val="1"/>
        </w:numPr>
      </w:pPr>
      <w:r>
        <w:t>19.3.1 Health Checks</w:t>
      </w:r>
    </w:p>
    <w:p>
      <w:r>
        <w:rPr>
          <w:rFonts w:ascii="Figtree" w:hAnsi="Figtree"/>
          <w:b w:val="0"/>
          <w:i w:val="0"/>
          <w:sz w:val="22"/>
        </w:rPr>
        <w:t>Periodic health assessments evaluate platform performance, security posture, and operational effectiveness. Health checks identify optimization opportunities and potential risks.</w:t>
      </w:r>
    </w:p>
    <w:p>
      <w:pPr>
        <w:pStyle w:val="H3"/>
        <w:numPr>
          <w:ilvl w:val="2"/>
          <w:numId w:val="1"/>
        </w:numPr>
      </w:pPr>
      <w:r>
        <w:t>19.3.2 Upgrade Services</w:t>
      </w:r>
    </w:p>
    <w:p>
      <w:r>
        <w:rPr>
          <w:rFonts w:ascii="Figtree" w:hAnsi="Figtree"/>
          <w:b w:val="0"/>
          <w:i w:val="0"/>
          <w:sz w:val="22"/>
        </w:rPr>
        <w:t>Upgrade services manage platform updates and migrations. Services include upgrade planning, testing, and deployment support.</w:t>
      </w:r>
    </w:p>
    <w:p>
      <w:pPr>
        <w:pStyle w:val="H3"/>
        <w:numPr>
          <w:ilvl w:val="2"/>
          <w:numId w:val="1"/>
        </w:numPr>
      </w:pPr>
      <w:r>
        <w:t>19.3.3 Custom Development</w:t>
      </w:r>
    </w:p>
    <w:p>
      <w:r>
        <w:rPr>
          <w:rFonts w:ascii="Figtree" w:hAnsi="Figtree"/>
          <w:b w:val="0"/>
          <w:i w:val="0"/>
          <w:sz w:val="22"/>
        </w:rPr>
        <w:t>Custom development services address requirements not met by standard platform capabilities. Development is scoped and quoted separately based on specific requirements.</w:t>
      </w:r>
    </w:p>
    <w:p>
      <w:r>
        <w:br w:type="page"/>
      </w:r>
    </w:p>
    <w:p>
      <w:pPr>
        <w:pStyle w:val="H1"/>
        <w:numPr>
          <w:ilvl w:val="0"/>
          <w:numId w:val="1"/>
        </w:numPr>
      </w:pPr>
      <w:r>
        <w:t>20. Contract Framework</w:t>
      </w:r>
    </w:p>
    <w:p>
      <w:pPr>
        <w:pStyle w:val="H2"/>
        <w:numPr>
          <w:ilvl w:val="1"/>
          <w:numId w:val="1"/>
        </w:numPr>
      </w:pPr>
      <w:r>
        <w:t>20.1 Agreement Structure</w:t>
      </w:r>
    </w:p>
    <w:p>
      <w:r>
        <w:rPr>
          <w:rFonts w:ascii="Figtree" w:hAnsi="Figtree"/>
          <w:b w:val="0"/>
          <w:i w:val="0"/>
          <w:sz w:val="22"/>
        </w:rPr>
        <w:t>The commercial relationship is governed by a master agreement covering:</w:t>
      </w:r>
    </w:p>
    <w:p>
      <w:pPr>
        <w:pStyle w:val="ListParagraph"/>
        <w:numPr>
          <w:ilvl w:val="0"/>
          <w:numId w:val="4"/>
        </w:numPr>
      </w:pPr>
      <w:r>
        <w:rPr>
          <w:rFonts w:ascii="Figtree" w:hAnsi="Figtree"/>
          <w:b w:val="0"/>
          <w:i w:val="0"/>
          <w:sz w:val="22"/>
        </w:rPr>
        <w:t>Platform license terms</w:t>
      </w:r>
    </w:p>
    <w:p>
      <w:pPr>
        <w:pStyle w:val="ListParagraph"/>
        <w:numPr>
          <w:ilvl w:val="0"/>
          <w:numId w:val="4"/>
        </w:numPr>
      </w:pPr>
      <w:r>
        <w:rPr>
          <w:rFonts w:ascii="Figtree" w:hAnsi="Figtree"/>
          <w:b w:val="0"/>
          <w:i w:val="0"/>
          <w:sz w:val="22"/>
        </w:rPr>
        <w:t>Implementation services</w:t>
      </w:r>
    </w:p>
    <w:p>
      <w:pPr>
        <w:pStyle w:val="ListParagraph"/>
        <w:numPr>
          <w:ilvl w:val="0"/>
          <w:numId w:val="4"/>
        </w:numPr>
      </w:pPr>
      <w:r>
        <w:rPr>
          <w:rFonts w:ascii="Figtree" w:hAnsi="Figtree"/>
          <w:b w:val="0"/>
          <w:i w:val="0"/>
          <w:sz w:val="22"/>
        </w:rPr>
        <w:t>Support services</w:t>
      </w:r>
    </w:p>
    <w:p>
      <w:pPr>
        <w:pStyle w:val="ListParagraph"/>
        <w:numPr>
          <w:ilvl w:val="0"/>
          <w:numId w:val="4"/>
        </w:numPr>
      </w:pPr>
      <w:r>
        <w:rPr>
          <w:rFonts w:ascii="Figtree" w:hAnsi="Figtree"/>
          <w:b w:val="0"/>
          <w:i w:val="0"/>
          <w:sz w:val="22"/>
        </w:rPr>
        <w:t>Data processing</w:t>
      </w:r>
    </w:p>
    <w:p>
      <w:pPr>
        <w:pStyle w:val="ListParagraph"/>
        <w:numPr>
          <w:ilvl w:val="0"/>
          <w:numId w:val="4"/>
        </w:numPr>
      </w:pPr>
      <w:r>
        <w:rPr>
          <w:rFonts w:ascii="Figtree" w:hAnsi="Figtree"/>
          <w:b w:val="0"/>
          <w:i w:val="0"/>
          <w:sz w:val="22"/>
        </w:rPr>
        <w:t>Confidentiality</w:t>
      </w:r>
    </w:p>
    <w:p>
      <w:pPr>
        <w:pStyle w:val="ListParagraph"/>
        <w:numPr>
          <w:ilvl w:val="0"/>
          <w:numId w:val="4"/>
        </w:numPr>
      </w:pPr>
      <w:r>
        <w:rPr>
          <w:rFonts w:ascii="Figtree" w:hAnsi="Figtree"/>
          <w:b w:val="0"/>
          <w:i w:val="0"/>
          <w:sz w:val="22"/>
        </w:rPr>
        <w:t>Liability and indemnification</w:t>
      </w:r>
    </w:p>
    <w:p>
      <w:pPr>
        <w:pStyle w:val="ListParagraph"/>
        <w:numPr>
          <w:ilvl w:val="0"/>
          <w:numId w:val="4"/>
        </w:numPr>
      </w:pPr>
      <w:r>
        <w:rPr>
          <w:rFonts w:ascii="Figtree" w:hAnsi="Figtree"/>
          <w:b w:val="0"/>
          <w:i w:val="0"/>
          <w:sz w:val="22"/>
        </w:rPr>
        <w:t>Term and termination</w:t>
      </w:r>
    </w:p>
    <w:p>
      <w:pPr>
        <w:pStyle w:val="H2"/>
        <w:numPr>
          <w:ilvl w:val="1"/>
          <w:numId w:val="1"/>
        </w:numPr>
      </w:pPr>
      <w:r>
        <w:t>20.2 Order Documents</w:t>
      </w:r>
    </w:p>
    <w:p>
      <w:r>
        <w:rPr>
          <w:rFonts w:ascii="Figtree" w:hAnsi="Figtree"/>
          <w:b w:val="0"/>
          <w:i w:val="0"/>
          <w:sz w:val="22"/>
        </w:rPr>
        <w:t>Specific engagements are documented through order documents specifying:</w:t>
      </w:r>
    </w:p>
    <w:p>
      <w:pPr>
        <w:pStyle w:val="ListParagraph"/>
        <w:numPr>
          <w:ilvl w:val="0"/>
          <w:numId w:val="4"/>
        </w:numPr>
      </w:pPr>
      <w:r>
        <w:rPr>
          <w:rFonts w:ascii="Figtree" w:hAnsi="Figtree"/>
          <w:b w:val="0"/>
          <w:i w:val="0"/>
          <w:sz w:val="22"/>
        </w:rPr>
        <w:t>Scope of work</w:t>
      </w:r>
    </w:p>
    <w:p>
      <w:pPr>
        <w:pStyle w:val="ListParagraph"/>
        <w:numPr>
          <w:ilvl w:val="0"/>
          <w:numId w:val="4"/>
        </w:numPr>
      </w:pPr>
      <w:r>
        <w:rPr>
          <w:rFonts w:ascii="Figtree" w:hAnsi="Figtree"/>
          <w:b w:val="0"/>
          <w:i w:val="0"/>
          <w:sz w:val="22"/>
        </w:rPr>
        <w:t>Timeline and milestones</w:t>
      </w:r>
    </w:p>
    <w:p>
      <w:pPr>
        <w:pStyle w:val="ListParagraph"/>
        <w:numPr>
          <w:ilvl w:val="0"/>
          <w:numId w:val="4"/>
        </w:numPr>
      </w:pPr>
      <w:r>
        <w:rPr>
          <w:rFonts w:ascii="Figtree" w:hAnsi="Figtree"/>
          <w:b w:val="0"/>
          <w:i w:val="0"/>
          <w:sz w:val="22"/>
        </w:rPr>
        <w:t>Fees and payment terms</w:t>
      </w:r>
    </w:p>
    <w:p>
      <w:pPr>
        <w:pStyle w:val="ListParagraph"/>
        <w:numPr>
          <w:ilvl w:val="0"/>
          <w:numId w:val="4"/>
        </w:numPr>
      </w:pPr>
      <w:r>
        <w:rPr>
          <w:rFonts w:ascii="Figtree" w:hAnsi="Figtree"/>
          <w:b w:val="0"/>
          <w:i w:val="0"/>
          <w:sz w:val="22"/>
        </w:rPr>
        <w:t>Acceptance criteria</w:t>
      </w:r>
    </w:p>
    <w:p>
      <w:pPr>
        <w:pStyle w:val="ListParagraph"/>
        <w:numPr>
          <w:ilvl w:val="0"/>
          <w:numId w:val="4"/>
        </w:numPr>
      </w:pPr>
      <w:r>
        <w:rPr>
          <w:rFonts w:ascii="Figtree" w:hAnsi="Figtree"/>
          <w:b w:val="0"/>
          <w:i w:val="0"/>
          <w:sz w:val="22"/>
        </w:rPr>
        <w:t>Specific terms and conditions</w:t>
      </w:r>
    </w:p>
    <w:p>
      <w:pPr>
        <w:pStyle w:val="H2"/>
        <w:numPr>
          <w:ilvl w:val="1"/>
          <w:numId w:val="1"/>
        </w:numPr>
      </w:pPr>
      <w:r>
        <w:t>20.3 Amendment Process</w:t>
      </w:r>
    </w:p>
    <w:p>
      <w:r>
        <w:rPr>
          <w:rFonts w:ascii="Figtree" w:hAnsi="Figtree"/>
          <w:b w:val="0"/>
          <w:i w:val="0"/>
          <w:sz w:val="22"/>
        </w:rPr>
        <w:t>Changes to the agreement follow a formal amendment process:</w:t>
      </w:r>
    </w:p>
    <w:p>
      <w:pPr>
        <w:pStyle w:val="ListParagraph"/>
        <w:numPr>
          <w:ilvl w:val="0"/>
          <w:numId w:val="9"/>
        </w:numPr>
      </w:pPr>
      <w:r>
        <w:rPr>
          <w:rFonts w:ascii="Figtree" w:hAnsi="Figtree"/>
          <w:b w:val="0"/>
          <w:i w:val="0"/>
          <w:sz w:val="22"/>
        </w:rPr>
        <w:t>Change request submitted</w:t>
      </w:r>
    </w:p>
    <w:p>
      <w:pPr>
        <w:pStyle w:val="ListParagraph"/>
        <w:numPr>
          <w:ilvl w:val="0"/>
          <w:numId w:val="9"/>
        </w:numPr>
      </w:pPr>
      <w:r>
        <w:rPr>
          <w:rFonts w:ascii="Figtree" w:hAnsi="Figtree"/>
          <w:b w:val="0"/>
          <w:i w:val="0"/>
          <w:sz w:val="22"/>
        </w:rPr>
        <w:t>Impact assessment</w:t>
      </w:r>
    </w:p>
    <w:p>
      <w:pPr>
        <w:pStyle w:val="ListParagraph"/>
        <w:numPr>
          <w:ilvl w:val="0"/>
          <w:numId w:val="9"/>
        </w:numPr>
      </w:pPr>
      <w:r>
        <w:rPr>
          <w:rFonts w:ascii="Figtree" w:hAnsi="Figtree"/>
          <w:b w:val="0"/>
          <w:i w:val="0"/>
          <w:sz w:val="22"/>
        </w:rPr>
        <w:t>Draft amendment prepared</w:t>
      </w:r>
    </w:p>
    <w:p>
      <w:pPr>
        <w:pStyle w:val="ListParagraph"/>
        <w:numPr>
          <w:ilvl w:val="0"/>
          <w:numId w:val="9"/>
        </w:numPr>
      </w:pPr>
      <w:r>
        <w:rPr>
          <w:rFonts w:ascii="Figtree" w:hAnsi="Figtree"/>
          <w:b w:val="0"/>
          <w:i w:val="0"/>
          <w:sz w:val="22"/>
        </w:rPr>
        <w:t>Review and negotiation</w:t>
      </w:r>
    </w:p>
    <w:p>
      <w:pPr>
        <w:pStyle w:val="ListParagraph"/>
        <w:numPr>
          <w:ilvl w:val="0"/>
          <w:numId w:val="9"/>
        </w:numPr>
      </w:pPr>
      <w:r>
        <w:rPr>
          <w:rFonts w:ascii="Figtree" w:hAnsi="Figtree"/>
          <w:b w:val="0"/>
          <w:i w:val="0"/>
          <w:sz w:val="22"/>
        </w:rPr>
        <w:t>Execution by authorized signatories</w:t>
      </w:r>
    </w:p>
    <w:p>
      <w:pPr>
        <w:pStyle w:val="H2"/>
        <w:numPr>
          <w:ilvl w:val="1"/>
          <w:numId w:val="1"/>
        </w:numPr>
      </w:pPr>
      <w:r>
        <w:t>20.4 Dispute Resolution</w:t>
      </w:r>
    </w:p>
    <w:p>
      <w:r>
        <w:rPr>
          <w:rFonts w:ascii="Figtree" w:hAnsi="Figtree"/>
          <w:b w:val="0"/>
          <w:i w:val="0"/>
          <w:sz w:val="22"/>
        </w:rPr>
        <w:t>Disputes are resolved through escalating dialogue:</w:t>
      </w:r>
    </w:p>
    <w:p>
      <w:pPr>
        <w:pStyle w:val="ListParagraph"/>
        <w:numPr>
          <w:ilvl w:val="0"/>
          <w:numId w:val="10"/>
        </w:numPr>
      </w:pPr>
      <w:r>
        <w:rPr>
          <w:rFonts w:ascii="Figtree" w:hAnsi="Figtree"/>
          <w:b w:val="0"/>
          <w:i w:val="0"/>
          <w:sz w:val="22"/>
        </w:rPr>
        <w:t>Operational teams attempt resolution</w:t>
      </w:r>
    </w:p>
    <w:p>
      <w:pPr>
        <w:pStyle w:val="ListParagraph"/>
        <w:numPr>
          <w:ilvl w:val="0"/>
          <w:numId w:val="10"/>
        </w:numPr>
      </w:pPr>
      <w:r>
        <w:rPr>
          <w:rFonts w:ascii="Figtree" w:hAnsi="Figtree"/>
          <w:b w:val="0"/>
          <w:i w:val="0"/>
          <w:sz w:val="22"/>
        </w:rPr>
        <w:t>Management escalation if unresolved</w:t>
      </w:r>
    </w:p>
    <w:p>
      <w:pPr>
        <w:pStyle w:val="ListParagraph"/>
        <w:numPr>
          <w:ilvl w:val="0"/>
          <w:numId w:val="10"/>
        </w:numPr>
      </w:pPr>
      <w:r>
        <w:rPr>
          <w:rFonts w:ascii="Figtree" w:hAnsi="Figtree"/>
          <w:b w:val="0"/>
          <w:i w:val="0"/>
          <w:sz w:val="22"/>
        </w:rPr>
        <w:t>Executive escalation if still unresolved</w:t>
      </w:r>
    </w:p>
    <w:p>
      <w:pPr>
        <w:pStyle w:val="ListParagraph"/>
        <w:numPr>
          <w:ilvl w:val="0"/>
          <w:numId w:val="10"/>
        </w:numPr>
      </w:pPr>
      <w:r>
        <w:rPr>
          <w:rFonts w:ascii="Figtree" w:hAnsi="Figtree"/>
          <w:b w:val="0"/>
          <w:i w:val="0"/>
          <w:sz w:val="22"/>
        </w:rPr>
        <w:t>Mediation or arbitration as final resort</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p>
      <w:r>
        <w:br w:type="page"/>
      </w:r>
    </w:p>
    <w:p>
      <w:pPr>
        <w:pStyle w:val="H1"/>
        <w:numPr>
          <w:ilvl w:val="0"/>
          <w:numId w:val="1"/>
        </w:numPr>
      </w:pPr>
      <w:r>
        <w:t>21. Client Responsibilities</w:t>
      </w:r>
    </w:p>
    <w:p>
      <w:pPr>
        <w:pStyle w:val="H2"/>
        <w:numPr>
          <w:ilvl w:val="1"/>
          <w:numId w:val="1"/>
        </w:numPr>
      </w:pPr>
      <w:r>
        <w:t>21.1 Project Responsibilities</w:t>
      </w:r>
    </w:p>
    <w:p>
      <w:pPr>
        <w:pStyle w:val="H3"/>
        <w:numPr>
          <w:ilvl w:val="2"/>
          <w:numId w:val="1"/>
        </w:numPr>
      </w:pPr>
      <w:r>
        <w:t>21.1.1 Governance and Decision Making</w:t>
      </w:r>
    </w:p>
    <w:p>
      <w:r>
        <w:rPr>
          <w:rFonts w:ascii="Figtree" w:hAnsi="Figtree"/>
          <w:b w:val="0"/>
          <w:i w:val="0"/>
          <w:sz w:val="22"/>
        </w:rPr>
        <w:t>Tadawul provides:</w:t>
      </w:r>
    </w:p>
    <w:p>
      <w:pPr>
        <w:pStyle w:val="ListParagraph"/>
        <w:numPr>
          <w:ilvl w:val="0"/>
          <w:numId w:val="4"/>
        </w:numPr>
      </w:pPr>
      <w:r>
        <w:rPr>
          <w:rFonts w:ascii="Figtree" w:hAnsi="Figtree"/>
          <w:b w:val="0"/>
          <w:i w:val="0"/>
          <w:sz w:val="22"/>
        </w:rPr>
        <w:t>Executive sponsor with decision authority</w:t>
      </w:r>
    </w:p>
    <w:p>
      <w:pPr>
        <w:pStyle w:val="ListParagraph"/>
        <w:numPr>
          <w:ilvl w:val="0"/>
          <w:numId w:val="4"/>
        </w:numPr>
      </w:pPr>
      <w:r>
        <w:rPr>
          <w:rFonts w:ascii="Figtree" w:hAnsi="Figtree"/>
          <w:b w:val="0"/>
          <w:i w:val="0"/>
          <w:sz w:val="22"/>
        </w:rPr>
        <w:t>Steering committee representation</w:t>
      </w:r>
    </w:p>
    <w:p>
      <w:pPr>
        <w:pStyle w:val="ListParagraph"/>
        <w:numPr>
          <w:ilvl w:val="0"/>
          <w:numId w:val="4"/>
        </w:numPr>
      </w:pPr>
      <w:r>
        <w:rPr>
          <w:rFonts w:ascii="Figtree" w:hAnsi="Figtree"/>
          <w:b w:val="0"/>
          <w:i w:val="0"/>
          <w:sz w:val="22"/>
        </w:rPr>
        <w:t>Timely decisions on project matters</w:t>
      </w:r>
    </w:p>
    <w:p>
      <w:pPr>
        <w:pStyle w:val="ListParagraph"/>
        <w:numPr>
          <w:ilvl w:val="0"/>
          <w:numId w:val="4"/>
        </w:numPr>
      </w:pPr>
      <w:r>
        <w:rPr>
          <w:rFonts w:ascii="Figtree" w:hAnsi="Figtree"/>
          <w:b w:val="0"/>
          <w:i w:val="0"/>
          <w:sz w:val="22"/>
        </w:rPr>
        <w:t>Escalation resolution within agreed timeframes</w:t>
      </w:r>
    </w:p>
    <w:p>
      <w:pPr>
        <w:pStyle w:val="H3"/>
        <w:numPr>
          <w:ilvl w:val="2"/>
          <w:numId w:val="1"/>
        </w:numPr>
      </w:pPr>
      <w:r>
        <w:t>21.1.2 Resources</w:t>
      </w:r>
    </w:p>
    <w:p>
      <w:r>
        <w:rPr>
          <w:rFonts w:ascii="Figtree" w:hAnsi="Figtree"/>
          <w:b w:val="0"/>
          <w:i w:val="0"/>
          <w:sz w:val="22"/>
        </w:rPr>
        <w:t>Tadawul provides:</w:t>
      </w:r>
    </w:p>
    <w:p>
      <w:pPr>
        <w:pStyle w:val="ListParagraph"/>
        <w:numPr>
          <w:ilvl w:val="0"/>
          <w:numId w:val="4"/>
        </w:numPr>
      </w:pPr>
      <w:r>
        <w:rPr>
          <w:rFonts w:ascii="Figtree" w:hAnsi="Figtree"/>
          <w:b w:val="0"/>
          <w:i w:val="0"/>
          <w:sz w:val="22"/>
        </w:rPr>
        <w:t>Dedicated project team members</w:t>
      </w:r>
    </w:p>
    <w:p>
      <w:pPr>
        <w:pStyle w:val="ListParagraph"/>
        <w:numPr>
          <w:ilvl w:val="0"/>
          <w:numId w:val="4"/>
        </w:numPr>
      </w:pPr>
      <w:r>
        <w:rPr>
          <w:rFonts w:ascii="Figtree" w:hAnsi="Figtree"/>
          <w:b w:val="0"/>
          <w:i w:val="0"/>
          <w:sz w:val="22"/>
        </w:rPr>
        <w:t>Subject matter experts as required</w:t>
      </w:r>
    </w:p>
    <w:p>
      <w:pPr>
        <w:pStyle w:val="ListParagraph"/>
        <w:numPr>
          <w:ilvl w:val="0"/>
          <w:numId w:val="4"/>
        </w:numPr>
      </w:pPr>
      <w:r>
        <w:rPr>
          <w:rFonts w:ascii="Figtree" w:hAnsi="Figtree"/>
          <w:b w:val="0"/>
          <w:i w:val="0"/>
          <w:sz w:val="22"/>
        </w:rPr>
        <w:t>Infrastructure and environment access</w:t>
      </w:r>
    </w:p>
    <w:p>
      <w:pPr>
        <w:pStyle w:val="ListParagraph"/>
        <w:numPr>
          <w:ilvl w:val="0"/>
          <w:numId w:val="4"/>
        </w:numPr>
      </w:pPr>
      <w:r>
        <w:rPr>
          <w:rFonts w:ascii="Figtree" w:hAnsi="Figtree"/>
          <w:b w:val="0"/>
          <w:i w:val="0"/>
          <w:sz w:val="22"/>
        </w:rPr>
        <w:t>Integration system access</w:t>
      </w:r>
    </w:p>
    <w:p>
      <w:pPr>
        <w:pStyle w:val="H3"/>
        <w:numPr>
          <w:ilvl w:val="2"/>
          <w:numId w:val="1"/>
        </w:numPr>
      </w:pPr>
      <w:r>
        <w:t>21.1.3 Information</w:t>
      </w:r>
    </w:p>
    <w:p>
      <w:r>
        <w:rPr>
          <w:rFonts w:ascii="Figtree" w:hAnsi="Figtree"/>
          <w:b w:val="0"/>
          <w:i w:val="0"/>
          <w:sz w:val="22"/>
        </w:rPr>
        <w:t>Tadawul provides:</w:t>
      </w:r>
    </w:p>
    <w:p>
      <w:pPr>
        <w:pStyle w:val="ListParagraph"/>
        <w:numPr>
          <w:ilvl w:val="0"/>
          <w:numId w:val="4"/>
        </w:numPr>
      </w:pPr>
      <w:r>
        <w:rPr>
          <w:rFonts w:ascii="Figtree" w:hAnsi="Figtree"/>
          <w:b w:val="0"/>
          <w:i w:val="0"/>
          <w:sz w:val="22"/>
        </w:rPr>
        <w:t>Business requirements and priorities</w:t>
      </w:r>
    </w:p>
    <w:p>
      <w:pPr>
        <w:pStyle w:val="ListParagraph"/>
        <w:numPr>
          <w:ilvl w:val="0"/>
          <w:numId w:val="4"/>
        </w:numPr>
      </w:pPr>
      <w:r>
        <w:rPr>
          <w:rFonts w:ascii="Figtree" w:hAnsi="Figtree"/>
          <w:b w:val="0"/>
          <w:i w:val="0"/>
          <w:sz w:val="22"/>
        </w:rPr>
        <w:t>Technical integration specifications</w:t>
      </w:r>
    </w:p>
    <w:p>
      <w:pPr>
        <w:pStyle w:val="ListParagraph"/>
        <w:numPr>
          <w:ilvl w:val="0"/>
          <w:numId w:val="4"/>
        </w:numPr>
      </w:pPr>
      <w:r>
        <w:rPr>
          <w:rFonts w:ascii="Figtree" w:hAnsi="Figtree"/>
          <w:b w:val="0"/>
          <w:i w:val="0"/>
          <w:sz w:val="22"/>
        </w:rPr>
        <w:t>Regulatory guidance and interpretations</w:t>
      </w:r>
    </w:p>
    <w:p>
      <w:pPr>
        <w:pStyle w:val="ListParagraph"/>
        <w:numPr>
          <w:ilvl w:val="0"/>
          <w:numId w:val="4"/>
        </w:numPr>
      </w:pPr>
      <w:r>
        <w:rPr>
          <w:rFonts w:ascii="Figtree" w:hAnsi="Figtree"/>
          <w:b w:val="0"/>
          <w:i w:val="0"/>
          <w:sz w:val="22"/>
        </w:rPr>
        <w:t>Security and compliance policies</w:t>
      </w:r>
    </w:p>
    <w:p>
      <w:pPr>
        <w:pStyle w:val="H2"/>
        <w:numPr>
          <w:ilvl w:val="1"/>
          <w:numId w:val="1"/>
        </w:numPr>
      </w:pPr>
      <w:r>
        <w:t>21.2 Technical Responsibilities</w:t>
      </w:r>
    </w:p>
    <w:p>
      <w:pPr>
        <w:pStyle w:val="H3"/>
        <w:numPr>
          <w:ilvl w:val="2"/>
          <w:numId w:val="1"/>
        </w:numPr>
      </w:pPr>
      <w:r>
        <w:t>21.2.1 Infrastructure</w:t>
      </w:r>
    </w:p>
    <w:p>
      <w:r>
        <w:rPr>
          <w:rFonts w:ascii="Figtree" w:hAnsi="Figtree"/>
          <w:b w:val="0"/>
          <w:i w:val="0"/>
          <w:sz w:val="22"/>
        </w:rPr>
        <w:t>Tadawul is responsible for:</w:t>
      </w:r>
    </w:p>
    <w:p>
      <w:pPr>
        <w:pStyle w:val="ListParagraph"/>
        <w:numPr>
          <w:ilvl w:val="0"/>
          <w:numId w:val="4"/>
        </w:numPr>
      </w:pPr>
      <w:r>
        <w:rPr>
          <w:rFonts w:ascii="Figtree" w:hAnsi="Figtree"/>
          <w:b w:val="0"/>
          <w:i w:val="0"/>
          <w:sz w:val="22"/>
        </w:rPr>
        <w:t>Cloud environment provisioning</w:t>
      </w:r>
    </w:p>
    <w:p>
      <w:pPr>
        <w:pStyle w:val="ListParagraph"/>
        <w:numPr>
          <w:ilvl w:val="0"/>
          <w:numId w:val="4"/>
        </w:numPr>
      </w:pPr>
      <w:r>
        <w:rPr>
          <w:rFonts w:ascii="Figtree" w:hAnsi="Figtree"/>
          <w:b w:val="0"/>
          <w:i w:val="0"/>
          <w:sz w:val="22"/>
        </w:rPr>
        <w:t>Network configuration</w:t>
      </w:r>
    </w:p>
    <w:p>
      <w:pPr>
        <w:pStyle w:val="ListParagraph"/>
        <w:numPr>
          <w:ilvl w:val="0"/>
          <w:numId w:val="4"/>
        </w:numPr>
      </w:pPr>
      <w:r>
        <w:rPr>
          <w:rFonts w:ascii="Figtree" w:hAnsi="Figtree"/>
          <w:b w:val="0"/>
          <w:i w:val="0"/>
          <w:sz w:val="22"/>
        </w:rPr>
        <w:t>Security policy enforcement</w:t>
      </w:r>
    </w:p>
    <w:p>
      <w:pPr>
        <w:pStyle w:val="ListParagraph"/>
        <w:numPr>
          <w:ilvl w:val="0"/>
          <w:numId w:val="4"/>
        </w:numPr>
      </w:pPr>
      <w:r>
        <w:rPr>
          <w:rFonts w:ascii="Figtree" w:hAnsi="Figtree"/>
          <w:b w:val="0"/>
          <w:i w:val="0"/>
          <w:sz w:val="22"/>
        </w:rPr>
        <w:t>Backup infrastructure</w:t>
      </w:r>
    </w:p>
    <w:p>
      <w:pPr>
        <w:pStyle w:val="H3"/>
        <w:numPr>
          <w:ilvl w:val="2"/>
          <w:numId w:val="1"/>
        </w:numPr>
      </w:pPr>
      <w:r>
        <w:t>21.2.2 Integrations</w:t>
      </w:r>
    </w:p>
    <w:p>
      <w:r>
        <w:rPr>
          <w:rFonts w:ascii="Figtree" w:hAnsi="Figtree"/>
          <w:b w:val="0"/>
          <w:i w:val="0"/>
          <w:sz w:val="22"/>
        </w:rPr>
        <w:t>Tadawul is responsible for:</w:t>
      </w:r>
    </w:p>
    <w:p>
      <w:pPr>
        <w:pStyle w:val="ListParagraph"/>
        <w:numPr>
          <w:ilvl w:val="0"/>
          <w:numId w:val="4"/>
        </w:numPr>
      </w:pPr>
      <w:r>
        <w:rPr>
          <w:rFonts w:ascii="Figtree" w:hAnsi="Figtree"/>
          <w:b w:val="0"/>
          <w:i w:val="0"/>
          <w:sz w:val="22"/>
        </w:rPr>
        <w:t>Integration system specifications</w:t>
      </w:r>
    </w:p>
    <w:p>
      <w:pPr>
        <w:pStyle w:val="ListParagraph"/>
        <w:numPr>
          <w:ilvl w:val="0"/>
          <w:numId w:val="4"/>
        </w:numPr>
      </w:pPr>
      <w:r>
        <w:rPr>
          <w:rFonts w:ascii="Figtree" w:hAnsi="Figtree"/>
          <w:b w:val="0"/>
          <w:i w:val="0"/>
          <w:sz w:val="22"/>
        </w:rPr>
        <w:t>Test environment access</w:t>
      </w:r>
    </w:p>
    <w:p>
      <w:pPr>
        <w:pStyle w:val="ListParagraph"/>
        <w:numPr>
          <w:ilvl w:val="0"/>
          <w:numId w:val="4"/>
        </w:numPr>
      </w:pPr>
      <w:r>
        <w:rPr>
          <w:rFonts w:ascii="Figtree" w:hAnsi="Figtree"/>
          <w:b w:val="0"/>
          <w:i w:val="0"/>
          <w:sz w:val="22"/>
        </w:rPr>
        <w:t>Integration coordination</w:t>
      </w:r>
    </w:p>
    <w:p>
      <w:pPr>
        <w:pStyle w:val="ListParagraph"/>
        <w:numPr>
          <w:ilvl w:val="0"/>
          <w:numId w:val="4"/>
        </w:numPr>
      </w:pPr>
      <w:r>
        <w:rPr>
          <w:rFonts w:ascii="Figtree" w:hAnsi="Figtree"/>
          <w:b w:val="0"/>
          <w:i w:val="0"/>
          <w:sz w:val="22"/>
        </w:rPr>
        <w:t>User acceptance testing</w:t>
      </w:r>
    </w:p>
    <w:p>
      <w:pPr>
        <w:pStyle w:val="H3"/>
        <w:numPr>
          <w:ilvl w:val="2"/>
          <w:numId w:val="1"/>
        </w:numPr>
      </w:pPr>
      <w:r>
        <w:t>21.2.3 Data</w:t>
      </w:r>
    </w:p>
    <w:p>
      <w:r>
        <w:rPr>
          <w:rFonts w:ascii="Figtree" w:hAnsi="Figtree"/>
          <w:b w:val="0"/>
          <w:i w:val="0"/>
          <w:sz w:val="22"/>
        </w:rPr>
        <w:t>Tadawul is responsible for:</w:t>
      </w:r>
    </w:p>
    <w:p>
      <w:pPr>
        <w:pStyle w:val="ListParagraph"/>
        <w:numPr>
          <w:ilvl w:val="0"/>
          <w:numId w:val="4"/>
        </w:numPr>
      </w:pPr>
      <w:r>
        <w:rPr>
          <w:rFonts w:ascii="Figtree" w:hAnsi="Figtree"/>
          <w:b w:val="0"/>
          <w:i w:val="0"/>
          <w:sz w:val="22"/>
        </w:rPr>
        <w:t>Data quality and accuracy</w:t>
      </w:r>
    </w:p>
    <w:p>
      <w:pPr>
        <w:pStyle w:val="ListParagraph"/>
        <w:numPr>
          <w:ilvl w:val="0"/>
          <w:numId w:val="4"/>
        </w:numPr>
      </w:pPr>
      <w:r>
        <w:rPr>
          <w:rFonts w:ascii="Figtree" w:hAnsi="Figtree"/>
          <w:b w:val="0"/>
          <w:i w:val="0"/>
          <w:sz w:val="22"/>
        </w:rPr>
        <w:t>Data migration preparation</w:t>
      </w:r>
    </w:p>
    <w:p>
      <w:pPr>
        <w:pStyle w:val="ListParagraph"/>
        <w:numPr>
          <w:ilvl w:val="0"/>
          <w:numId w:val="4"/>
        </w:numPr>
      </w:pPr>
      <w:r>
        <w:rPr>
          <w:rFonts w:ascii="Figtree" w:hAnsi="Figtree"/>
          <w:b w:val="0"/>
          <w:i w:val="0"/>
          <w:sz w:val="22"/>
        </w:rPr>
        <w:t>Data validation</w:t>
      </w:r>
    </w:p>
    <w:p>
      <w:pPr>
        <w:pStyle w:val="ListParagraph"/>
        <w:numPr>
          <w:ilvl w:val="0"/>
          <w:numId w:val="4"/>
        </w:numPr>
      </w:pPr>
      <w:r>
        <w:rPr>
          <w:rFonts w:ascii="Figtree" w:hAnsi="Figtree"/>
          <w:b w:val="0"/>
          <w:i w:val="0"/>
          <w:sz w:val="22"/>
        </w:rPr>
        <w:t>Regulatory data requirements</w:t>
      </w:r>
    </w:p>
    <w:p>
      <w:pPr>
        <w:pStyle w:val="H2"/>
        <w:numPr>
          <w:ilvl w:val="1"/>
          <w:numId w:val="1"/>
        </w:numPr>
      </w:pPr>
      <w:r>
        <w:t>21.3 Operational Responsibilities</w:t>
      </w:r>
    </w:p>
    <w:p>
      <w:pPr>
        <w:pStyle w:val="H3"/>
        <w:numPr>
          <w:ilvl w:val="2"/>
          <w:numId w:val="1"/>
        </w:numPr>
      </w:pPr>
      <w:r>
        <w:t>21.3.1 Training</w:t>
      </w:r>
    </w:p>
    <w:p>
      <w:r>
        <w:rPr>
          <w:rFonts w:ascii="Figtree" w:hAnsi="Figtree"/>
          <w:b w:val="0"/>
          <w:i w:val="0"/>
          <w:sz w:val="22"/>
        </w:rPr>
        <w:t>Tadawul is responsible for:</w:t>
      </w:r>
    </w:p>
    <w:p>
      <w:pPr>
        <w:pStyle w:val="ListParagraph"/>
        <w:numPr>
          <w:ilvl w:val="0"/>
          <w:numId w:val="4"/>
        </w:numPr>
      </w:pPr>
      <w:r>
        <w:rPr>
          <w:rFonts w:ascii="Figtree" w:hAnsi="Figtree"/>
          <w:b w:val="0"/>
          <w:i w:val="0"/>
          <w:sz w:val="22"/>
        </w:rPr>
        <w:t>Attendance at training sessions</w:t>
      </w:r>
    </w:p>
    <w:p>
      <w:pPr>
        <w:pStyle w:val="ListParagraph"/>
        <w:numPr>
          <w:ilvl w:val="0"/>
          <w:numId w:val="4"/>
        </w:numPr>
      </w:pPr>
      <w:r>
        <w:rPr>
          <w:rFonts w:ascii="Figtree" w:hAnsi="Figtree"/>
          <w:b w:val="0"/>
          <w:i w:val="0"/>
          <w:sz w:val="22"/>
        </w:rPr>
        <w:t>Completion of assessments</w:t>
      </w:r>
    </w:p>
    <w:p>
      <w:pPr>
        <w:pStyle w:val="ListParagraph"/>
        <w:numPr>
          <w:ilvl w:val="0"/>
          <w:numId w:val="4"/>
        </w:numPr>
      </w:pPr>
      <w:r>
        <w:rPr>
          <w:rFonts w:ascii="Figtree" w:hAnsi="Figtree"/>
          <w:b w:val="0"/>
          <w:i w:val="0"/>
          <w:sz w:val="22"/>
        </w:rPr>
        <w:t>Knowledge retention</w:t>
      </w:r>
    </w:p>
    <w:p>
      <w:pPr>
        <w:pStyle w:val="ListParagraph"/>
        <w:numPr>
          <w:ilvl w:val="0"/>
          <w:numId w:val="4"/>
        </w:numPr>
      </w:pPr>
      <w:r>
        <w:rPr>
          <w:rFonts w:ascii="Figtree" w:hAnsi="Figtree"/>
          <w:b w:val="0"/>
          <w:i w:val="0"/>
          <w:sz w:val="22"/>
        </w:rPr>
        <w:t>Operational readiness</w:t>
      </w:r>
    </w:p>
    <w:p>
      <w:pPr>
        <w:pStyle w:val="H3"/>
        <w:numPr>
          <w:ilvl w:val="2"/>
          <w:numId w:val="1"/>
        </w:numPr>
      </w:pPr>
      <w:r>
        <w:t>21.3.2 Support Transition</w:t>
      </w:r>
    </w:p>
    <w:p>
      <w:r>
        <w:rPr>
          <w:rFonts w:ascii="Figtree" w:hAnsi="Figtree"/>
          <w:b w:val="0"/>
          <w:i w:val="0"/>
          <w:sz w:val="22"/>
        </w:rPr>
        <w:t>Tadawul is responsible for:</w:t>
      </w:r>
    </w:p>
    <w:p>
      <w:pPr>
        <w:pStyle w:val="ListParagraph"/>
        <w:numPr>
          <w:ilvl w:val="0"/>
          <w:numId w:val="4"/>
        </w:numPr>
      </w:pPr>
      <w:r>
        <w:rPr>
          <w:rFonts w:ascii="Figtree" w:hAnsi="Figtree"/>
          <w:b w:val="0"/>
          <w:i w:val="0"/>
          <w:sz w:val="22"/>
        </w:rPr>
        <w:t>Support team readiness</w:t>
      </w:r>
    </w:p>
    <w:p>
      <w:pPr>
        <w:pStyle w:val="ListParagraph"/>
        <w:numPr>
          <w:ilvl w:val="0"/>
          <w:numId w:val="4"/>
        </w:numPr>
      </w:pPr>
      <w:r>
        <w:rPr>
          <w:rFonts w:ascii="Figtree" w:hAnsi="Figtree"/>
          <w:b w:val="0"/>
          <w:i w:val="0"/>
          <w:sz w:val="22"/>
        </w:rPr>
        <w:t>Runbook review and approval</w:t>
      </w:r>
    </w:p>
    <w:p>
      <w:pPr>
        <w:pStyle w:val="ListParagraph"/>
        <w:numPr>
          <w:ilvl w:val="0"/>
          <w:numId w:val="4"/>
        </w:numPr>
      </w:pPr>
      <w:r>
        <w:rPr>
          <w:rFonts w:ascii="Figtree" w:hAnsi="Figtree"/>
          <w:b w:val="0"/>
          <w:i w:val="0"/>
          <w:sz w:val="22"/>
        </w:rPr>
        <w:t>Incident response capability</w:t>
      </w:r>
    </w:p>
    <w:p>
      <w:pPr>
        <w:pStyle w:val="ListParagraph"/>
        <w:numPr>
          <w:ilvl w:val="0"/>
          <w:numId w:val="4"/>
        </w:numPr>
      </w:pPr>
      <w:r>
        <w:rPr>
          <w:rFonts w:ascii="Figtree" w:hAnsi="Figtree"/>
          <w:b w:val="0"/>
          <w:i w:val="0"/>
          <w:sz w:val="22"/>
        </w:rPr>
        <w:t>Operational governance</w:t>
      </w:r>
    </w:p>
    <w:p>
      <w:r>
        <w:br w:type="page"/>
      </w:r>
    </w:p>
    <w:p>
      <w:pPr>
        <w:pStyle w:val="H1"/>
        <w:numPr>
          <w:ilvl w:val="0"/>
          <w:numId w:val="1"/>
        </w:numPr>
      </w:pPr>
      <w:r>
        <w:t>22. Success Factors</w:t>
      </w:r>
    </w:p>
    <w:p>
      <w:pPr>
        <w:pStyle w:val="H2"/>
        <w:numPr>
          <w:ilvl w:val="1"/>
          <w:numId w:val="1"/>
        </w:numPr>
      </w:pPr>
      <w:r>
        <w:t>22.1 Critical Success Factors</w:t>
      </w:r>
    </w:p>
    <w:p>
      <w:r>
        <w:rPr>
          <w:rFonts w:ascii="Figtree" w:hAnsi="Figtree"/>
          <w:b w:val="0"/>
          <w:i w:val="0"/>
          <w:sz w:val="22"/>
        </w:rPr>
        <w:t>Success depends on several critical factors:</w:t>
      </w:r>
    </w:p>
    <w:p>
      <w:pPr>
        <w:pStyle w:val="H3"/>
        <w:numPr>
          <w:ilvl w:val="2"/>
          <w:numId w:val="1"/>
        </w:numPr>
      </w:pPr>
      <w:r>
        <w:t>22.1.1 Executive Sponsorship</w:t>
      </w:r>
    </w:p>
    <w:p>
      <w:r>
        <w:rPr>
          <w:rFonts w:ascii="Figtree" w:hAnsi="Figtree"/>
          <w:b w:val="0"/>
          <w:i w:val="0"/>
          <w:sz w:val="22"/>
        </w:rPr>
        <w:t>Active executive sponsorship ensures organizational alignment and resource availability.</w:t>
      </w:r>
    </w:p>
    <w:p>
      <w:pPr>
        <w:pStyle w:val="H3"/>
        <w:numPr>
          <w:ilvl w:val="2"/>
          <w:numId w:val="1"/>
        </w:numPr>
      </w:pPr>
      <w:r>
        <w:t>22.1.2 Requirements Stability</w:t>
      </w:r>
    </w:p>
    <w:p>
      <w:r>
        <w:rPr>
          <w:rFonts w:ascii="Figtree" w:hAnsi="Figtree"/>
          <w:b w:val="0"/>
          <w:i w:val="0"/>
          <w:sz w:val="22"/>
        </w:rPr>
        <w:t>Stable requirements enable predictable delivery. Change control manages scope evolution.</w:t>
      </w:r>
    </w:p>
    <w:p>
      <w:pPr>
        <w:pStyle w:val="H3"/>
        <w:numPr>
          <w:ilvl w:val="2"/>
          <w:numId w:val="1"/>
        </w:numPr>
      </w:pPr>
      <w:r>
        <w:t>22.1.3 Resource Availability</w:t>
      </w:r>
    </w:p>
    <w:p>
      <w:r>
        <w:rPr>
          <w:rFonts w:ascii="Figtree" w:hAnsi="Figtree"/>
          <w:b w:val="0"/>
          <w:i w:val="0"/>
          <w:sz w:val="22"/>
        </w:rPr>
        <w:t>Timely availability of Tadawul resources prevents schedule delays.</w:t>
      </w:r>
    </w:p>
    <w:p>
      <w:pPr>
        <w:pStyle w:val="H3"/>
        <w:numPr>
          <w:ilvl w:val="2"/>
          <w:numId w:val="1"/>
        </w:numPr>
      </w:pPr>
      <w:r>
        <w:t>22.1.4 Decision Making</w:t>
      </w:r>
    </w:p>
    <w:p>
      <w:r>
        <w:rPr>
          <w:rFonts w:ascii="Figtree" w:hAnsi="Figtree"/>
          <w:b w:val="0"/>
          <w:i w:val="0"/>
          <w:sz w:val="22"/>
        </w:rPr>
        <w:t>Timely decisions on project matters prevent bottlenecks and delays.</w:t>
      </w:r>
    </w:p>
    <w:p>
      <w:pPr>
        <w:pStyle w:val="H2"/>
        <w:numPr>
          <w:ilvl w:val="1"/>
          <w:numId w:val="1"/>
        </w:numPr>
      </w:pPr>
      <w:r>
        <w:t>22.2 Risk Mitigation</w:t>
      </w:r>
    </w:p>
    <w:p>
      <w:r>
        <w:rPr>
          <w:rFonts w:ascii="Figtree" w:hAnsi="Figtree"/>
          <w:b w:val="0"/>
          <w:i w:val="0"/>
          <w:sz w:val="22"/>
        </w:rPr>
        <w:t>Mitigation strategies address key risks:</w:t>
      </w:r>
    </w:p>
    <w:p>
      <w:pPr>
        <w:pStyle w:val="H3"/>
        <w:numPr>
          <w:ilvl w:val="2"/>
          <w:numId w:val="1"/>
        </w:numPr>
      </w:pPr>
      <w:r>
        <w:t>22.2.1 Resource Risk</w:t>
      </w:r>
    </w:p>
    <w:p>
      <w:r>
        <w:rPr>
          <w:rFonts w:ascii="Figtree" w:hAnsi="Figtree"/>
          <w:b w:val="0"/>
          <w:i w:val="0"/>
          <w:sz w:val="22"/>
        </w:rPr>
        <w:t>Mitigation through resource planning and contingency resources.</w:t>
      </w:r>
    </w:p>
    <w:p>
      <w:pPr>
        <w:pStyle w:val="H3"/>
        <w:numPr>
          <w:ilvl w:val="2"/>
          <w:numId w:val="1"/>
        </w:numPr>
      </w:pPr>
      <w:r>
        <w:t>22.2.2 Technical Risk</w:t>
      </w:r>
    </w:p>
    <w:p>
      <w:r>
        <w:rPr>
          <w:rFonts w:ascii="Figtree" w:hAnsi="Figtree"/>
          <w:b w:val="0"/>
          <w:i w:val="0"/>
          <w:sz w:val="22"/>
        </w:rPr>
        <w:t>Mitigation through proof of concepts and iterative development.</w:t>
      </w:r>
    </w:p>
    <w:p>
      <w:pPr>
        <w:pStyle w:val="H3"/>
        <w:numPr>
          <w:ilvl w:val="2"/>
          <w:numId w:val="1"/>
        </w:numPr>
      </w:pPr>
      <w:r>
        <w:t>22.2.3 Schedule Risk</w:t>
      </w:r>
    </w:p>
    <w:p>
      <w:r>
        <w:rPr>
          <w:rFonts w:ascii="Figtree" w:hAnsi="Figtree"/>
          <w:b w:val="0"/>
          <w:i w:val="0"/>
          <w:sz w:val="22"/>
        </w:rPr>
        <w:t>Mitigation through buffer management and scope prioritization.</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i w:val="0"/>
          <w:sz w:val="22"/>
        </w:rPr>
        <w:t>End of Commercial Proposal</w:t>
      </w:r>
    </w:p>
    <w:p>
      <w:r>
        <w:rPr>
          <w:rFonts w:ascii="Figtree" w:hAnsi="Figtree"/>
          <w:b w:val="0"/>
          <w:i/>
          <w:sz w:val="22"/>
        </w:rPr>
        <w:t>This document is confidential and intended solely for the use of Tadawul Saudi Exchange.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