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Executive Summary</w:t>
          </w:r>
          <w:r>
            <w:tab/>
          </w:r>
          <w:r>
            <w:t xml:space="preserve">4</w:t>
          </w:r>
        </w:p>
        <w:p>
          <w:pPr>
            <w:pStyle w:val="TOC3"/>
            <w:tabs>
              <w:tab w:val="right" w:leader="dot" w:pos="9072"/>
            </w:tabs>
          </w:pPr>
          <w:r>
            <w:t xml:space="preserve">The Commercial Decision</w:t>
          </w:r>
          <w:r>
            <w:tab/>
          </w:r>
          <w:r>
            <w:t xml:space="preserve">5</w:t>
          </w:r>
        </w:p>
        <w:p>
          <w:pPr>
            <w:pStyle w:val="TOC3"/>
            <w:tabs>
              <w:tab w:val="right" w:leader="dot" w:pos="9072"/>
            </w:tabs>
          </w:pPr>
          <w:r>
            <w:t xml:space="preserve">Recommended Commercial Structure</w:t>
          </w:r>
          <w:r>
            <w:tab/>
          </w:r>
          <w:r>
            <w:t xml:space="preserve">6</w:t>
          </w:r>
        </w:p>
        <w:p>
          <w:pPr>
            <w:pStyle w:val="TOC3"/>
            <w:tabs>
              <w:tab w:val="right" w:leader="dot" w:pos="9072"/>
            </w:tabs>
          </w:pPr>
          <w:r>
            <w:t xml:space="preserve">Why Platform Procurement Is Lower Risk Than Build or Assembly</w:t>
          </w:r>
          <w:r>
            <w:tab/>
          </w:r>
          <w:r>
            <w:t xml:space="preserve">7</w:t>
          </w:r>
        </w:p>
        <w:p>
          <w:pPr>
            <w:pStyle w:val="TOC3"/>
            <w:tabs>
              <w:tab w:val="right" w:leader="dot" w:pos="9072"/>
            </w:tabs>
          </w:pPr>
          <w:r>
            <w:t xml:space="preserve">Executive Summary: Business Context</w:t>
          </w:r>
          <w:r>
            <w:tab/>
          </w:r>
          <w:r>
            <w:t xml:space="preserve">8</w:t>
          </w:r>
        </w:p>
        <w:p>
          <w:pPr>
            <w:pStyle w:val="TOC2"/>
            <w:tabs>
              <w:tab w:val="right" w:leader="dot" w:pos="9072"/>
            </w:tabs>
          </w:pPr>
          <w:r>
            <w:t xml:space="preserve">Investment Summary</w:t>
          </w:r>
          <w:r>
            <w:tab/>
          </w:r>
          <w:r>
            <w:t xml:space="preserve">9</w:t>
          </w:r>
        </w:p>
        <w:p>
          <w:pPr>
            <w:pStyle w:val="TOC2"/>
            <w:tabs>
              <w:tab w:val="right" w:leader="dot" w:pos="9072"/>
            </w:tabs>
          </w:pPr>
          <w:r>
            <w:t xml:space="preserve">Licensing and Subscription Model</w:t>
          </w:r>
          <w:r>
            <w:tab/>
          </w:r>
          <w:r>
            <w:t xml:space="preserve">10</w:t>
          </w:r>
        </w:p>
        <w:p>
          <w:pPr>
            <w:pStyle w:val="TOC3"/>
            <w:tabs>
              <w:tab w:val="right" w:leader="dot" w:pos="9072"/>
            </w:tabs>
          </w:pPr>
          <w:r>
            <w:t xml:space="preserve">Philosophy</w:t>
          </w:r>
          <w:r>
            <w:tab/>
          </w:r>
          <w:r>
            <w:t xml:space="preserve">11</w:t>
          </w:r>
        </w:p>
        <w:p>
          <w:pPr>
            <w:pStyle w:val="TOC3"/>
            <w:tabs>
              <w:tab w:val="right" w:leader="dot" w:pos="9072"/>
            </w:tabs>
          </w:pPr>
          <w:r>
            <w:t xml:space="preserve">What Is Included in the Enterprise Tier</w:t>
          </w:r>
          <w:r>
            <w:tab/>
          </w:r>
          <w:r>
            <w:t xml:space="preserve">12</w:t>
          </w:r>
        </w:p>
        <w:p>
          <w:pPr>
            <w:pStyle w:val="TOC3"/>
            <w:tabs>
              <w:tab w:val="right" w:leader="dot" w:pos="9072"/>
            </w:tabs>
          </w:pPr>
          <w:r>
            <w:t xml:space="preserve">What Varies by Engagement</w:t>
          </w:r>
          <w:r>
            <w:tab/>
          </w:r>
          <w:r>
            <w:t xml:space="preserve">13</w:t>
          </w:r>
        </w:p>
        <w:p>
          <w:pPr>
            <w:pStyle w:val="TOC3"/>
            <w:tabs>
              <w:tab w:val="right" w:leader="dot" w:pos="9072"/>
            </w:tabs>
          </w:pPr>
          <w:r>
            <w:t xml:space="preserve">Platform Tier Comparison</w:t>
          </w:r>
          <w:r>
            <w:tab/>
          </w:r>
          <w:r>
            <w:t xml:space="preserve">14</w:t>
          </w:r>
        </w:p>
        <w:p>
          <w:pPr>
            <w:pStyle w:val="TOC2"/>
            <w:tabs>
              <w:tab w:val="right" w:leader="dot" w:pos="9072"/>
            </w:tabs>
          </w:pPr>
          <w:r>
            <w:t xml:space="preserve">Implementation Investment</w:t>
          </w:r>
          <w:r>
            <w:tab/>
          </w:r>
          <w:r>
            <w:t xml:space="preserve">15</w:t>
          </w:r>
        </w:p>
        <w:p>
          <w:pPr>
            <w:pStyle w:val="TOC3"/>
            <w:tabs>
              <w:tab w:val="right" w:leader="dot" w:pos="9072"/>
            </w:tabs>
          </w:pPr>
          <w:r>
            <w:t xml:space="preserve">Implementation Methodology</w:t>
          </w:r>
          <w:r>
            <w:tab/>
          </w:r>
          <w:r>
            <w:t xml:space="preserve">16</w:t>
          </w:r>
        </w:p>
        <w:p>
          <w:pPr>
            <w:pStyle w:val="TOC3"/>
            <w:tabs>
              <w:tab w:val="right" w:leader="dot" w:pos="9072"/>
            </w:tabs>
          </w:pPr>
          <w:r>
            <w:t xml:space="preserve">Implementation Phase Summary</w:t>
          </w:r>
          <w:r>
            <w:tab/>
          </w:r>
          <w:r>
            <w:t xml:space="preserve">17</w:t>
          </w:r>
        </w:p>
        <w:p>
          <w:pPr>
            <w:pStyle w:val="TOC3"/>
            <w:tabs>
              <w:tab w:val="right" w:leader="dot" w:pos="9072"/>
            </w:tabs>
          </w:pPr>
          <w:r>
            <w:t xml:space="preserve">Implementation Accelerators</w:t>
          </w:r>
          <w:r>
            <w:tab/>
          </w:r>
          <w:r>
            <w:t xml:space="preserve">18</w:t>
          </w:r>
        </w:p>
        <w:p>
          <w:pPr>
            <w:pStyle w:val="TOC3"/>
            <w:tabs>
              <w:tab w:val="right" w:leader="dot" w:pos="9072"/>
            </w:tabs>
          </w:pPr>
          <w:r>
            <w:t xml:space="preserve">Implementation Risk Factors</w:t>
          </w:r>
          <w:r>
            <w:tab/>
          </w:r>
          <w:r>
            <w:t xml:space="preserve">19</w:t>
          </w:r>
        </w:p>
        <w:p>
          <w:pPr>
            <w:pStyle w:val="TOC3"/>
            <w:tabs>
              <w:tab w:val="right" w:leader="dot" w:pos="9072"/>
            </w:tabs>
          </w:pPr>
          <w:r>
            <w:t xml:space="preserve">Training</w:t>
          </w:r>
          <w:r>
            <w:tab/>
          </w:r>
          <w:r>
            <w:t xml:space="preserve">20</w:t>
          </w:r>
        </w:p>
        <w:p>
          <w:pPr>
            <w:pStyle w:val="TOC2"/>
            <w:tabs>
              <w:tab w:val="right" w:leader="dot" w:pos="9072"/>
            </w:tabs>
          </w:pPr>
          <w:r>
            <w:t xml:space="preserve">Support and Operational Costs</w:t>
          </w:r>
          <w:r>
            <w:tab/>
          </w:r>
          <w:r>
            <w:t xml:space="preserve">21</w:t>
          </w:r>
        </w:p>
        <w:p>
          <w:pPr>
            <w:pStyle w:val="TOC3"/>
            <w:tabs>
              <w:tab w:val="right" w:leader="dot" w:pos="9072"/>
            </w:tabs>
          </w:pPr>
          <w:r>
            <w:t xml:space="preserve">Support Tier Recommendation</w:t>
          </w:r>
          <w:r>
            <w:tab/>
          </w:r>
          <w:r>
            <w:t xml:space="preserve">22</w:t>
          </w:r>
        </w:p>
        <w:p>
          <w:pPr>
            <w:pStyle w:val="TOC3"/>
            <w:tabs>
              <w:tab w:val="right" w:leader="dot" w:pos="9072"/>
            </w:tabs>
          </w:pPr>
          <w:r>
            <w:t xml:space="preserve">Support Tier Comparison</w:t>
          </w:r>
          <w:r>
            <w:tab/>
          </w:r>
          <w:r>
            <w:t xml:space="preserve">23</w:t>
          </w:r>
        </w:p>
        <w:p>
          <w:pPr>
            <w:pStyle w:val="TOC3"/>
            <w:tabs>
              <w:tab w:val="right" w:leader="dot" w:pos="9072"/>
            </w:tabs>
          </w:pPr>
          <w:r>
            <w:t xml:space="preserve">Severity and Response Matrix</w:t>
          </w:r>
          <w:r>
            <w:tab/>
          </w:r>
          <w:r>
            <w:t xml:space="preserve">24</w:t>
          </w:r>
        </w:p>
        <w:p>
          <w:pPr>
            <w:pStyle w:val="TOC3"/>
            <w:tabs>
              <w:tab w:val="right" w:leader="dot" w:pos="9072"/>
            </w:tabs>
          </w:pPr>
          <w:r>
            <w:t xml:space="preserve">Maintenance Windows</w:t>
          </w:r>
          <w:r>
            <w:tab/>
          </w:r>
          <w:r>
            <w:t xml:space="preserve">25</w:t>
          </w:r>
        </w:p>
        <w:p>
          <w:pPr>
            <w:pStyle w:val="TOC2"/>
            <w:tabs>
              <w:tab w:val="right" w:leader="dot" w:pos="9072"/>
            </w:tabs>
          </w:pPr>
          <w:r>
            <w:t xml:space="preserve">Total Cost of Ownership Analysis</w:t>
          </w:r>
          <w:r>
            <w:tab/>
          </w:r>
          <w:r>
            <w:t xml:space="preserve">26</w:t>
          </w:r>
        </w:p>
        <w:p>
          <w:pPr>
            <w:pStyle w:val="TOC3"/>
            <w:tabs>
              <w:tab w:val="right" w:leader="dot" w:pos="9072"/>
            </w:tabs>
          </w:pPr>
          <w:r>
            <w:t xml:space="preserve">TCO Framework</w:t>
          </w:r>
          <w:r>
            <w:tab/>
          </w:r>
          <w:r>
            <w:t xml:space="preserve">27</w:t>
          </w:r>
        </w:p>
        <w:p>
          <w:pPr>
            <w:pStyle w:val="TOC3"/>
            <w:tabs>
              <w:tab w:val="right" w:leader="dot" w:pos="9072"/>
            </w:tabs>
          </w:pPr>
          <w:r>
            <w:t xml:space="preserve">3-Year TCO: DALP</w:t>
          </w:r>
          <w:r>
            <w:tab/>
          </w:r>
          <w:r>
            <w:t xml:space="preserve">28</w:t>
          </w:r>
        </w:p>
        <w:p>
          <w:pPr>
            <w:pStyle w:val="TOC3"/>
            <w:tabs>
              <w:tab w:val="right" w:leader="dot" w:pos="9072"/>
            </w:tabs>
          </w:pPr>
          <w:r>
            <w:t xml:space="preserve">3-Year TCO: Internal Build (Conservative Estimate)</w:t>
          </w:r>
          <w:r>
            <w:tab/>
          </w:r>
          <w:r>
            <w:t xml:space="preserve">29</w:t>
          </w:r>
        </w:p>
        <w:p>
          <w:pPr>
            <w:pStyle w:val="TOC3"/>
            <w:tabs>
              <w:tab w:val="right" w:leader="dot" w:pos="9072"/>
            </w:tabs>
          </w:pPr>
          <w:r>
            <w:t xml:space="preserve">Comparative Analysis</w:t>
          </w:r>
          <w:r>
            <w:tab/>
          </w:r>
          <w:r>
            <w:t xml:space="preserve">30</w:t>
          </w:r>
        </w:p>
        <w:p>
          <w:pPr>
            <w:pStyle w:val="TOC2"/>
            <w:tabs>
              <w:tab w:val="right" w:leader="dot" w:pos="9072"/>
            </w:tabs>
          </w:pPr>
          <w:r>
            <w:t xml:space="preserve">Payment Terms and Commercial Structure</w:t>
          </w:r>
          <w:r>
            <w:tab/>
          </w:r>
          <w:r>
            <w:t xml:space="preserve">31</w:t>
          </w:r>
        </w:p>
        <w:p>
          <w:pPr>
            <w:pStyle w:val="TOC3"/>
            <w:tabs>
              <w:tab w:val="right" w:leader="dot" w:pos="9072"/>
            </w:tabs>
          </w:pPr>
          <w:r>
            <w:t xml:space="preserve">Payment Schedule: Platform License</w:t>
          </w:r>
          <w:r>
            <w:tab/>
          </w:r>
          <w:r>
            <w:t xml:space="preserve">32</w:t>
          </w:r>
        </w:p>
        <w:p>
          <w:pPr>
            <w:pStyle w:val="TOC3"/>
            <w:tabs>
              <w:tab w:val="right" w:leader="dot" w:pos="9072"/>
            </w:tabs>
          </w:pPr>
          <w:r>
            <w:t xml:space="preserve">Payment Schedule: Implementation</w:t>
          </w:r>
          <w:r>
            <w:tab/>
          </w:r>
          <w:r>
            <w:t xml:space="preserve">33</w:t>
          </w:r>
        </w:p>
        <w:p>
          <w:pPr>
            <w:pStyle w:val="TOC3"/>
            <w:tabs>
              <w:tab w:val="right" w:leader="dot" w:pos="9072"/>
            </w:tabs>
          </w:pPr>
          <w:r>
            <w:t xml:space="preserve">Payment Terms</w:t>
          </w:r>
          <w:r>
            <w:tab/>
          </w:r>
          <w:r>
            <w:t xml:space="preserve">34</w:t>
          </w:r>
        </w:p>
        <w:p>
          <w:pPr>
            <w:pStyle w:val="TOC3"/>
            <w:tabs>
              <w:tab w:val="right" w:leader="dot" w:pos="9072"/>
            </w:tabs>
          </w:pPr>
          <w:r>
            <w:t xml:space="preserve">Contract Duration</w:t>
          </w:r>
          <w:r>
            <w:tab/>
          </w:r>
          <w:r>
            <w:t xml:space="preserve">35</w:t>
          </w:r>
        </w:p>
        <w:p>
          <w:pPr>
            <w:pStyle w:val="TOC2"/>
            <w:tabs>
              <w:tab w:val="right" w:leader="dot" w:pos="9072"/>
            </w:tabs>
          </w:pPr>
          <w:r>
            <w:t xml:space="preserve">Value Realisation and ROI Analysis</w:t>
          </w:r>
          <w:r>
            <w:tab/>
          </w:r>
          <w:r>
            <w:t xml:space="preserve">36</w:t>
          </w:r>
        </w:p>
        <w:p>
          <w:pPr>
            <w:pStyle w:val="TOC3"/>
            <w:tabs>
              <w:tab w:val="right" w:leader="dot" w:pos="9072"/>
            </w:tabs>
          </w:pPr>
          <w:r>
            <w:t xml:space="preserve">Value Driver Framework</w:t>
          </w:r>
          <w:r>
            <w:tab/>
          </w:r>
          <w:r>
            <w:t xml:space="preserve">37</w:t>
          </w:r>
        </w:p>
        <w:p>
          <w:pPr>
            <w:pStyle w:val="TOC3"/>
            <w:tabs>
              <w:tab w:val="right" w:leader="dot" w:pos="9072"/>
            </w:tabs>
          </w:pPr>
          <w:r>
            <w:t xml:space="preserve">Sensitivity Table</w:t>
          </w:r>
          <w:r>
            <w:tab/>
          </w:r>
          <w:r>
            <w:t xml:space="preserve">38</w:t>
          </w:r>
        </w:p>
        <w:p>
          <w:pPr>
            <w:pStyle w:val="TOC2"/>
            <w:tabs>
              <w:tab w:val="right" w:leader="dot" w:pos="9072"/>
            </w:tabs>
          </w:pPr>
          <w:r>
            <w:t xml:space="preserve">Commercial Assumptions and Dependencies</w:t>
          </w:r>
          <w:r>
            <w:tab/>
          </w:r>
          <w:r>
            <w:t xml:space="preserve">39</w:t>
          </w:r>
        </w:p>
        <w:p>
          <w:pPr>
            <w:pStyle w:val="TOC2"/>
            <w:tabs>
              <w:tab w:val="right" w:leader="dot" w:pos="9072"/>
            </w:tabs>
          </w:pPr>
          <w:r>
            <w:t xml:space="preserve">Contractual Framework Overview</w:t>
          </w:r>
          <w:r>
            <w:tab/>
          </w:r>
          <w:r>
            <w:t xml:space="preserve">40</w:t>
          </w:r>
        </w:p>
        <w:p>
          <w:pPr>
            <w:pStyle w:val="TOC3"/>
            <w:tabs>
              <w:tab w:val="right" w:leader="dot" w:pos="9072"/>
            </w:tabs>
          </w:pPr>
          <w:r>
            <w:t xml:space="preserve">Agreement Structure</w:t>
          </w:r>
          <w:r>
            <w:tab/>
          </w:r>
          <w:r>
            <w:t xml:space="preserve">41</w:t>
          </w:r>
        </w:p>
        <w:p>
          <w:pPr>
            <w:pStyle w:val="TOC3"/>
            <w:tabs>
              <w:tab w:val="right" w:leader="dot" w:pos="9072"/>
            </w:tabs>
          </w:pPr>
          <w:r>
            <w:t xml:space="preserve">Intellectual Property</w:t>
          </w:r>
          <w:r>
            <w:tab/>
          </w:r>
          <w:r>
            <w:t xml:space="preserve">42</w:t>
          </w:r>
        </w:p>
        <w:p>
          <w:pPr>
            <w:pStyle w:val="TOC3"/>
            <w:tabs>
              <w:tab w:val="right" w:leader="dot" w:pos="9072"/>
            </w:tabs>
          </w:pPr>
          <w:r>
            <w:t xml:space="preserve">Liability</w:t>
          </w:r>
          <w:r>
            <w:tab/>
          </w:r>
          <w:r>
            <w:t xml:space="preserve">43</w:t>
          </w:r>
        </w:p>
        <w:p>
          <w:pPr>
            <w:pStyle w:val="TOC3"/>
            <w:tabs>
              <w:tab w:val="right" w:leader="dot" w:pos="9072"/>
            </w:tabs>
          </w:pPr>
          <w:r>
            <w:t xml:space="preserve">Data Handling</w:t>
          </w:r>
          <w:r>
            <w:tab/>
          </w:r>
          <w:r>
            <w:t xml:space="preserve">44</w:t>
          </w:r>
        </w:p>
        <w:p>
          <w:pPr>
            <w:pStyle w:val="TOC3"/>
            <w:tabs>
              <w:tab w:val="right" w:leader="dot" w:pos="9072"/>
            </w:tabs>
          </w:pPr>
          <w:r>
            <w:t xml:space="preserve">Source Code Escrow</w:t>
          </w:r>
          <w:r>
            <w:tab/>
          </w:r>
          <w:r>
            <w:t xml:space="preserve">45</w:t>
          </w:r>
        </w:p>
        <w:p>
          <w:pPr>
            <w:pStyle w:val="TOC2"/>
            <w:tabs>
              <w:tab w:val="right" w:leader="dot" w:pos="9072"/>
            </w:tabs>
          </w:pPr>
          <w:r>
            <w:t xml:space="preserve">Appendix A: Detailed Pricing Schedule</w:t>
          </w:r>
          <w:r>
            <w:tab/>
          </w:r>
          <w:r>
            <w:t xml:space="preserve">46</w:t>
          </w:r>
        </w:p>
        <w:p>
          <w:pPr>
            <w:pStyle w:val="TOC3"/>
            <w:tabs>
              <w:tab w:val="right" w:leader="dot" w:pos="9072"/>
            </w:tabs>
          </w:pPr>
          <w:r>
            <w:t xml:space="preserve">Annual Recurring Costs</w:t>
          </w:r>
          <w:r>
            <w:tab/>
          </w:r>
          <w:r>
            <w:t xml:space="preserve">47</w:t>
          </w:r>
        </w:p>
        <w:p>
          <w:pPr>
            <w:pStyle w:val="TOC3"/>
            <w:tabs>
              <w:tab w:val="right" w:leader="dot" w:pos="9072"/>
            </w:tabs>
          </w:pPr>
          <w:r>
            <w:t xml:space="preserve">One-Time Implementation Costs</w:t>
          </w:r>
          <w:r>
            <w:tab/>
          </w:r>
          <w:r>
            <w:t xml:space="preserve">48</w:t>
          </w:r>
        </w:p>
        <w:p>
          <w:pPr>
            <w:pStyle w:val="TOC3"/>
            <w:tabs>
              <w:tab w:val="right" w:leader="dot" w:pos="9072"/>
            </w:tabs>
          </w:pPr>
          <w:r>
            <w:t xml:space="preserve">Multi-Year Discount Schedule</w:t>
          </w:r>
          <w:r>
            <w:tab/>
          </w:r>
          <w:r>
            <w:t xml:space="preserve">49</w:t>
          </w:r>
        </w:p>
        <w:p>
          <w:pPr>
            <w:pStyle w:val="TOC2"/>
            <w:tabs>
              <w:tab w:val="right" w:leader="dot" w:pos="9072"/>
            </w:tabs>
          </w:pPr>
          <w:r>
            <w:t xml:space="preserve">Appendix B: Implementation Milestone and Payment Schedule</w:t>
          </w:r>
          <w:r>
            <w:tab/>
          </w:r>
          <w:r>
            <w:t xml:space="preserve">50</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Flutterwave (Nigeria / Pan-Africa)</w:t>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Date:</w:t>
      </w:r>
      <w:r>
        <w:rPr>
          <w:rFonts w:ascii="Figtree" w:hAnsi="Figtree"/>
          <w:b w:val="0"/>
          <w:i w:val="0"/>
          <w:sz w:val="22"/>
        </w:rPr>
        <w:t xml:space="preserve"> March 2026</w:t>
      </w:r>
    </w:p>
    <w:p>
      <w:r>
        <w:rPr>
          <w:rFonts w:ascii="Figtree" w:hAnsi="Figtree"/>
          <w:b/>
          <w:i w:val="0"/>
          <w:sz w:val="22"/>
        </w:rPr>
        <w:t>Version:</w:t>
      </w:r>
      <w:r>
        <w:rPr>
          <w:rFonts w:ascii="Figtree" w:hAnsi="Figtree"/>
          <w:b w:val="0"/>
          <w:i w:val="0"/>
          <w:sz w:val="22"/>
        </w:rPr>
        <w:t xml:space="preserve"> v1.0</w:t>
      </w:r>
    </w:p>
    <w:p>
      <w:r>
        <w:rPr>
          <w:rFonts w:ascii="Figtree" w:hAnsi="Figtree"/>
          <w:b/>
          <w:i w:val="0"/>
          <w:sz w:val="22"/>
        </w:rPr>
        <w:t>Reference:</w:t>
      </w:r>
      <w:r>
        <w:rPr>
          <w:rFonts w:ascii="Figtree" w:hAnsi="Figtree"/>
          <w:b w:val="0"/>
          <w:i w:val="0"/>
          <w:sz w:val="22"/>
        </w:rPr>
        <w:t xml:space="preserve"> FLUTTERWAVE-RFP-TOKENIZED-CROSS-BORDER-PAYMENTS-202603</w:t>
      </w:r>
    </w:p>
    <w:p>
      <w:r>
        <w:rPr>
          <w:rFonts w:ascii="Figtree" w:hAnsi="Figtree"/>
          <w:b/>
          <w:i w:val="0"/>
          <w:sz w:val="22"/>
        </w:rPr>
        <w:t>Classification:</w:t>
      </w:r>
      <w:r>
        <w:rPr>
          <w:rFonts w:ascii="Figtree" w:hAnsi="Figtree"/>
          <w:b w:val="0"/>
          <w:i w:val="0"/>
          <w:sz w:val="22"/>
        </w:rPr>
        <w:t xml:space="preserve"> SettleMint Confidential</w:t>
      </w:r>
    </w:p>
    <w:p>
      <w:r>
        <w:br w:type="page"/>
      </w:r>
    </w:p>
    <w:p>
      <w:pPr>
        <w:pStyle w:val="H2"/>
        <w:numPr>
          <w:ilvl w:val="1"/>
          <w:numId w:val="1"/>
        </w:numPr>
      </w:pPr>
      <w:r>
        <w:t>Table of Contents</w:t>
      </w:r>
    </w:p>
    <w:p>
      <w:pPr>
        <w:pStyle w:val="ListParagraph"/>
        <w:numPr>
          <w:ilvl w:val="0"/>
          <w:numId w:val="4"/>
        </w:numPr>
      </w:pPr>
      <w:r>
        <w:rPr>
          <w:rFonts w:ascii="Figtree" w:hAnsi="Figtree"/>
          <w:b w:val="0"/>
          <w:i w:val="0"/>
          <w:sz w:val="22"/>
        </w:rPr>
        <w:t>Executive Summary</w:t>
      </w:r>
    </w:p>
    <w:p>
      <w:pPr>
        <w:pStyle w:val="ListParagraph"/>
        <w:numPr>
          <w:ilvl w:val="0"/>
          <w:numId w:val="4"/>
        </w:numPr>
      </w:pPr>
      <w:r>
        <w:rPr>
          <w:rFonts w:ascii="Figtree" w:hAnsi="Figtree"/>
          <w:b w:val="0"/>
          <w:i w:val="0"/>
          <w:sz w:val="22"/>
        </w:rPr>
        <w:t>Investment Summary</w:t>
      </w:r>
    </w:p>
    <w:p>
      <w:pPr>
        <w:pStyle w:val="ListParagraph"/>
        <w:numPr>
          <w:ilvl w:val="0"/>
          <w:numId w:val="4"/>
        </w:numPr>
      </w:pPr>
      <w:r>
        <w:rPr>
          <w:rFonts w:ascii="Figtree" w:hAnsi="Figtree"/>
          <w:b w:val="0"/>
          <w:i w:val="0"/>
          <w:sz w:val="22"/>
        </w:rPr>
        <w:t>Licensing and Subscription Model</w:t>
      </w:r>
    </w:p>
    <w:p>
      <w:pPr>
        <w:pStyle w:val="ListParagraph"/>
        <w:numPr>
          <w:ilvl w:val="0"/>
          <w:numId w:val="4"/>
        </w:numPr>
      </w:pPr>
      <w:r>
        <w:rPr>
          <w:rFonts w:ascii="Figtree" w:hAnsi="Figtree"/>
          <w:b w:val="0"/>
          <w:i w:val="0"/>
          <w:sz w:val="22"/>
        </w:rPr>
        <w:t>Implementation Investment</w:t>
      </w:r>
    </w:p>
    <w:p>
      <w:pPr>
        <w:pStyle w:val="ListParagraph"/>
        <w:numPr>
          <w:ilvl w:val="0"/>
          <w:numId w:val="4"/>
        </w:numPr>
      </w:pPr>
      <w:r>
        <w:rPr>
          <w:rFonts w:ascii="Figtree" w:hAnsi="Figtree"/>
          <w:b w:val="0"/>
          <w:i w:val="0"/>
          <w:sz w:val="22"/>
        </w:rPr>
        <w:t>Support and Operational Costs</w:t>
      </w:r>
    </w:p>
    <w:p>
      <w:pPr>
        <w:pStyle w:val="ListParagraph"/>
        <w:numPr>
          <w:ilvl w:val="0"/>
          <w:numId w:val="4"/>
        </w:numPr>
      </w:pPr>
      <w:r>
        <w:rPr>
          <w:rFonts w:ascii="Figtree" w:hAnsi="Figtree"/>
          <w:b w:val="0"/>
          <w:i w:val="0"/>
          <w:sz w:val="22"/>
        </w:rPr>
        <w:t>Total Cost of Ownership Analysis</w:t>
      </w:r>
    </w:p>
    <w:p>
      <w:pPr>
        <w:pStyle w:val="ListParagraph"/>
        <w:numPr>
          <w:ilvl w:val="0"/>
          <w:numId w:val="4"/>
        </w:numPr>
      </w:pPr>
      <w:r>
        <w:rPr>
          <w:rFonts w:ascii="Figtree" w:hAnsi="Figtree"/>
          <w:b w:val="0"/>
          <w:i w:val="0"/>
          <w:sz w:val="22"/>
        </w:rPr>
        <w:t>Payment Terms and Commercial Structure</w:t>
      </w:r>
    </w:p>
    <w:p>
      <w:pPr>
        <w:pStyle w:val="ListParagraph"/>
        <w:numPr>
          <w:ilvl w:val="0"/>
          <w:numId w:val="4"/>
        </w:numPr>
      </w:pPr>
      <w:r>
        <w:rPr>
          <w:rFonts w:ascii="Figtree" w:hAnsi="Figtree"/>
          <w:b w:val="0"/>
          <w:i w:val="0"/>
          <w:sz w:val="22"/>
        </w:rPr>
        <w:t>Value Realisation and ROI Analysis</w:t>
      </w:r>
    </w:p>
    <w:p>
      <w:pPr>
        <w:pStyle w:val="ListParagraph"/>
        <w:numPr>
          <w:ilvl w:val="0"/>
          <w:numId w:val="4"/>
        </w:numPr>
      </w:pPr>
      <w:r>
        <w:rPr>
          <w:rFonts w:ascii="Figtree" w:hAnsi="Figtree"/>
          <w:b w:val="0"/>
          <w:i w:val="0"/>
          <w:sz w:val="22"/>
        </w:rPr>
        <w:t>Commercial Assumptions and Dependencies</w:t>
      </w:r>
    </w:p>
    <w:p>
      <w:pPr>
        <w:pStyle w:val="ListParagraph"/>
        <w:numPr>
          <w:ilvl w:val="0"/>
          <w:numId w:val="4"/>
        </w:numPr>
      </w:pPr>
      <w:r>
        <w:rPr>
          <w:rFonts w:ascii="Figtree" w:hAnsi="Figtree"/>
          <w:b w:val="0"/>
          <w:i w:val="0"/>
          <w:sz w:val="22"/>
        </w:rPr>
        <w:t>Contractual Framework Overview</w:t>
      </w:r>
    </w:p>
    <w:p>
      <w:pPr>
        <w:pStyle w:val="ListParagraph"/>
        <w:numPr>
          <w:ilvl w:val="0"/>
          <w:numId w:val="4"/>
        </w:numPr>
      </w:pPr>
      <w:r>
        <w:rPr>
          <w:rFonts w:ascii="Figtree" w:hAnsi="Figtree"/>
          <w:b w:val="0"/>
          <w:i w:val="0"/>
          <w:sz w:val="22"/>
        </w:rPr>
        <w:t>Appendix A: Detailed Pricing Schedule</w:t>
      </w:r>
    </w:p>
    <w:p>
      <w:pPr>
        <w:pStyle w:val="ListParagraph"/>
        <w:numPr>
          <w:ilvl w:val="0"/>
          <w:numId w:val="4"/>
        </w:numPr>
      </w:pPr>
      <w:r>
        <w:rPr>
          <w:rFonts w:ascii="Figtree" w:hAnsi="Figtree"/>
          <w:b w:val="0"/>
          <w:i w:val="0"/>
          <w:sz w:val="22"/>
        </w:rPr>
        <w:t>Appendix B: Implementation Milestone and Payment Schedule</w:t>
      </w:r>
    </w:p>
    <w:p>
      <w:r>
        <w:br w:type="page"/>
      </w:r>
    </w:p>
    <w:p>
      <w:pPr>
        <w:pStyle w:val="H2"/>
        <w:numPr>
          <w:ilvl w:val="1"/>
          <w:numId w:val="1"/>
        </w:numPr>
      </w:pPr>
      <w:r>
        <w:t>Executive Summary</w:t>
      </w:r>
    </w:p>
    <w:p>
      <w:pPr>
        <w:pStyle w:val="H3"/>
        <w:numPr>
          <w:ilvl w:val="2"/>
          <w:numId w:val="1"/>
        </w:numPr>
      </w:pPr>
      <w:r>
        <w:t>The Commercial Decision</w:t>
      </w:r>
    </w:p>
    <w:p>
      <w:r>
        <w:rPr>
          <w:rFonts w:ascii="Figtree" w:hAnsi="Figtree"/>
          <w:b w:val="0"/>
          <w:i w:val="0"/>
          <w:sz w:val="22"/>
        </w:rPr>
        <w:t>Flutterwave operates payment infrastructure across thirty-plus African markets and global corridors. The company's growth trajectory demands that settlement, compliance, and reconciliation operations scale without proportionally scaling the manual overhead currently required for corridor management, exception handling, and regulatory evidence production. The tokenized cross-border payments programme addresses this directly: by placing a programmable, auditable settlement layer underneath fiat flows, Flutterwave can automate compliance enforcement, reduce settlement latency, and produce regulatory evidence on demand.</w:t>
      </w:r>
    </w:p>
    <w:p>
      <w:r>
        <w:rPr>
          <w:rFonts w:ascii="Figtree" w:hAnsi="Figtree"/>
          <w:b w:val="0"/>
          <w:i w:val="0"/>
          <w:sz w:val="22"/>
        </w:rPr>
        <w:t>The commercial question is not whether tokenized settlement infrastructure is strategically necessary. It is which approach delivers that capability with the lowest total cost, the least implementation risk, and the strongest operational defensibility. This proposal presents SettleMint's DALP platform as the answer, and quantifies why the platform approach costs substantially less than assembling equivalent capability from separate components or building it internally.</w:t>
      </w:r>
    </w:p>
    <w:p>
      <w:pPr>
        <w:pStyle w:val="H3"/>
        <w:numPr>
          <w:ilvl w:val="2"/>
          <w:numId w:val="1"/>
        </w:numPr>
      </w:pPr>
      <w:r>
        <w:t>Recommended Commercial Structure</w:t>
      </w:r>
    </w:p>
    <w:p>
      <w:r>
        <w:rPr>
          <w:rFonts w:ascii="Figtree" w:hAnsi="Figtree"/>
          <w:b w:val="0"/>
          <w:i w:val="0"/>
          <w:sz w:val="22"/>
        </w:rPr>
        <w:t>SettleMint recommends the following commercial structure for Flutterwave's initial production programme: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383"/>
        <w:gridCol w:w="2752"/>
        <w:gridCol w:w="193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Recommendation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Annual Cost</w:t>
            </w:r>
          </w:p>
        </w:tc>
      </w:tr>
      <w:tr>
        <w:trPr>
          <w:trHeight w:val="425" w:hRule="atLeast"/>
        </w:trPr>
        <w:tc>
          <w:tcPr>
            <w:tcW w:type="dxa" w:w="3249"/>
            <w:vAlign w:val="center"/>
          </w:tcPr>
          <w:p>
            <w:pPr>
              <w:spacing w:line="276" w:lineRule="auto" w:before="0" w:after="0"/>
            </w:pPr>
            <w:r/>
            <w:r>
              <w:rPr>
                <w:rFonts w:ascii="Figtree" w:hAnsi="Figtree"/>
                <w:b w:val="0"/>
                <w:i w:val="0"/>
                <w:sz w:val="20"/>
              </w:rPr>
              <w:t>Platform license</w:t>
            </w:r>
          </w:p>
        </w:tc>
        <w:tc>
          <w:tcPr>
            <w:tcW w:type="dxa" w:w="3249"/>
            <w:vAlign w:val="center"/>
          </w:tcPr>
          <w:p>
            <w:pPr>
              <w:spacing w:line="276" w:lineRule="auto" w:before="0" w:after="0"/>
            </w:pPr>
            <w:r/>
            <w:r>
              <w:rPr>
                <w:rFonts w:ascii="Figtree" w:hAnsi="Figtree"/>
                <w:b w:val="0"/>
                <w:i w:val="0"/>
                <w:sz w:val="20"/>
              </w:rPr>
              <w:t>Enterprise tier</w:t>
            </w:r>
          </w:p>
        </w:tc>
        <w:tc>
          <w:tcPr>
            <w:tcW w:type="dxa" w:w="3249"/>
            <w:vAlign w:val="center"/>
          </w:tcPr>
          <w:p>
            <w:pPr>
              <w:spacing w:line="276" w:lineRule="auto" w:before="0" w:after="0"/>
            </w:pPr>
            <w:r/>
            <w:r>
              <w:rPr>
                <w:rFonts w:ascii="Figtree" w:hAnsi="Figtree"/>
                <w:b w:val="0"/>
                <w:i w:val="0"/>
                <w:sz w:val="20"/>
              </w:rPr>
              <w:t>$240,000/year</w:t>
            </w:r>
          </w:p>
        </w:tc>
      </w:tr>
      <w:tr>
        <w:trPr>
          <w:trHeight w:val="425" w:hRule="atLeast"/>
        </w:trPr>
        <w:tc>
          <w:tcPr>
            <w:tcW w:type="dxa" w:w="3249"/>
            <w:vAlign w:val="center"/>
          </w:tcPr>
          <w:p>
            <w:pPr>
              <w:spacing w:line="276" w:lineRule="auto" w:before="0" w:after="0"/>
            </w:pPr>
            <w:r/>
            <w:r>
              <w:rPr>
                <w:rFonts w:ascii="Figtree" w:hAnsi="Figtree"/>
                <w:b w:val="0"/>
                <w:i w:val="0"/>
                <w:sz w:val="20"/>
              </w:rPr>
              <w:t>Implementation services</w:t>
            </w:r>
          </w:p>
        </w:tc>
        <w:tc>
          <w:tcPr>
            <w:tcW w:type="dxa" w:w="3249"/>
            <w:vAlign w:val="center"/>
          </w:tcPr>
          <w:p>
            <w:pPr>
              <w:spacing w:line="276" w:lineRule="auto" w:before="0" w:after="0"/>
            </w:pPr>
            <w:r/>
            <w:r>
              <w:rPr>
                <w:rFonts w:ascii="Figtree" w:hAnsi="Figtree"/>
                <w:b w:val="0"/>
                <w:i w:val="0"/>
                <w:sz w:val="20"/>
              </w:rPr>
              <w:t>Full-programme delivery</w:t>
            </w:r>
          </w:p>
        </w:tc>
        <w:tc>
          <w:tcPr>
            <w:tcW w:type="dxa" w:w="3249"/>
            <w:vAlign w:val="center"/>
          </w:tcPr>
          <w:p>
            <w:pPr>
              <w:spacing w:line="276" w:lineRule="auto" w:before="0" w:after="0"/>
            </w:pPr>
            <w:r/>
            <w:r>
              <w:rPr>
                <w:rFonts w:ascii="Figtree" w:hAnsi="Figtree"/>
                <w:b w:val="0"/>
                <w:i w:val="0"/>
                <w:sz w:val="20"/>
              </w:rPr>
              <w:t>$380,000 (one-time)</w:t>
            </w:r>
          </w:p>
        </w:tc>
      </w:tr>
      <w:tr>
        <w:trPr>
          <w:trHeight w:val="425" w:hRule="atLeast"/>
        </w:trPr>
        <w:tc>
          <w:tcPr>
            <w:tcW w:type="dxa" w:w="3249"/>
            <w:vAlign w:val="center"/>
          </w:tcPr>
          <w:p>
            <w:pPr>
              <w:spacing w:line="276" w:lineRule="auto" w:before="0" w:after="0"/>
            </w:pPr>
            <w:r/>
            <w:r>
              <w:rPr>
                <w:rFonts w:ascii="Figtree" w:hAnsi="Figtree"/>
                <w:b w:val="0"/>
                <w:i w:val="0"/>
                <w:sz w:val="20"/>
              </w:rPr>
              <w:t>Production environment</w:t>
            </w:r>
          </w:p>
        </w:tc>
        <w:tc>
          <w:tcPr>
            <w:tcW w:type="dxa" w:w="3249"/>
            <w:vAlign w:val="center"/>
          </w:tcPr>
          <w:p>
            <w:pPr>
              <w:spacing w:line="276" w:lineRule="auto" w:before="0" w:after="0"/>
            </w:pPr>
            <w:r/>
            <w:r>
              <w:rPr>
                <w:rFonts w:ascii="Figtree" w:hAnsi="Figtree"/>
                <w:b w:val="0"/>
                <w:i w:val="0"/>
                <w:sz w:val="20"/>
              </w:rPr>
              <w:t>Included in Enterprise tier</w:t>
            </w:r>
          </w:p>
        </w:tc>
        <w:tc>
          <w:tcPr>
            <w:tcW w:type="dxa" w:w="3249"/>
            <w:vAlign w:val="center"/>
          </w:tcPr>
          <w:p>
            <w:pPr>
              <w:spacing w:line="276" w:lineRule="auto" w:before="0" w:after="0"/>
            </w:pPr>
            <w:r/>
            <w:r>
              <w:rPr>
                <w:rFonts w:ascii="Figtree" w:hAnsi="Figtree"/>
                <w:b w:val="0"/>
                <w:i w:val="0"/>
                <w:sz w:val="20"/>
              </w:rPr>
              <w:t>-</w:t>
            </w:r>
          </w:p>
        </w:tc>
      </w:tr>
      <w:tr>
        <w:trPr>
          <w:trHeight w:val="425" w:hRule="atLeast"/>
        </w:trPr>
        <w:tc>
          <w:tcPr>
            <w:tcW w:type="dxa" w:w="3249"/>
            <w:vAlign w:val="center"/>
          </w:tcPr>
          <w:p>
            <w:pPr>
              <w:spacing w:line="276" w:lineRule="auto" w:before="0" w:after="0"/>
            </w:pPr>
            <w:r/>
            <w:r>
              <w:rPr>
                <w:rFonts w:ascii="Figtree" w:hAnsi="Figtree"/>
                <w:b w:val="0"/>
                <w:i w:val="0"/>
                <w:sz w:val="20"/>
              </w:rPr>
              <w:t>Additional environments (UAT, DR)</w:t>
            </w:r>
          </w:p>
        </w:tc>
        <w:tc>
          <w:tcPr>
            <w:tcW w:type="dxa" w:w="3249"/>
            <w:vAlign w:val="center"/>
          </w:tcPr>
          <w:p>
            <w:pPr>
              <w:spacing w:line="276" w:lineRule="auto" w:before="0" w:after="0"/>
            </w:pPr>
            <w:r/>
            <w:r>
              <w:rPr>
                <w:rFonts w:ascii="Figtree" w:hAnsi="Figtree"/>
                <w:b w:val="0"/>
                <w:i w:val="0"/>
                <w:sz w:val="20"/>
              </w:rPr>
              <w:t>2 x additional environments</w:t>
            </w:r>
          </w:p>
        </w:tc>
        <w:tc>
          <w:tcPr>
            <w:tcW w:type="dxa" w:w="3249"/>
            <w:vAlign w:val="center"/>
          </w:tcPr>
          <w:p>
            <w:pPr>
              <w:spacing w:line="276" w:lineRule="auto" w:before="0" w:after="0"/>
            </w:pPr>
            <w:r/>
            <w:r>
              <w:rPr>
                <w:rFonts w:ascii="Figtree" w:hAnsi="Figtree"/>
                <w:b w:val="0"/>
                <w:i w:val="0"/>
                <w:sz w:val="20"/>
              </w:rPr>
              <w:t>$50,000/year</w:t>
            </w:r>
          </w:p>
        </w:tc>
      </w:tr>
      <w:tr>
        <w:trPr>
          <w:trHeight w:val="425" w:hRule="atLeast"/>
        </w:trPr>
        <w:tc>
          <w:tcPr>
            <w:tcW w:type="dxa" w:w="3249"/>
            <w:vAlign w:val="center"/>
          </w:tcPr>
          <w:p>
            <w:pPr>
              <w:spacing w:line="276" w:lineRule="auto" w:before="0" w:after="0"/>
            </w:pPr>
            <w:r/>
            <w:r>
              <w:rPr>
                <w:rFonts w:ascii="Figtree" w:hAnsi="Figtree"/>
                <w:b w:val="0"/>
                <w:i w:val="0"/>
                <w:sz w:val="20"/>
              </w:rPr>
              <w:t>Support</w:t>
            </w:r>
          </w:p>
        </w:tc>
        <w:tc>
          <w:tcPr>
            <w:tcW w:type="dxa" w:w="3249"/>
            <w:vAlign w:val="center"/>
          </w:tcPr>
          <w:p>
            <w:pPr>
              <w:spacing w:line="276" w:lineRule="auto" w:before="0" w:after="0"/>
            </w:pPr>
            <w:r/>
            <w:r>
              <w:rPr>
                <w:rFonts w:ascii="Figtree" w:hAnsi="Figtree"/>
                <w:b w:val="0"/>
                <w:i w:val="0"/>
                <w:sz w:val="20"/>
              </w:rPr>
              <w:t>Premium (24/7)</w:t>
            </w:r>
          </w:p>
        </w:tc>
        <w:tc>
          <w:tcPr>
            <w:tcW w:type="dxa" w:w="3249"/>
            <w:vAlign w:val="center"/>
          </w:tcPr>
          <w:p>
            <w:pPr>
              <w:spacing w:line="276" w:lineRule="auto" w:before="0" w:after="0"/>
            </w:pPr>
            <w:r/>
            <w:r>
              <w:rPr>
                <w:rFonts w:ascii="Figtree" w:hAnsi="Figtree"/>
                <w:b w:val="0"/>
                <w:i w:val="0"/>
                <w:sz w:val="20"/>
              </w:rPr>
              <w:t>$85,000/year</w:t>
            </w:r>
          </w:p>
        </w:tc>
      </w:tr>
      <w:tr>
        <w:trPr>
          <w:trHeight w:val="425" w:hRule="atLeast"/>
        </w:trPr>
        <w:tc>
          <w:tcPr>
            <w:tcW w:type="dxa" w:w="3249"/>
            <w:vAlign w:val="center"/>
          </w:tcPr>
          <w:p>
            <w:pPr>
              <w:spacing w:line="276" w:lineRule="auto" w:before="0" w:after="0"/>
            </w:pPr>
            <w:r/>
            <w:r>
              <w:rPr>
                <w:rFonts w:ascii="Figtree" w:hAnsi="Figtree"/>
                <w:b/>
                <w:i w:val="0"/>
                <w:sz w:val="20"/>
              </w:rPr>
              <w:t>Annual recurring (Year 1 onwards)</w:t>
            </w:r>
          </w:p>
        </w:tc>
        <w:tc>
          <w:tcPr>
            <w:tcW w:type="dxa" w:w="3249"/>
            <w:vAlign w:val="center"/>
          </w:tcPr>
          <w:p>
            <w:pPr>
              <w:spacing w:line="276" w:lineRule="auto" w:before="0" w:after="0"/>
            </w:pPr>
            <w:r/>
          </w:p>
        </w:tc>
        <w:tc>
          <w:tcPr>
            <w:tcW w:type="dxa" w:w="3249"/>
            <w:vAlign w:val="center"/>
          </w:tcPr>
          <w:p>
            <w:pPr>
              <w:spacing w:line="276" w:lineRule="auto" w:before="0" w:after="0"/>
            </w:pPr>
            <w:r/>
            <w:r>
              <w:rPr>
                <w:rFonts w:ascii="Figtree" w:hAnsi="Figtree"/>
                <w:b/>
                <w:i w:val="0"/>
                <w:sz w:val="20"/>
              </w:rPr>
              <w:t>$375,000/year</w:t>
            </w:r>
          </w:p>
        </w:tc>
      </w:tr>
      <w:tr>
        <w:trPr>
          <w:trHeight w:val="425" w:hRule="atLeast"/>
        </w:trPr>
        <w:tc>
          <w:tcPr>
            <w:tcW w:type="dxa" w:w="3249"/>
            <w:vAlign w:val="center"/>
          </w:tcPr>
          <w:p>
            <w:pPr>
              <w:spacing w:line="276" w:lineRule="auto" w:before="0" w:after="0"/>
            </w:pPr>
            <w:r/>
            <w:r>
              <w:rPr>
                <w:rFonts w:ascii="Figtree" w:hAnsi="Figtree"/>
                <w:b/>
                <w:i w:val="0"/>
                <w:sz w:val="20"/>
              </w:rPr>
              <w:t>Year 1 total (including implementation)</w:t>
            </w:r>
          </w:p>
        </w:tc>
        <w:tc>
          <w:tcPr>
            <w:tcW w:type="dxa" w:w="3249"/>
            <w:vAlign w:val="center"/>
          </w:tcPr>
          <w:p>
            <w:pPr>
              <w:spacing w:line="276" w:lineRule="auto" w:before="0" w:after="0"/>
            </w:pPr>
            <w:r/>
          </w:p>
        </w:tc>
        <w:tc>
          <w:tcPr>
            <w:tcW w:type="dxa" w:w="3249"/>
            <w:vAlign w:val="center"/>
          </w:tcPr>
          <w:p>
            <w:pPr>
              <w:spacing w:line="276" w:lineRule="auto" w:before="0" w:after="0"/>
            </w:pPr>
            <w:r/>
            <w:r>
              <w:rPr>
                <w:rFonts w:ascii="Figtree" w:hAnsi="Figtree"/>
                <w:b/>
                <w:i w:val="0"/>
                <w:sz w:val="20"/>
              </w:rPr>
              <w:t>$755,000</w:t>
            </w:r>
          </w:p>
        </w:tc>
      </w:tr>
      <w:tr>
        <w:trPr>
          <w:trHeight w:val="425" w:hRule="atLeast"/>
        </w:trPr>
        <w:tc>
          <w:tcPr>
            <w:tcW w:type="dxa" w:w="3249"/>
            <w:vAlign w:val="center"/>
          </w:tcPr>
          <w:p>
            <w:pPr>
              <w:spacing w:line="276" w:lineRule="auto" w:before="0" w:after="0"/>
            </w:pPr>
            <w:r/>
            <w:r>
              <w:rPr>
                <w:rFonts w:ascii="Figtree" w:hAnsi="Figtree"/>
                <w:b/>
                <w:i w:val="0"/>
                <w:sz w:val="20"/>
              </w:rPr>
              <w:t>3-year TCO</w:t>
            </w:r>
          </w:p>
        </w:tc>
        <w:tc>
          <w:tcPr>
            <w:tcW w:type="dxa" w:w="3249"/>
            <w:vAlign w:val="center"/>
          </w:tcPr>
          <w:p>
            <w:pPr>
              <w:spacing w:line="276" w:lineRule="auto" w:before="0" w:after="0"/>
            </w:pPr>
            <w:r/>
          </w:p>
        </w:tc>
        <w:tc>
          <w:tcPr>
            <w:tcW w:type="dxa" w:w="3249"/>
            <w:vAlign w:val="center"/>
          </w:tcPr>
          <w:p>
            <w:pPr>
              <w:spacing w:line="276" w:lineRule="auto" w:before="0" w:after="0"/>
            </w:pPr>
            <w:r/>
            <w:r>
              <w:rPr>
                <w:rFonts w:ascii="Figtree" w:hAnsi="Figtree"/>
                <w:b/>
                <w:i w:val="0"/>
                <w:sz w:val="20"/>
              </w:rPr>
              <w:t>$1,130,000</w:t>
            </w:r>
          </w:p>
        </w:tc>
      </w:tr>
    </w:tbl>
    <w:p>
      <w:pPr>
        <w:spacing w:before="0" w:after="0" w:line="120" w:lineRule="exact"/>
      </w:pPr>
    </w:p>
    <w:p>
      <w:r>
        <w:rPr>
          <w:rFonts w:ascii="Figtree" w:hAnsi="Figtree"/>
          <w:b w:val="0"/>
          <w:i w:val="0"/>
          <w:sz w:val="22"/>
        </w:rPr>
        <w:t>This structure covers the complete production deployment: all environments, full integration support, 24/7 premium support appropriate for a live payment platform, and the implementation programme that takes Flutterwave from initial deployment through production launch across priority corridors.</w:t>
      </w:r>
    </w:p>
    <w:p>
      <w:pPr>
        <w:pStyle w:val="H3"/>
        <w:numPr>
          <w:ilvl w:val="2"/>
          <w:numId w:val="1"/>
        </w:numPr>
      </w:pPr>
      <w:r>
        <w:t>Why Platform Procurement Is Lower Risk Than Build or Assembly</w:t>
      </w:r>
    </w:p>
    <w:p>
      <w:r>
        <w:rPr>
          <w:rFonts w:ascii="Figtree" w:hAnsi="Figtree"/>
          <w:b w:val="0"/>
          <w:i w:val="0"/>
          <w:sz w:val="22"/>
        </w:rPr>
        <w:t>Flutterwave has three realistic options for this capability:</w:t>
      </w:r>
    </w:p>
    <w:p>
      <w:r>
        <w:rPr>
          <w:rFonts w:ascii="Figtree" w:hAnsi="Figtree"/>
          <w:b/>
          <w:i w:val="0"/>
          <w:sz w:val="22"/>
        </w:rPr>
        <w:t>Option 1: Build internally.</w:t>
      </w:r>
      <w:r>
        <w:rPr>
          <w:rFonts w:ascii="Figtree" w:hAnsi="Figtree"/>
          <w:b w:val="0"/>
          <w:i w:val="0"/>
          <w:sz w:val="22"/>
        </w:rPr>
        <w:t xml:space="preserve"> Developing equivalent functionality requires smart contract engineering, compliance module design, key management infrastructure, API development, operations tooling, and security audit. A conservative estimate for a team of eight engineers over eighteen months is $1.8-2.4 million in development cost alone, before ongoing maintenance. The platform would reach feature parity with DALP approximately two years after internal build start. Regulatory evidence maturity (ISO 27001, SOC 2 Type II) would require additional investment.</w:t>
      </w:r>
    </w:p>
    <w:p>
      <w:r>
        <w:rPr>
          <w:rFonts w:ascii="Figtree" w:hAnsi="Figtree"/>
          <w:b/>
          <w:i w:val="0"/>
          <w:sz w:val="22"/>
        </w:rPr>
        <w:t>Option 2: Assemble from multiple vendors.</w:t>
      </w:r>
      <w:r>
        <w:rPr>
          <w:rFonts w:ascii="Figtree" w:hAnsi="Figtree"/>
          <w:b w:val="0"/>
          <w:i w:val="0"/>
          <w:sz w:val="22"/>
        </w:rPr>
        <w:t xml:space="preserve"> Combining a tokenization vendor, a compliance screening vendor, a custody vendor, and an integration vendor creates four separate SLAs, four separate incident escalation paths, four separate contract negotiations, and four separate integration maintenance obligations. Operational fragmentation is the primary failure mode for assembled stacks in regulated environments.</w:t>
      </w:r>
    </w:p>
    <w:p>
      <w:r>
        <w:rPr>
          <w:rFonts w:ascii="Figtree" w:hAnsi="Figtree"/>
          <w:b/>
          <w:i w:val="0"/>
          <w:sz w:val="22"/>
        </w:rPr>
        <w:t>Option 3: DALP platform.</w:t>
      </w:r>
      <w:r>
        <w:rPr>
          <w:rFonts w:ascii="Figtree" w:hAnsi="Figtree"/>
          <w:b w:val="0"/>
          <w:i w:val="0"/>
          <w:sz w:val="22"/>
        </w:rPr>
        <w:t xml:space="preserve"> One platform, one contract, one support relationship. Compliance enforcement is structural, not assembled. The API surface is unified. The audit trail is single-source. Implementation timeline is twenty-four weeks to first corridor production launch.</w:t>
      </w:r>
    </w:p>
    <w:p>
      <w:r>
        <w:rPr>
          <w:rFonts w:ascii="Figtree" w:hAnsi="Figtree"/>
          <w:b w:val="0"/>
          <w:i w:val="0"/>
          <w:sz w:val="22"/>
        </w:rPr>
        <w:t>DALP is the lower-risk, lower-cost path to production capability.</w:t>
      </w:r>
    </w:p>
    <w:p>
      <w:pPr>
        <w:pStyle w:val="H3"/>
        <w:numPr>
          <w:ilvl w:val="2"/>
          <w:numId w:val="1"/>
        </w:numPr>
      </w:pPr>
      <w:r>
        <w:t>Executive Summary: Business Context</w:t>
      </w:r>
    </w:p>
    <w:p>
      <w:r>
        <w:rPr>
          <w:rFonts w:ascii="Figtree" w:hAnsi="Figtree"/>
          <w:b w:val="0"/>
          <w:i w:val="0"/>
          <w:sz w:val="22"/>
        </w:rPr>
        <w:t>Flutterwave's real operational cost drivers for cross-border settlement today include manual reconciliation labour across corridors, compliance evidence assembly for regulatory requests, prefunding idle float management, and incident response when settlement fails across correspondent banking chains. DALP addresses all four by placing programmable logic at the settlement layer that automates reconciliation event generation, maintains tamper-evident compliance records, enables precision prefunding through tokenized position management, and provides deterministic incident replay through durable execution.</w:t>
      </w:r>
    </w:p>
    <w:p>
      <w:r>
        <w:rPr>
          <w:rFonts w:ascii="Figtree" w:hAnsi="Figtree"/>
          <w:b w:val="0"/>
          <w:i w:val="0"/>
          <w:sz w:val="22"/>
        </w:rPr>
        <w:t>The ROI case is driven primarily by operational efficiency (reduced reconciliation and compliance labour) and risk reduction (faster regulatory evidence production, reduced compliance incident exposure). Revenue enablement through new corridor activation and improved settlement SLAs to merchants provides upside that is real but harder to quantify in the proposal stage.</w:t>
      </w:r>
    </w:p>
    <w:p>
      <w:r>
        <w:br w:type="page"/>
      </w:r>
    </w:p>
    <w:p>
      <w:pPr>
        <w:pStyle w:val="H2"/>
        <w:numPr>
          <w:ilvl w:val="1"/>
          <w:numId w:val="1"/>
        </w:numPr>
      </w:pPr>
      <w:r>
        <w:t>Investment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66"/>
        <w:gridCol w:w="6205"/>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Decision Factor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val="0"/>
                <w:i w:val="0"/>
                <w:sz w:val="20"/>
              </w:rPr>
              <w:t>Platform</w:t>
            </w:r>
          </w:p>
        </w:tc>
        <w:tc>
          <w:tcPr>
            <w:tcW w:type="dxa" w:w="4873"/>
            <w:vAlign w:val="center"/>
          </w:tcPr>
          <w:p>
            <w:pPr>
              <w:spacing w:line="276" w:lineRule="auto" w:before="0" w:after="0"/>
            </w:pPr>
            <w:r/>
            <w:r>
              <w:rPr>
                <w:rFonts w:ascii="Figtree" w:hAnsi="Figtree"/>
                <w:b w:val="0"/>
                <w:i w:val="0"/>
                <w:sz w:val="20"/>
              </w:rPr>
              <w:t>DALP Enterprise Tier</w:t>
            </w:r>
          </w:p>
        </w:tc>
      </w:tr>
      <w:tr>
        <w:trPr>
          <w:trHeight w:val="425" w:hRule="atLeast"/>
        </w:trPr>
        <w:tc>
          <w:tcPr>
            <w:tcW w:type="dxa" w:w="4873"/>
            <w:vAlign w:val="center"/>
          </w:tcPr>
          <w:p>
            <w:pPr>
              <w:spacing w:line="276" w:lineRule="auto" w:before="0" w:after="0"/>
            </w:pPr>
            <w:r/>
            <w:r>
              <w:rPr>
                <w:rFonts w:ascii="Figtree" w:hAnsi="Figtree"/>
                <w:b w:val="0"/>
                <w:i w:val="0"/>
                <w:sz w:val="20"/>
              </w:rPr>
              <w:t>Deployment model</w:t>
            </w:r>
          </w:p>
        </w:tc>
        <w:tc>
          <w:tcPr>
            <w:tcW w:type="dxa" w:w="4873"/>
            <w:vAlign w:val="center"/>
          </w:tcPr>
          <w:p>
            <w:pPr>
              <w:spacing w:line="276" w:lineRule="auto" w:before="0" w:after="0"/>
            </w:pPr>
            <w:r/>
            <w:r>
              <w:rPr>
                <w:rFonts w:ascii="Figtree" w:hAnsi="Figtree"/>
                <w:b w:val="0"/>
                <w:i w:val="0"/>
                <w:sz w:val="20"/>
              </w:rPr>
              <w:t>Private cloud (Flutterwave-managed)</w:t>
            </w:r>
          </w:p>
        </w:tc>
      </w:tr>
      <w:tr>
        <w:trPr>
          <w:trHeight w:val="425" w:hRule="atLeast"/>
        </w:trPr>
        <w:tc>
          <w:tcPr>
            <w:tcW w:type="dxa" w:w="4873"/>
            <w:vAlign w:val="center"/>
          </w:tcPr>
          <w:p>
            <w:pPr>
              <w:spacing w:line="276" w:lineRule="auto" w:before="0" w:after="0"/>
            </w:pPr>
            <w:r/>
            <w:r>
              <w:rPr>
                <w:rFonts w:ascii="Figtree" w:hAnsi="Figtree"/>
                <w:b w:val="0"/>
                <w:i w:val="0"/>
                <w:sz w:val="20"/>
              </w:rPr>
              <w:t>Initial corridors</w:t>
            </w:r>
          </w:p>
        </w:tc>
        <w:tc>
          <w:tcPr>
            <w:tcW w:type="dxa" w:w="4873"/>
            <w:vAlign w:val="center"/>
          </w:tcPr>
          <w:p>
            <w:pPr>
              <w:spacing w:line="276" w:lineRule="auto" w:before="0" w:after="0"/>
            </w:pPr>
            <w:r/>
            <w:r>
              <w:rPr>
                <w:rFonts w:ascii="Figtree" w:hAnsi="Figtree"/>
                <w:b w:val="0"/>
                <w:i w:val="0"/>
                <w:sz w:val="20"/>
              </w:rPr>
              <w:t>Up to 10 priority corridors at launch</w:t>
            </w:r>
          </w:p>
        </w:tc>
      </w:tr>
      <w:tr>
        <w:trPr>
          <w:trHeight w:val="425" w:hRule="atLeast"/>
        </w:trPr>
        <w:tc>
          <w:tcPr>
            <w:tcW w:type="dxa" w:w="4873"/>
            <w:vAlign w:val="center"/>
          </w:tcPr>
          <w:p>
            <w:pPr>
              <w:spacing w:line="276" w:lineRule="auto" w:before="0" w:after="0"/>
            </w:pPr>
            <w:r/>
            <w:r>
              <w:rPr>
                <w:rFonts w:ascii="Figtree" w:hAnsi="Figtree"/>
                <w:b w:val="0"/>
                <w:i w:val="0"/>
                <w:sz w:val="20"/>
              </w:rPr>
              <w:t>Environment count</w:t>
            </w:r>
          </w:p>
        </w:tc>
        <w:tc>
          <w:tcPr>
            <w:tcW w:type="dxa" w:w="4873"/>
            <w:vAlign w:val="center"/>
          </w:tcPr>
          <w:p>
            <w:pPr>
              <w:spacing w:line="276" w:lineRule="auto" w:before="0" w:after="0"/>
            </w:pPr>
            <w:r/>
            <w:r>
              <w:rPr>
                <w:rFonts w:ascii="Figtree" w:hAnsi="Figtree"/>
                <w:b w:val="0"/>
                <w:i w:val="0"/>
                <w:sz w:val="20"/>
              </w:rPr>
              <w:t>Production + UAT + DR + Dev + Test (5 total)</w:t>
            </w:r>
          </w:p>
        </w:tc>
      </w:tr>
      <w:tr>
        <w:trPr>
          <w:trHeight w:val="425" w:hRule="atLeast"/>
        </w:trPr>
        <w:tc>
          <w:tcPr>
            <w:tcW w:type="dxa" w:w="4873"/>
            <w:vAlign w:val="center"/>
          </w:tcPr>
          <w:p>
            <w:pPr>
              <w:spacing w:line="276" w:lineRule="auto" w:before="0" w:after="0"/>
            </w:pPr>
            <w:r/>
            <w:r>
              <w:rPr>
                <w:rFonts w:ascii="Figtree" w:hAnsi="Figtree"/>
                <w:b w:val="0"/>
                <w:i w:val="0"/>
                <w:sz w:val="20"/>
              </w:rPr>
              <w:t>Support tier</w:t>
            </w:r>
          </w:p>
        </w:tc>
        <w:tc>
          <w:tcPr>
            <w:tcW w:type="dxa" w:w="4873"/>
            <w:vAlign w:val="center"/>
          </w:tcPr>
          <w:p>
            <w:pPr>
              <w:spacing w:line="276" w:lineRule="auto" w:before="0" w:after="0"/>
            </w:pPr>
            <w:r/>
            <w:r>
              <w:rPr>
                <w:rFonts w:ascii="Figtree" w:hAnsi="Figtree"/>
                <w:b w:val="0"/>
                <w:i w:val="0"/>
                <w:sz w:val="20"/>
              </w:rPr>
              <w:t>Premium (24/7/365)</w:t>
            </w:r>
          </w:p>
        </w:tc>
      </w:tr>
      <w:tr>
        <w:trPr>
          <w:trHeight w:val="425" w:hRule="atLeast"/>
        </w:trPr>
        <w:tc>
          <w:tcPr>
            <w:tcW w:type="dxa" w:w="4873"/>
            <w:vAlign w:val="center"/>
          </w:tcPr>
          <w:p>
            <w:pPr>
              <w:spacing w:line="276" w:lineRule="auto" w:before="0" w:after="0"/>
            </w:pPr>
            <w:r/>
            <w:r>
              <w:rPr>
                <w:rFonts w:ascii="Figtree" w:hAnsi="Figtree"/>
                <w:b w:val="0"/>
                <w:i w:val="0"/>
                <w:sz w:val="20"/>
              </w:rPr>
              <w:t>Implementation duration</w:t>
            </w:r>
          </w:p>
        </w:tc>
        <w:tc>
          <w:tcPr>
            <w:tcW w:type="dxa" w:w="4873"/>
            <w:vAlign w:val="center"/>
          </w:tcPr>
          <w:p>
            <w:pPr>
              <w:spacing w:line="276" w:lineRule="auto" w:before="0" w:after="0"/>
            </w:pPr>
            <w:r/>
            <w:r>
              <w:rPr>
                <w:rFonts w:ascii="Figtree" w:hAnsi="Figtree"/>
                <w:b w:val="0"/>
                <w:i w:val="0"/>
                <w:sz w:val="20"/>
              </w:rPr>
              <w:t>24 weeks to first corridor production</w:t>
            </w:r>
          </w:p>
        </w:tc>
      </w:tr>
      <w:tr>
        <w:trPr>
          <w:trHeight w:val="425" w:hRule="atLeast"/>
        </w:trPr>
        <w:tc>
          <w:tcPr>
            <w:tcW w:type="dxa" w:w="4873"/>
            <w:vAlign w:val="center"/>
          </w:tcPr>
          <w:p>
            <w:pPr>
              <w:spacing w:line="276" w:lineRule="auto" w:before="0" w:after="0"/>
            </w:pPr>
            <w:r/>
            <w:r>
              <w:rPr>
                <w:rFonts w:ascii="Figtree" w:hAnsi="Figtree"/>
                <w:b w:val="0"/>
                <w:i w:val="0"/>
                <w:sz w:val="20"/>
              </w:rPr>
              <w:t>Year 1 total investment</w:t>
            </w:r>
          </w:p>
        </w:tc>
        <w:tc>
          <w:tcPr>
            <w:tcW w:type="dxa" w:w="4873"/>
            <w:vAlign w:val="center"/>
          </w:tcPr>
          <w:p>
            <w:pPr>
              <w:spacing w:line="276" w:lineRule="auto" w:before="0" w:after="0"/>
            </w:pPr>
            <w:r/>
            <w:r>
              <w:rPr>
                <w:rFonts w:ascii="Figtree" w:hAnsi="Figtree"/>
                <w:b w:val="0"/>
                <w:i w:val="0"/>
                <w:sz w:val="20"/>
              </w:rPr>
              <w:t>$755,000</w:t>
            </w:r>
          </w:p>
        </w:tc>
      </w:tr>
      <w:tr>
        <w:trPr>
          <w:trHeight w:val="425" w:hRule="atLeast"/>
        </w:trPr>
        <w:tc>
          <w:tcPr>
            <w:tcW w:type="dxa" w:w="4873"/>
            <w:vAlign w:val="center"/>
          </w:tcPr>
          <w:p>
            <w:pPr>
              <w:spacing w:line="276" w:lineRule="auto" w:before="0" w:after="0"/>
            </w:pPr>
            <w:r/>
            <w:r>
              <w:rPr>
                <w:rFonts w:ascii="Figtree" w:hAnsi="Figtree"/>
                <w:b w:val="0"/>
                <w:i w:val="0"/>
                <w:sz w:val="20"/>
              </w:rPr>
              <w:t>3-year TCO</w:t>
            </w:r>
          </w:p>
        </w:tc>
        <w:tc>
          <w:tcPr>
            <w:tcW w:type="dxa" w:w="4873"/>
            <w:vAlign w:val="center"/>
          </w:tcPr>
          <w:p>
            <w:pPr>
              <w:spacing w:line="276" w:lineRule="auto" w:before="0" w:after="0"/>
            </w:pPr>
            <w:r/>
            <w:r>
              <w:rPr>
                <w:rFonts w:ascii="Figtree" w:hAnsi="Figtree"/>
                <w:b w:val="0"/>
                <w:i w:val="0"/>
                <w:sz w:val="20"/>
              </w:rPr>
              <w:t>$1,130,000</w:t>
            </w:r>
          </w:p>
        </w:tc>
      </w:tr>
      <w:tr>
        <w:trPr>
          <w:trHeight w:val="425" w:hRule="atLeast"/>
        </w:trPr>
        <w:tc>
          <w:tcPr>
            <w:tcW w:type="dxa" w:w="4873"/>
            <w:vAlign w:val="center"/>
          </w:tcPr>
          <w:p>
            <w:pPr>
              <w:spacing w:line="276" w:lineRule="auto" w:before="0" w:after="0"/>
            </w:pPr>
            <w:r/>
            <w:r>
              <w:rPr>
                <w:rFonts w:ascii="Figtree" w:hAnsi="Figtree"/>
                <w:b w:val="0"/>
                <w:i w:val="0"/>
                <w:sz w:val="20"/>
              </w:rPr>
              <w:t>Break-even (vs build)</w:t>
            </w:r>
          </w:p>
        </w:tc>
        <w:tc>
          <w:tcPr>
            <w:tcW w:type="dxa" w:w="4873"/>
            <w:vAlign w:val="center"/>
          </w:tcPr>
          <w:p>
            <w:pPr>
              <w:spacing w:line="276" w:lineRule="auto" w:before="0" w:after="0"/>
            </w:pPr>
            <w:r/>
            <w:r>
              <w:rPr>
                <w:rFonts w:ascii="Figtree" w:hAnsi="Figtree"/>
                <w:b w:val="0"/>
                <w:i w:val="0"/>
                <w:sz w:val="20"/>
              </w:rPr>
              <w:t>Year 1</w:t>
            </w:r>
          </w:p>
        </w:tc>
      </w:tr>
      <w:tr>
        <w:trPr>
          <w:trHeight w:val="425" w:hRule="atLeast"/>
        </w:trPr>
        <w:tc>
          <w:tcPr>
            <w:tcW w:type="dxa" w:w="4873"/>
            <w:vAlign w:val="center"/>
          </w:tcPr>
          <w:p>
            <w:pPr>
              <w:spacing w:line="276" w:lineRule="auto" w:before="0" w:after="0"/>
            </w:pPr>
            <w:r/>
            <w:r>
              <w:rPr>
                <w:rFonts w:ascii="Figtree" w:hAnsi="Figtree"/>
                <w:b w:val="0"/>
                <w:i w:val="0"/>
                <w:sz w:val="20"/>
              </w:rPr>
              <w:t>Key contractual terms</w:t>
            </w:r>
          </w:p>
        </w:tc>
        <w:tc>
          <w:tcPr>
            <w:tcW w:type="dxa" w:w="4873"/>
            <w:vAlign w:val="center"/>
          </w:tcPr>
          <w:p>
            <w:pPr>
              <w:spacing w:line="276" w:lineRule="auto" w:before="0" w:after="0"/>
            </w:pPr>
            <w:r/>
            <w:r>
              <w:rPr>
                <w:rFonts w:ascii="Figtree" w:hAnsi="Figtree"/>
                <w:b w:val="0"/>
                <w:i w:val="0"/>
                <w:sz w:val="20"/>
              </w:rPr>
              <w:t>Annual subscription, milestone-based implementation payments</w:t>
            </w:r>
          </w:p>
        </w:tc>
      </w:tr>
    </w:tbl>
    <w:p>
      <w:pPr>
        <w:spacing w:before="0" w:after="0" w:line="120" w:lineRule="exact"/>
      </w:pPr>
    </w:p>
    <w:p>
      <w:r>
        <w:br w:type="page"/>
      </w:r>
    </w:p>
    <w:p>
      <w:pPr>
        <w:pStyle w:val="H2"/>
        <w:numPr>
          <w:ilvl w:val="1"/>
          <w:numId w:val="1"/>
        </w:numPr>
      </w:pPr>
      <w:r>
        <w:t>Licensing and Subscription Model</w:t>
      </w:r>
    </w:p>
    <w:p>
      <w:pPr>
        <w:pStyle w:val="H3"/>
        <w:numPr>
          <w:ilvl w:val="2"/>
          <w:numId w:val="1"/>
        </w:numPr>
      </w:pPr>
      <w:r>
        <w:t>Philosophy</w:t>
      </w:r>
    </w:p>
    <w:p>
      <w:r>
        <w:rPr>
          <w:rFonts w:ascii="Figtree" w:hAnsi="Figtree"/>
          <w:b w:val="0"/>
          <w:i w:val="0"/>
          <w:sz w:val="22"/>
        </w:rPr>
        <w:t>DALP licensing is platform-based. Flutterwave pays for access to the complete platform lifecycle capability, not for each transaction, each corridor, or each compliance check. This model is deliberately chosen for payment infrastructure operators: as transaction volumes grow, as new corridors are added, and as compliance requirements evolve, the platform cost does not scale linearly with business growth. Operational costs scale; the platform subscription does not.</w:t>
      </w:r>
    </w:p>
    <w:p>
      <w:r>
        <w:rPr>
          <w:rFonts w:ascii="Figtree" w:hAnsi="Figtree"/>
          <w:b w:val="0"/>
          <w:i w:val="0"/>
          <w:sz w:val="22"/>
        </w:rPr>
        <w:t>This model contrasts with point solutions that charge per API call, per transaction, or per compliance check - models that create perverse incentives to reduce compliance thoroughness and create unpredictable cost scaling as volumes grow.</w:t>
      </w:r>
    </w:p>
    <w:p>
      <w:pPr>
        <w:pStyle w:val="H3"/>
        <w:numPr>
          <w:ilvl w:val="2"/>
          <w:numId w:val="1"/>
        </w:numPr>
      </w:pPr>
      <w:r>
        <w:t>What Is Included in the Enterprise Tier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575"/>
        <w:gridCol w:w="149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Capability Category</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Included</w:t>
            </w:r>
          </w:p>
        </w:tc>
      </w:tr>
      <w:tr>
        <w:trPr>
          <w:trHeight w:val="425" w:hRule="atLeast"/>
        </w:trPr>
        <w:tc>
          <w:tcPr>
            <w:tcW w:type="dxa" w:w="4873"/>
            <w:vAlign w:val="center"/>
          </w:tcPr>
          <w:p>
            <w:pPr>
              <w:spacing w:line="276" w:lineRule="auto" w:before="0" w:after="0"/>
            </w:pPr>
            <w:r/>
            <w:r>
              <w:rPr>
                <w:rFonts w:ascii="Figtree" w:hAnsi="Figtree"/>
                <w:b w:val="0"/>
                <w:i w:val="0"/>
                <w:sz w:val="20"/>
              </w:rPr>
              <w:t>All DALP smart contract types (StableCoin, Deposit, Bond, Equity, Fund, RealEstate, PreciousMetal)</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All compliance modules (identity verification, country lists, address lists, time locks, transfer approval, collateral)</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All token features (yield, fee variants, permit, voting, historical balances)</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All addons (XvP Settlement, Vault, Airdrop, Token Sale, Yield)</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Asset Console web application</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REST API (OpenAPI 3.1)</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TypeScript SDK (@settlemint/dalp-sdk)</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Webhooks and SSE event streams</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Chain Indexer (queryable on-chain event projection)</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RBAC (26-role taxonomy, on-chain authoritative)</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Observability stack (Prometheus, Grafana, structured logging)</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Platform updates and security patches</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Production environment</w:t>
            </w:r>
          </w:p>
        </w:tc>
        <w:tc>
          <w:tcPr>
            <w:tcW w:type="dxa" w:w="4873"/>
            <w:vAlign w:val="center"/>
          </w:tcPr>
          <w:p>
            <w:pPr>
              <w:spacing w:line="276" w:lineRule="auto" w:before="0" w:after="0"/>
            </w:pPr>
            <w:r/>
            <w:r>
              <w:rPr>
                <w:rFonts w:ascii="Figtree" w:hAnsi="Figtree"/>
                <w:b w:val="0"/>
                <w:i w:val="0"/>
                <w:sz w:val="20"/>
              </w:rPr>
              <w:t>Yes (1 included)</w:t>
            </w:r>
          </w:p>
        </w:tc>
      </w:tr>
    </w:tbl>
    <w:p>
      <w:pPr>
        <w:spacing w:before="0" w:after="0" w:line="120" w:lineRule="exact"/>
      </w:pPr>
    </w:p>
    <w:p>
      <w:pPr>
        <w:pStyle w:val="H3"/>
        <w:numPr>
          <w:ilvl w:val="2"/>
          <w:numId w:val="1"/>
        </w:numPr>
      </w:pPr>
      <w:r>
        <w:t>What Varies by Engagement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288"/>
        <w:gridCol w:w="2576"/>
        <w:gridCol w:w="520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Variable Dimension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Flutterwave Selection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Cost</w:t>
            </w:r>
          </w:p>
        </w:tc>
      </w:tr>
      <w:tr>
        <w:trPr>
          <w:trHeight w:val="425" w:hRule="atLeast"/>
        </w:trPr>
        <w:tc>
          <w:tcPr>
            <w:tcW w:type="dxa" w:w="3249"/>
            <w:vAlign w:val="center"/>
          </w:tcPr>
          <w:p>
            <w:pPr>
              <w:spacing w:line="276" w:lineRule="auto" w:before="0" w:after="0"/>
            </w:pPr>
            <w:r/>
            <w:r>
              <w:rPr>
                <w:rFonts w:ascii="Figtree" w:hAnsi="Figtree"/>
                <w:b w:val="0"/>
                <w:i w:val="0"/>
                <w:sz w:val="20"/>
              </w:rPr>
              <w:t>Additional environments</w:t>
            </w:r>
          </w:p>
        </w:tc>
        <w:tc>
          <w:tcPr>
            <w:tcW w:type="dxa" w:w="3249"/>
            <w:vAlign w:val="center"/>
          </w:tcPr>
          <w:p>
            <w:pPr>
              <w:spacing w:line="276" w:lineRule="auto" w:before="0" w:after="0"/>
            </w:pPr>
            <w:r/>
            <w:r>
              <w:rPr>
                <w:rFonts w:ascii="Figtree" w:hAnsi="Figtree"/>
                <w:b w:val="0"/>
                <w:i w:val="0"/>
                <w:sz w:val="20"/>
              </w:rPr>
              <w:t>UAT + DR (2 additional)</w:t>
            </w:r>
          </w:p>
        </w:tc>
        <w:tc>
          <w:tcPr>
            <w:tcW w:type="dxa" w:w="3249"/>
            <w:vAlign w:val="center"/>
          </w:tcPr>
          <w:p>
            <w:pPr>
              <w:spacing w:line="276" w:lineRule="auto" w:before="0" w:after="0"/>
            </w:pPr>
            <w:r/>
            <w:r>
              <w:rPr>
                <w:rFonts w:ascii="Figtree" w:hAnsi="Figtree"/>
                <w:b w:val="0"/>
                <w:i w:val="0"/>
                <w:sz w:val="20"/>
              </w:rPr>
              <w:t>$25,000/year each</w:t>
            </w:r>
          </w:p>
        </w:tc>
      </w:tr>
      <w:tr>
        <w:trPr>
          <w:trHeight w:val="425" w:hRule="atLeast"/>
        </w:trPr>
        <w:tc>
          <w:tcPr>
            <w:tcW w:type="dxa" w:w="3249"/>
            <w:vAlign w:val="center"/>
          </w:tcPr>
          <w:p>
            <w:pPr>
              <w:spacing w:line="276" w:lineRule="auto" w:before="0" w:after="0"/>
            </w:pPr>
            <w:r/>
            <w:r>
              <w:rPr>
                <w:rFonts w:ascii="Figtree" w:hAnsi="Figtree"/>
                <w:b w:val="0"/>
                <w:i w:val="0"/>
                <w:sz w:val="20"/>
              </w:rPr>
              <w:t>Deployment model</w:t>
            </w:r>
          </w:p>
        </w:tc>
        <w:tc>
          <w:tcPr>
            <w:tcW w:type="dxa" w:w="3249"/>
            <w:vAlign w:val="center"/>
          </w:tcPr>
          <w:p>
            <w:pPr>
              <w:spacing w:line="276" w:lineRule="auto" w:before="0" w:after="0"/>
            </w:pPr>
            <w:r/>
            <w:r>
              <w:rPr>
                <w:rFonts w:ascii="Figtree" w:hAnsi="Figtree"/>
                <w:b w:val="0"/>
                <w:i w:val="0"/>
                <w:sz w:val="20"/>
              </w:rPr>
              <w:t>Private cloud (Flutterwave-managed)</w:t>
            </w:r>
          </w:p>
        </w:tc>
        <w:tc>
          <w:tcPr>
            <w:tcW w:type="dxa" w:w="3249"/>
            <w:vAlign w:val="center"/>
          </w:tcPr>
          <w:p>
            <w:pPr>
              <w:spacing w:line="276" w:lineRule="auto" w:before="0" w:after="0"/>
            </w:pPr>
            <w:r/>
            <w:r>
              <w:rPr>
                <w:rFonts w:ascii="Figtree" w:hAnsi="Figtree"/>
                <w:b w:val="0"/>
                <w:i w:val="0"/>
                <w:sz w:val="20"/>
              </w:rPr>
              <w:t>Infrastructure costs are Flutterwave-borne</w:t>
            </w:r>
          </w:p>
        </w:tc>
      </w:tr>
      <w:tr>
        <w:trPr>
          <w:trHeight w:val="425" w:hRule="atLeast"/>
        </w:trPr>
        <w:tc>
          <w:tcPr>
            <w:tcW w:type="dxa" w:w="3249"/>
            <w:vAlign w:val="center"/>
          </w:tcPr>
          <w:p>
            <w:pPr>
              <w:spacing w:line="276" w:lineRule="auto" w:before="0" w:after="0"/>
            </w:pPr>
            <w:r/>
            <w:r>
              <w:rPr>
                <w:rFonts w:ascii="Figtree" w:hAnsi="Figtree"/>
                <w:b w:val="0"/>
                <w:i w:val="0"/>
                <w:sz w:val="20"/>
              </w:rPr>
              <w:t>Blockchain network</w:t>
            </w:r>
          </w:p>
        </w:tc>
        <w:tc>
          <w:tcPr>
            <w:tcW w:type="dxa" w:w="3249"/>
            <w:vAlign w:val="center"/>
          </w:tcPr>
          <w:p>
            <w:pPr>
              <w:spacing w:line="276" w:lineRule="auto" w:before="0" w:after="0"/>
            </w:pPr>
            <w:r/>
            <w:r>
              <w:rPr>
                <w:rFonts w:ascii="Figtree" w:hAnsi="Figtree"/>
                <w:b w:val="0"/>
                <w:i w:val="0"/>
                <w:sz w:val="20"/>
              </w:rPr>
              <w:t>Private Hyperledger Besu (Flutterwave-managed)</w:t>
            </w:r>
          </w:p>
        </w:tc>
        <w:tc>
          <w:tcPr>
            <w:tcW w:type="dxa" w:w="3249"/>
            <w:vAlign w:val="center"/>
          </w:tcPr>
          <w:p>
            <w:pPr>
              <w:spacing w:line="276" w:lineRule="auto" w:before="0" w:after="0"/>
            </w:pPr>
            <w:r/>
            <w:r>
              <w:rPr>
                <w:rFonts w:ascii="Figtree" w:hAnsi="Figtree"/>
                <w:b w:val="0"/>
                <w:i w:val="0"/>
                <w:sz w:val="20"/>
              </w:rPr>
              <w:t>Infrastructure costs are Flutterwave-borne</w:t>
            </w:r>
          </w:p>
        </w:tc>
      </w:tr>
      <w:tr>
        <w:trPr>
          <w:trHeight w:val="425" w:hRule="atLeast"/>
        </w:trPr>
        <w:tc>
          <w:tcPr>
            <w:tcW w:type="dxa" w:w="3249"/>
            <w:vAlign w:val="center"/>
          </w:tcPr>
          <w:p>
            <w:pPr>
              <w:spacing w:line="276" w:lineRule="auto" w:before="0" w:after="0"/>
            </w:pPr>
            <w:r/>
            <w:r>
              <w:rPr>
                <w:rFonts w:ascii="Figtree" w:hAnsi="Figtree"/>
                <w:b w:val="0"/>
                <w:i w:val="0"/>
                <w:sz w:val="20"/>
              </w:rPr>
              <w:t>Custody tier</w:t>
            </w:r>
          </w:p>
        </w:tc>
        <w:tc>
          <w:tcPr>
            <w:tcW w:type="dxa" w:w="3249"/>
            <w:vAlign w:val="center"/>
          </w:tcPr>
          <w:p>
            <w:pPr>
              <w:spacing w:line="276" w:lineRule="auto" w:before="0" w:after="0"/>
            </w:pPr>
            <w:r/>
            <w:r>
              <w:rPr>
                <w:rFonts w:ascii="Figtree" w:hAnsi="Figtree"/>
                <w:b w:val="0"/>
                <w:i w:val="0"/>
                <w:sz w:val="20"/>
              </w:rPr>
              <w:t>HSM for treasury wallets</w:t>
            </w:r>
          </w:p>
        </w:tc>
        <w:tc>
          <w:tcPr>
            <w:tcW w:type="dxa" w:w="3249"/>
            <w:vAlign w:val="center"/>
          </w:tcPr>
          <w:p>
            <w:pPr>
              <w:spacing w:line="276" w:lineRule="auto" w:before="0" w:after="0"/>
            </w:pPr>
            <w:r/>
            <w:r>
              <w:rPr>
                <w:rFonts w:ascii="Figtree" w:hAnsi="Figtree"/>
                <w:b w:val="0"/>
                <w:i w:val="0"/>
                <w:sz w:val="20"/>
              </w:rPr>
              <w:t>Included in Enterprise tier; MPC custody (DFNS/Fireblocks) requires separate custody contract</w:t>
            </w:r>
          </w:p>
        </w:tc>
      </w:tr>
      <w:tr>
        <w:trPr>
          <w:trHeight w:val="425" w:hRule="atLeast"/>
        </w:trPr>
        <w:tc>
          <w:tcPr>
            <w:tcW w:type="dxa" w:w="3249"/>
            <w:vAlign w:val="center"/>
          </w:tcPr>
          <w:p>
            <w:pPr>
              <w:spacing w:line="276" w:lineRule="auto" w:before="0" w:after="0"/>
            </w:pPr>
            <w:r/>
            <w:r>
              <w:rPr>
                <w:rFonts w:ascii="Figtree" w:hAnsi="Figtree"/>
                <w:b w:val="0"/>
                <w:i w:val="0"/>
                <w:sz w:val="20"/>
              </w:rPr>
              <w:t>Support tier</w:t>
            </w:r>
          </w:p>
        </w:tc>
        <w:tc>
          <w:tcPr>
            <w:tcW w:type="dxa" w:w="3249"/>
            <w:vAlign w:val="center"/>
          </w:tcPr>
          <w:p>
            <w:pPr>
              <w:spacing w:line="276" w:lineRule="auto" w:before="0" w:after="0"/>
            </w:pPr>
            <w:r/>
            <w:r>
              <w:rPr>
                <w:rFonts w:ascii="Figtree" w:hAnsi="Figtree"/>
                <w:b w:val="0"/>
                <w:i w:val="0"/>
                <w:sz w:val="20"/>
              </w:rPr>
              <w:t>Premium</w:t>
            </w:r>
          </w:p>
        </w:tc>
        <w:tc>
          <w:tcPr>
            <w:tcW w:type="dxa" w:w="3249"/>
            <w:vAlign w:val="center"/>
          </w:tcPr>
          <w:p>
            <w:pPr>
              <w:spacing w:line="276" w:lineRule="auto" w:before="0" w:after="0"/>
            </w:pPr>
            <w:r/>
            <w:r>
              <w:rPr>
                <w:rFonts w:ascii="Figtree" w:hAnsi="Figtree"/>
                <w:b w:val="0"/>
                <w:i w:val="0"/>
                <w:sz w:val="20"/>
              </w:rPr>
              <w:t>$85,000/year</w:t>
            </w:r>
          </w:p>
        </w:tc>
      </w:tr>
      <w:tr>
        <w:trPr>
          <w:trHeight w:val="425" w:hRule="atLeast"/>
        </w:trPr>
        <w:tc>
          <w:tcPr>
            <w:tcW w:type="dxa" w:w="3249"/>
            <w:vAlign w:val="center"/>
          </w:tcPr>
          <w:p>
            <w:pPr>
              <w:spacing w:line="276" w:lineRule="auto" w:before="0" w:after="0"/>
            </w:pPr>
            <w:r/>
            <w:r>
              <w:rPr>
                <w:rFonts w:ascii="Figtree" w:hAnsi="Figtree"/>
                <w:b w:val="0"/>
                <w:i w:val="0"/>
                <w:sz w:val="20"/>
              </w:rPr>
              <w:t>Implementation services</w:t>
            </w:r>
          </w:p>
        </w:tc>
        <w:tc>
          <w:tcPr>
            <w:tcW w:type="dxa" w:w="3249"/>
            <w:vAlign w:val="center"/>
          </w:tcPr>
          <w:p>
            <w:pPr>
              <w:spacing w:line="276" w:lineRule="auto" w:before="0" w:after="0"/>
            </w:pPr>
            <w:r/>
            <w:r>
              <w:rPr>
                <w:rFonts w:ascii="Figtree" w:hAnsi="Figtree"/>
                <w:b w:val="0"/>
                <w:i w:val="0"/>
                <w:sz w:val="20"/>
              </w:rPr>
              <w:t>Full programme</w:t>
            </w:r>
          </w:p>
        </w:tc>
        <w:tc>
          <w:tcPr>
            <w:tcW w:type="dxa" w:w="3249"/>
            <w:vAlign w:val="center"/>
          </w:tcPr>
          <w:p>
            <w:pPr>
              <w:spacing w:line="276" w:lineRule="auto" w:before="0" w:after="0"/>
            </w:pPr>
            <w:r/>
            <w:r>
              <w:rPr>
                <w:rFonts w:ascii="Figtree" w:hAnsi="Figtree"/>
                <w:b w:val="0"/>
                <w:i w:val="0"/>
                <w:sz w:val="20"/>
              </w:rPr>
              <w:t>$380,000 (one-time)</w:t>
            </w:r>
          </w:p>
        </w:tc>
      </w:tr>
    </w:tbl>
    <w:p>
      <w:pPr>
        <w:spacing w:before="0" w:after="0" w:line="120" w:lineRule="exact"/>
      </w:pPr>
    </w:p>
    <w:p>
      <w:pPr>
        <w:pStyle w:val="H3"/>
        <w:numPr>
          <w:ilvl w:val="2"/>
          <w:numId w:val="1"/>
        </w:numPr>
      </w:pPr>
      <w:r>
        <w:t>Platform Tier Comparison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687"/>
        <w:gridCol w:w="1512"/>
        <w:gridCol w:w="1512"/>
        <w:gridCol w:w="1360"/>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Feature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Foundation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Enterprise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Sovereign</w:t>
            </w:r>
          </w:p>
        </w:tc>
      </w:tr>
      <w:tr>
        <w:trPr>
          <w:trHeight w:val="425" w:hRule="atLeast"/>
        </w:trPr>
        <w:tc>
          <w:tcPr>
            <w:tcW w:type="dxa" w:w="2436"/>
            <w:vAlign w:val="center"/>
          </w:tcPr>
          <w:p>
            <w:pPr>
              <w:spacing w:line="276" w:lineRule="auto" w:before="0" w:after="0"/>
            </w:pPr>
            <w:r/>
            <w:r>
              <w:rPr>
                <w:rFonts w:ascii="Figtree" w:hAnsi="Figtree"/>
                <w:b w:val="0"/>
                <w:i w:val="0"/>
                <w:sz w:val="20"/>
              </w:rPr>
              <w:t>Asset types</w:t>
            </w:r>
          </w:p>
        </w:tc>
        <w:tc>
          <w:tcPr>
            <w:tcW w:type="dxa" w:w="2436"/>
            <w:vAlign w:val="center"/>
          </w:tcPr>
          <w:p>
            <w:pPr>
              <w:spacing w:line="276" w:lineRule="auto" w:before="0" w:after="0"/>
            </w:pPr>
            <w:r/>
            <w:r>
              <w:rPr>
                <w:rFonts w:ascii="Figtree" w:hAnsi="Figtree"/>
                <w:b w:val="0"/>
                <w:i w:val="0"/>
                <w:sz w:val="20"/>
              </w:rPr>
              <w:t>All</w:t>
            </w:r>
          </w:p>
        </w:tc>
        <w:tc>
          <w:tcPr>
            <w:tcW w:type="dxa" w:w="2436"/>
            <w:vAlign w:val="center"/>
          </w:tcPr>
          <w:p>
            <w:pPr>
              <w:spacing w:line="276" w:lineRule="auto" w:before="0" w:after="0"/>
            </w:pPr>
            <w:r/>
            <w:r>
              <w:rPr>
                <w:rFonts w:ascii="Figtree" w:hAnsi="Figtree"/>
                <w:b w:val="0"/>
                <w:i w:val="0"/>
                <w:sz w:val="20"/>
              </w:rPr>
              <w:t>All</w:t>
            </w:r>
          </w:p>
        </w:tc>
        <w:tc>
          <w:tcPr>
            <w:tcW w:type="dxa" w:w="2436"/>
            <w:vAlign w:val="center"/>
          </w:tcPr>
          <w:p>
            <w:pPr>
              <w:spacing w:line="276" w:lineRule="auto" w:before="0" w:after="0"/>
            </w:pPr>
            <w:r/>
            <w:r>
              <w:rPr>
                <w:rFonts w:ascii="Figtree" w:hAnsi="Figtree"/>
                <w:b w:val="0"/>
                <w:i w:val="0"/>
                <w:sz w:val="20"/>
              </w:rPr>
              <w:t>All</w:t>
            </w:r>
          </w:p>
        </w:tc>
      </w:tr>
      <w:tr>
        <w:trPr>
          <w:trHeight w:val="425" w:hRule="atLeast"/>
        </w:trPr>
        <w:tc>
          <w:tcPr>
            <w:tcW w:type="dxa" w:w="2436"/>
            <w:vAlign w:val="center"/>
          </w:tcPr>
          <w:p>
            <w:pPr>
              <w:spacing w:line="276" w:lineRule="auto" w:before="0" w:after="0"/>
            </w:pPr>
            <w:r/>
            <w:r>
              <w:rPr>
                <w:rFonts w:ascii="Figtree" w:hAnsi="Figtree"/>
                <w:b w:val="0"/>
                <w:i w:val="0"/>
                <w:sz w:val="20"/>
              </w:rPr>
              <w:t>Compliance modules</w:t>
            </w:r>
          </w:p>
        </w:tc>
        <w:tc>
          <w:tcPr>
            <w:tcW w:type="dxa" w:w="2436"/>
            <w:vAlign w:val="center"/>
          </w:tcPr>
          <w:p>
            <w:pPr>
              <w:spacing w:line="276" w:lineRule="auto" w:before="0" w:after="0"/>
            </w:pPr>
            <w:r/>
            <w:r>
              <w:rPr>
                <w:rFonts w:ascii="Figtree" w:hAnsi="Figtree"/>
                <w:b w:val="0"/>
                <w:i w:val="0"/>
                <w:sz w:val="20"/>
              </w:rPr>
              <w:t>All</w:t>
            </w:r>
          </w:p>
        </w:tc>
        <w:tc>
          <w:tcPr>
            <w:tcW w:type="dxa" w:w="2436"/>
            <w:vAlign w:val="center"/>
          </w:tcPr>
          <w:p>
            <w:pPr>
              <w:spacing w:line="276" w:lineRule="auto" w:before="0" w:after="0"/>
            </w:pPr>
            <w:r/>
            <w:r>
              <w:rPr>
                <w:rFonts w:ascii="Figtree" w:hAnsi="Figtree"/>
                <w:b w:val="0"/>
                <w:i w:val="0"/>
                <w:sz w:val="20"/>
              </w:rPr>
              <w:t>All</w:t>
            </w:r>
          </w:p>
        </w:tc>
        <w:tc>
          <w:tcPr>
            <w:tcW w:type="dxa" w:w="2436"/>
            <w:vAlign w:val="center"/>
          </w:tcPr>
          <w:p>
            <w:pPr>
              <w:spacing w:line="276" w:lineRule="auto" w:before="0" w:after="0"/>
            </w:pPr>
            <w:r/>
            <w:r>
              <w:rPr>
                <w:rFonts w:ascii="Figtree" w:hAnsi="Figtree"/>
                <w:b w:val="0"/>
                <w:i w:val="0"/>
                <w:sz w:val="20"/>
              </w:rPr>
              <w:t>All</w:t>
            </w:r>
          </w:p>
        </w:tc>
      </w:tr>
      <w:tr>
        <w:trPr>
          <w:trHeight w:val="425" w:hRule="atLeast"/>
        </w:trPr>
        <w:tc>
          <w:tcPr>
            <w:tcW w:type="dxa" w:w="2436"/>
            <w:vAlign w:val="center"/>
          </w:tcPr>
          <w:p>
            <w:pPr>
              <w:spacing w:line="276" w:lineRule="auto" w:before="0" w:after="0"/>
            </w:pPr>
            <w:r/>
            <w:r>
              <w:rPr>
                <w:rFonts w:ascii="Figtree" w:hAnsi="Figtree"/>
                <w:b w:val="0"/>
                <w:i w:val="0"/>
                <w:sz w:val="20"/>
              </w:rPr>
              <w:t>Environments included</w:t>
            </w:r>
          </w:p>
        </w:tc>
        <w:tc>
          <w:tcPr>
            <w:tcW w:type="dxa" w:w="2436"/>
            <w:vAlign w:val="center"/>
          </w:tcPr>
          <w:p>
            <w:pPr>
              <w:spacing w:line="276" w:lineRule="auto" w:before="0" w:after="0"/>
            </w:pPr>
            <w:r/>
            <w:r>
              <w:rPr>
                <w:rFonts w:ascii="Figtree" w:hAnsi="Figtree"/>
                <w:b w:val="0"/>
                <w:i w:val="0"/>
                <w:sz w:val="20"/>
              </w:rPr>
              <w:t>1</w:t>
            </w:r>
          </w:p>
        </w:tc>
        <w:tc>
          <w:tcPr>
            <w:tcW w:type="dxa" w:w="2436"/>
            <w:vAlign w:val="center"/>
          </w:tcPr>
          <w:p>
            <w:pPr>
              <w:spacing w:line="276" w:lineRule="auto" w:before="0" w:after="0"/>
            </w:pPr>
            <w:r/>
            <w:r>
              <w:rPr>
                <w:rFonts w:ascii="Figtree" w:hAnsi="Figtree"/>
                <w:b w:val="0"/>
                <w:i w:val="0"/>
                <w:sz w:val="20"/>
              </w:rPr>
              <w:t>1</w:t>
            </w:r>
          </w:p>
        </w:tc>
        <w:tc>
          <w:tcPr>
            <w:tcW w:type="dxa" w:w="2436"/>
            <w:vAlign w:val="center"/>
          </w:tcPr>
          <w:p>
            <w:pPr>
              <w:spacing w:line="276" w:lineRule="auto" w:before="0" w:after="0"/>
            </w:pPr>
            <w:r/>
            <w:r>
              <w:rPr>
                <w:rFonts w:ascii="Figtree" w:hAnsi="Figtree"/>
                <w:b w:val="0"/>
                <w:i w:val="0"/>
                <w:sz w:val="20"/>
              </w:rPr>
              <w:t>3</w:t>
            </w:r>
          </w:p>
        </w:tc>
      </w:tr>
      <w:tr>
        <w:trPr>
          <w:trHeight w:val="425" w:hRule="atLeast"/>
        </w:trPr>
        <w:tc>
          <w:tcPr>
            <w:tcW w:type="dxa" w:w="2436"/>
            <w:vAlign w:val="center"/>
          </w:tcPr>
          <w:p>
            <w:pPr>
              <w:spacing w:line="276" w:lineRule="auto" w:before="0" w:after="0"/>
            </w:pPr>
            <w:r/>
            <w:r>
              <w:rPr>
                <w:rFonts w:ascii="Figtree" w:hAnsi="Figtree"/>
                <w:b w:val="0"/>
                <w:i w:val="0"/>
                <w:sz w:val="20"/>
              </w:rPr>
              <w:t>Multi-region HA</w:t>
            </w:r>
          </w:p>
        </w:tc>
        <w:tc>
          <w:tcPr>
            <w:tcW w:type="dxa" w:w="2436"/>
            <w:vAlign w:val="center"/>
          </w:tcPr>
          <w:p>
            <w:pPr>
              <w:spacing w:line="276" w:lineRule="auto" w:before="0" w:after="0"/>
            </w:pPr>
            <w:r/>
            <w:r>
              <w:rPr>
                <w:rFonts w:ascii="Figtree" w:hAnsi="Figtree"/>
                <w:b w:val="0"/>
                <w:i w:val="0"/>
                <w:sz w:val="20"/>
              </w:rPr>
              <w:t>No</w:t>
            </w:r>
          </w:p>
        </w:tc>
        <w:tc>
          <w:tcPr>
            <w:tcW w:type="dxa" w:w="2436"/>
            <w:vAlign w:val="center"/>
          </w:tcPr>
          <w:p>
            <w:pPr>
              <w:spacing w:line="276" w:lineRule="auto" w:before="0" w:after="0"/>
            </w:pPr>
            <w:r/>
            <w:r>
              <w:rPr>
                <w:rFonts w:ascii="Figtree" w:hAnsi="Figtree"/>
                <w:b w:val="0"/>
                <w:i w:val="0"/>
                <w:sz w:val="20"/>
              </w:rPr>
              <w:t>Yes</w:t>
            </w:r>
          </w:p>
        </w:tc>
        <w:tc>
          <w:tcPr>
            <w:tcW w:type="dxa" w:w="2436"/>
            <w:vAlign w:val="center"/>
          </w:tcPr>
          <w:p>
            <w:pPr>
              <w:spacing w:line="276" w:lineRule="auto" w:before="0" w:after="0"/>
            </w:pPr>
            <w:r/>
            <w:r>
              <w:rPr>
                <w:rFonts w:ascii="Figtree" w:hAnsi="Figtree"/>
                <w:b w:val="0"/>
                <w:i w:val="0"/>
                <w:sz w:val="20"/>
              </w:rPr>
              <w:t>Yes</w:t>
            </w:r>
          </w:p>
        </w:tc>
      </w:tr>
      <w:tr>
        <w:trPr>
          <w:trHeight w:val="425" w:hRule="atLeast"/>
        </w:trPr>
        <w:tc>
          <w:tcPr>
            <w:tcW w:type="dxa" w:w="2436"/>
            <w:vAlign w:val="center"/>
          </w:tcPr>
          <w:p>
            <w:pPr>
              <w:spacing w:line="276" w:lineRule="auto" w:before="0" w:after="0"/>
            </w:pPr>
            <w:r/>
            <w:r>
              <w:rPr>
                <w:rFonts w:ascii="Figtree" w:hAnsi="Figtree"/>
                <w:b w:val="0"/>
                <w:i w:val="0"/>
                <w:sz w:val="20"/>
              </w:rPr>
              <w:t>Dedicated deployment</w:t>
            </w:r>
          </w:p>
        </w:tc>
        <w:tc>
          <w:tcPr>
            <w:tcW w:type="dxa" w:w="2436"/>
            <w:vAlign w:val="center"/>
          </w:tcPr>
          <w:p>
            <w:pPr>
              <w:spacing w:line="276" w:lineRule="auto" w:before="0" w:after="0"/>
            </w:pPr>
            <w:r/>
            <w:r>
              <w:rPr>
                <w:rFonts w:ascii="Figtree" w:hAnsi="Figtree"/>
                <w:b w:val="0"/>
                <w:i w:val="0"/>
                <w:sz w:val="20"/>
              </w:rPr>
              <w:t>No</w:t>
            </w:r>
          </w:p>
        </w:tc>
        <w:tc>
          <w:tcPr>
            <w:tcW w:type="dxa" w:w="2436"/>
            <w:vAlign w:val="center"/>
          </w:tcPr>
          <w:p>
            <w:pPr>
              <w:spacing w:line="276" w:lineRule="auto" w:before="0" w:after="0"/>
            </w:pPr>
            <w:r/>
            <w:r>
              <w:rPr>
                <w:rFonts w:ascii="Figtree" w:hAnsi="Figtree"/>
                <w:b w:val="0"/>
                <w:i w:val="0"/>
                <w:sz w:val="20"/>
              </w:rPr>
              <w:t>Yes</w:t>
            </w:r>
          </w:p>
        </w:tc>
        <w:tc>
          <w:tcPr>
            <w:tcW w:type="dxa" w:w="2436"/>
            <w:vAlign w:val="center"/>
          </w:tcPr>
          <w:p>
            <w:pPr>
              <w:spacing w:line="276" w:lineRule="auto" w:before="0" w:after="0"/>
            </w:pPr>
            <w:r/>
            <w:r>
              <w:rPr>
                <w:rFonts w:ascii="Figtree" w:hAnsi="Figtree"/>
                <w:b w:val="0"/>
                <w:i w:val="0"/>
                <w:sz w:val="20"/>
              </w:rPr>
              <w:t>Yes</w:t>
            </w:r>
          </w:p>
        </w:tc>
      </w:tr>
      <w:tr>
        <w:trPr>
          <w:trHeight w:val="425" w:hRule="atLeast"/>
        </w:trPr>
        <w:tc>
          <w:tcPr>
            <w:tcW w:type="dxa" w:w="2436"/>
            <w:vAlign w:val="center"/>
          </w:tcPr>
          <w:p>
            <w:pPr>
              <w:spacing w:line="276" w:lineRule="auto" w:before="0" w:after="0"/>
            </w:pPr>
            <w:r/>
            <w:r>
              <w:rPr>
                <w:rFonts w:ascii="Figtree" w:hAnsi="Figtree"/>
                <w:b w:val="0"/>
                <w:i w:val="0"/>
                <w:sz w:val="20"/>
              </w:rPr>
              <w:t>Annual license</w:t>
            </w:r>
          </w:p>
        </w:tc>
        <w:tc>
          <w:tcPr>
            <w:tcW w:type="dxa" w:w="2436"/>
            <w:vAlign w:val="center"/>
          </w:tcPr>
          <w:p>
            <w:pPr>
              <w:spacing w:line="276" w:lineRule="auto" w:before="0" w:after="0"/>
            </w:pPr>
            <w:r/>
            <w:r>
              <w:rPr>
                <w:rFonts w:ascii="Figtree" w:hAnsi="Figtree"/>
                <w:b w:val="0"/>
                <w:i w:val="0"/>
                <w:sz w:val="20"/>
              </w:rPr>
              <w:t>$180,000</w:t>
            </w:r>
          </w:p>
        </w:tc>
        <w:tc>
          <w:tcPr>
            <w:tcW w:type="dxa" w:w="2436"/>
            <w:vAlign w:val="center"/>
          </w:tcPr>
          <w:p>
            <w:pPr>
              <w:spacing w:line="276" w:lineRule="auto" w:before="0" w:after="0"/>
            </w:pPr>
            <w:r/>
            <w:r>
              <w:rPr>
                <w:rFonts w:ascii="Figtree" w:hAnsi="Figtree"/>
                <w:b w:val="0"/>
                <w:i w:val="0"/>
                <w:sz w:val="20"/>
              </w:rPr>
              <w:t>$240,000</w:t>
            </w:r>
          </w:p>
        </w:tc>
        <w:tc>
          <w:tcPr>
            <w:tcW w:type="dxa" w:w="2436"/>
            <w:vAlign w:val="center"/>
          </w:tcPr>
          <w:p>
            <w:pPr>
              <w:spacing w:line="276" w:lineRule="auto" w:before="0" w:after="0"/>
            </w:pPr>
            <w:r/>
            <w:r>
              <w:rPr>
                <w:rFonts w:ascii="Figtree" w:hAnsi="Figtree"/>
                <w:b w:val="0"/>
                <w:i w:val="0"/>
                <w:sz w:val="20"/>
              </w:rPr>
              <w:t>$280,000</w:t>
            </w:r>
          </w:p>
        </w:tc>
      </w:tr>
      <w:tr>
        <w:trPr>
          <w:trHeight w:val="425" w:hRule="atLeast"/>
        </w:trPr>
        <w:tc>
          <w:tcPr>
            <w:tcW w:type="dxa" w:w="2436"/>
            <w:vAlign w:val="center"/>
          </w:tcPr>
          <w:p>
            <w:pPr>
              <w:spacing w:line="276" w:lineRule="auto" w:before="0" w:after="0"/>
            </w:pPr>
            <w:r/>
            <w:r>
              <w:rPr>
                <w:rFonts w:ascii="Figtree" w:hAnsi="Figtree"/>
                <w:b/>
                <w:i w:val="0"/>
                <w:sz w:val="20"/>
              </w:rPr>
              <w:t>Recommended for Flutterwave</w:t>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i w:val="0"/>
                <w:sz w:val="20"/>
              </w:rPr>
              <w:t>Yes</w:t>
            </w:r>
          </w:p>
        </w:tc>
        <w:tc>
          <w:tcPr>
            <w:tcW w:type="dxa" w:w="2436"/>
            <w:vAlign w:val="center"/>
          </w:tcPr>
          <w:p>
            <w:pPr>
              <w:spacing w:line="276" w:lineRule="auto" w:before="0" w:after="0"/>
            </w:pPr>
            <w:r/>
          </w:p>
        </w:tc>
      </w:tr>
    </w:tbl>
    <w:p>
      <w:pPr>
        <w:spacing w:before="0" w:after="0" w:line="120" w:lineRule="exact"/>
      </w:pPr>
    </w:p>
    <w:p>
      <w:r>
        <w:rPr>
          <w:rFonts w:ascii="Figtree" w:hAnsi="Figtree"/>
          <w:b w:val="0"/>
          <w:i w:val="0"/>
          <w:sz w:val="22"/>
        </w:rPr>
        <w:t>The Enterprise tier is recommended for Flutterwave because it provides the dedicated deployment model required for CBN data residency compliance, multi-AZ high availability appropriate for a production payment platform, and the environment count flexibility needed for UAT, DR, and development environments alongside production.</w:t>
      </w:r>
    </w:p>
    <w:p>
      <w:r>
        <w:br w:type="page"/>
      </w:r>
    </w:p>
    <w:p>
      <w:pPr>
        <w:pStyle w:val="H2"/>
        <w:numPr>
          <w:ilvl w:val="1"/>
          <w:numId w:val="1"/>
        </w:numPr>
      </w:pPr>
      <w:r>
        <w:t>Implementation Investment</w:t>
      </w:r>
    </w:p>
    <w:p>
      <w:pPr>
        <w:pStyle w:val="H3"/>
        <w:numPr>
          <w:ilvl w:val="2"/>
          <w:numId w:val="1"/>
        </w:numPr>
      </w:pPr>
      <w:r>
        <w:t>Implementation Methodology</w:t>
      </w:r>
    </w:p>
    <w:p>
      <w:r>
        <w:rPr>
          <w:rFonts w:ascii="Figtree" w:hAnsi="Figtree"/>
          <w:b w:val="0"/>
          <w:i w:val="0"/>
          <w:sz w:val="22"/>
        </w:rPr>
        <w:t>SettleMint delivers DALP implementations through a six-phase programme with formal acceptance gates. The programme is fixed-price within defined scope, with clear client responsibility items that could affect timeline if not delivered on schedule. Phase-gate structure prevents scope drift and ensures that compliance configuration decisions, integration specifications, and security requirements are resolved before build activities commit to a specific implementation path.</w:t>
      </w:r>
    </w:p>
    <w:p>
      <w:pPr>
        <w:pStyle w:val="H3"/>
        <w:numPr>
          <w:ilvl w:val="2"/>
          <w:numId w:val="1"/>
        </w:numPr>
      </w:pPr>
      <w:r>
        <w:t>Implementation Phase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92"/>
        <w:gridCol w:w="811"/>
        <w:gridCol w:w="5556"/>
        <w:gridCol w:w="81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Objective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Investment</w:t>
            </w:r>
          </w:p>
        </w:tc>
      </w:tr>
      <w:tr>
        <w:trPr>
          <w:trHeight w:val="425" w:hRule="atLeast"/>
        </w:trPr>
        <w:tc>
          <w:tcPr>
            <w:tcW w:type="dxa" w:w="2436"/>
            <w:vAlign w:val="center"/>
          </w:tcPr>
          <w:p>
            <w:pPr>
              <w:spacing w:line="276" w:lineRule="auto" w:before="0" w:after="0"/>
            </w:pPr>
            <w:r/>
            <w:r>
              <w:rPr>
                <w:rFonts w:ascii="Figtree" w:hAnsi="Figtree"/>
                <w:b w:val="0"/>
                <w:i w:val="0"/>
                <w:sz w:val="20"/>
              </w:rPr>
              <w:t>Discovery and Requirements</w:t>
            </w:r>
          </w:p>
        </w:tc>
        <w:tc>
          <w:tcPr>
            <w:tcW w:type="dxa" w:w="2436"/>
            <w:vAlign w:val="center"/>
          </w:tcPr>
          <w:p>
            <w:pPr>
              <w:spacing w:line="276" w:lineRule="auto" w:before="0" w:after="0"/>
            </w:pPr>
            <w:r/>
            <w:r>
              <w:rPr>
                <w:rFonts w:ascii="Figtree" w:hAnsi="Figtree"/>
                <w:b w:val="0"/>
                <w:i w:val="0"/>
                <w:sz w:val="20"/>
              </w:rPr>
              <w:t>5 weeks</w:t>
            </w:r>
          </w:p>
        </w:tc>
        <w:tc>
          <w:tcPr>
            <w:tcW w:type="dxa" w:w="2436"/>
            <w:vAlign w:val="center"/>
          </w:tcPr>
          <w:p>
            <w:pPr>
              <w:spacing w:line="276" w:lineRule="auto" w:before="0" w:after="0"/>
            </w:pPr>
            <w:r/>
            <w:r>
              <w:rPr>
                <w:rFonts w:ascii="Figtree" w:hAnsi="Figtree"/>
                <w:b w:val="0"/>
                <w:i w:val="0"/>
                <w:sz w:val="20"/>
              </w:rPr>
              <w:t>Scope finalisation, architecture, integration design, compliance configuration design</w:t>
            </w:r>
          </w:p>
        </w:tc>
        <w:tc>
          <w:tcPr>
            <w:tcW w:type="dxa" w:w="2436"/>
            <w:vAlign w:val="center"/>
          </w:tcPr>
          <w:p>
            <w:pPr>
              <w:spacing w:line="276" w:lineRule="auto" w:before="0" w:after="0"/>
            </w:pPr>
            <w:r/>
            <w:r>
              <w:rPr>
                <w:rFonts w:ascii="Figtree" w:hAnsi="Figtree"/>
                <w:b w:val="0"/>
                <w:i w:val="0"/>
                <w:sz w:val="20"/>
              </w:rPr>
              <w:t>$55,000</w:t>
            </w:r>
          </w:p>
        </w:tc>
      </w:tr>
      <w:tr>
        <w:trPr>
          <w:trHeight w:val="425" w:hRule="atLeast"/>
        </w:trPr>
        <w:tc>
          <w:tcPr>
            <w:tcW w:type="dxa" w:w="2436"/>
            <w:vAlign w:val="center"/>
          </w:tcPr>
          <w:p>
            <w:pPr>
              <w:spacing w:line="276" w:lineRule="auto" w:before="0" w:after="0"/>
            </w:pPr>
            <w:r/>
            <w:r>
              <w:rPr>
                <w:rFonts w:ascii="Figtree" w:hAnsi="Figtree"/>
                <w:b w:val="0"/>
                <w:i w:val="0"/>
                <w:sz w:val="20"/>
              </w:rPr>
              <w:t>Foundation and Setup</w:t>
            </w:r>
          </w:p>
        </w:tc>
        <w:tc>
          <w:tcPr>
            <w:tcW w:type="dxa" w:w="2436"/>
            <w:vAlign w:val="center"/>
          </w:tcPr>
          <w:p>
            <w:pPr>
              <w:spacing w:line="276" w:lineRule="auto" w:before="0" w:after="0"/>
            </w:pPr>
            <w:r/>
            <w:r>
              <w:rPr>
                <w:rFonts w:ascii="Figtree" w:hAnsi="Figtree"/>
                <w:b w:val="0"/>
                <w:i w:val="0"/>
                <w:sz w:val="20"/>
              </w:rPr>
              <w:t>5 weeks</w:t>
            </w:r>
          </w:p>
        </w:tc>
        <w:tc>
          <w:tcPr>
            <w:tcW w:type="dxa" w:w="2436"/>
            <w:vAlign w:val="center"/>
          </w:tcPr>
          <w:p>
            <w:pPr>
              <w:spacing w:line="276" w:lineRule="auto" w:before="0" w:after="0"/>
            </w:pPr>
            <w:r/>
            <w:r>
              <w:rPr>
                <w:rFonts w:ascii="Figtree" w:hAnsi="Figtree"/>
                <w:b w:val="0"/>
                <w:i w:val="0"/>
                <w:sz w:val="20"/>
              </w:rPr>
              <w:t>Environment provisioning, base platform, identity framework</w:t>
            </w:r>
          </w:p>
        </w:tc>
        <w:tc>
          <w:tcPr>
            <w:tcW w:type="dxa" w:w="2436"/>
            <w:vAlign w:val="center"/>
          </w:tcPr>
          <w:p>
            <w:pPr>
              <w:spacing w:line="276" w:lineRule="auto" w:before="0" w:after="0"/>
            </w:pPr>
            <w:r/>
            <w:r>
              <w:rPr>
                <w:rFonts w:ascii="Figtree" w:hAnsi="Figtree"/>
                <w:b w:val="0"/>
                <w:i w:val="0"/>
                <w:sz w:val="20"/>
              </w:rPr>
              <w:t>$60,000</w:t>
            </w:r>
          </w:p>
        </w:tc>
      </w:tr>
      <w:tr>
        <w:trPr>
          <w:trHeight w:val="425" w:hRule="atLeast"/>
        </w:trPr>
        <w:tc>
          <w:tcPr>
            <w:tcW w:type="dxa" w:w="2436"/>
            <w:vAlign w:val="center"/>
          </w:tcPr>
          <w:p>
            <w:pPr>
              <w:spacing w:line="276" w:lineRule="auto" w:before="0" w:after="0"/>
            </w:pPr>
            <w:r/>
            <w:r>
              <w:rPr>
                <w:rFonts w:ascii="Figtree" w:hAnsi="Figtree"/>
                <w:b w:val="0"/>
                <w:i w:val="0"/>
                <w:sz w:val="20"/>
              </w:rPr>
              <w:t>Configuration and Compliance</w:t>
            </w:r>
          </w:p>
        </w:tc>
        <w:tc>
          <w:tcPr>
            <w:tcW w:type="dxa" w:w="2436"/>
            <w:vAlign w:val="center"/>
          </w:tcPr>
          <w:p>
            <w:pPr>
              <w:spacing w:line="276" w:lineRule="auto" w:before="0" w:after="0"/>
            </w:pPr>
            <w:r/>
            <w:r>
              <w:rPr>
                <w:rFonts w:ascii="Figtree" w:hAnsi="Figtree"/>
                <w:b w:val="0"/>
                <w:i w:val="0"/>
                <w:sz w:val="20"/>
              </w:rPr>
              <w:t>7 weeks</w:t>
            </w:r>
          </w:p>
        </w:tc>
        <w:tc>
          <w:tcPr>
            <w:tcW w:type="dxa" w:w="2436"/>
            <w:vAlign w:val="center"/>
          </w:tcPr>
          <w:p>
            <w:pPr>
              <w:spacing w:line="276" w:lineRule="auto" w:before="0" w:after="0"/>
            </w:pPr>
            <w:r/>
            <w:r>
              <w:rPr>
                <w:rFonts w:ascii="Figtree" w:hAnsi="Figtree"/>
                <w:b w:val="0"/>
                <w:i w:val="0"/>
                <w:sz w:val="20"/>
              </w:rPr>
              <w:t>Corridor token deployment, compliance modules, KYC integration</w:t>
            </w:r>
          </w:p>
        </w:tc>
        <w:tc>
          <w:tcPr>
            <w:tcW w:type="dxa" w:w="2436"/>
            <w:vAlign w:val="center"/>
          </w:tcPr>
          <w:p>
            <w:pPr>
              <w:spacing w:line="276" w:lineRule="auto" w:before="0" w:after="0"/>
            </w:pPr>
            <w:r/>
            <w:r>
              <w:rPr>
                <w:rFonts w:ascii="Figtree" w:hAnsi="Figtree"/>
                <w:b w:val="0"/>
                <w:i w:val="0"/>
                <w:sz w:val="20"/>
              </w:rPr>
              <w:t>$75,000</w:t>
            </w:r>
          </w:p>
        </w:tc>
      </w:tr>
      <w:tr>
        <w:trPr>
          <w:trHeight w:val="425" w:hRule="atLeast"/>
        </w:trPr>
        <w:tc>
          <w:tcPr>
            <w:tcW w:type="dxa" w:w="2436"/>
            <w:vAlign w:val="center"/>
          </w:tcPr>
          <w:p>
            <w:pPr>
              <w:spacing w:line="276" w:lineRule="auto" w:before="0" w:after="0"/>
            </w:pPr>
            <w:r/>
            <w:r>
              <w:rPr>
                <w:rFonts w:ascii="Figtree" w:hAnsi="Figtree"/>
                <w:b w:val="0"/>
                <w:i w:val="0"/>
                <w:sz w:val="20"/>
              </w:rPr>
              <w:t>Integration</w:t>
            </w:r>
          </w:p>
        </w:tc>
        <w:tc>
          <w:tcPr>
            <w:tcW w:type="dxa" w:w="2436"/>
            <w:vAlign w:val="center"/>
          </w:tcPr>
          <w:p>
            <w:pPr>
              <w:spacing w:line="276" w:lineRule="auto" w:before="0" w:after="0"/>
            </w:pPr>
            <w:r/>
            <w:r>
              <w:rPr>
                <w:rFonts w:ascii="Figtree" w:hAnsi="Figtree"/>
                <w:b w:val="0"/>
                <w:i w:val="0"/>
                <w:sz w:val="20"/>
              </w:rPr>
              <w:t>7 weeks</w:t>
            </w:r>
          </w:p>
        </w:tc>
        <w:tc>
          <w:tcPr>
            <w:tcW w:type="dxa" w:w="2436"/>
            <w:vAlign w:val="center"/>
          </w:tcPr>
          <w:p>
            <w:pPr>
              <w:spacing w:line="276" w:lineRule="auto" w:before="0" w:after="0"/>
            </w:pPr>
            <w:r/>
            <w:r>
              <w:rPr>
                <w:rFonts w:ascii="Figtree" w:hAnsi="Figtree"/>
                <w:b w:val="0"/>
                <w:i w:val="0"/>
                <w:sz w:val="20"/>
              </w:rPr>
              <w:t>AML, treasury, ledger, payment acceptance, SIEM integrations</w:t>
            </w:r>
          </w:p>
        </w:tc>
        <w:tc>
          <w:tcPr>
            <w:tcW w:type="dxa" w:w="2436"/>
            <w:vAlign w:val="center"/>
          </w:tcPr>
          <w:p>
            <w:pPr>
              <w:spacing w:line="276" w:lineRule="auto" w:before="0" w:after="0"/>
            </w:pPr>
            <w:r/>
            <w:r>
              <w:rPr>
                <w:rFonts w:ascii="Figtree" w:hAnsi="Figtree"/>
                <w:b w:val="0"/>
                <w:i w:val="0"/>
                <w:sz w:val="20"/>
              </w:rPr>
              <w:t>$85,000</w:t>
            </w:r>
          </w:p>
        </w:tc>
      </w:tr>
      <w:tr>
        <w:trPr>
          <w:trHeight w:val="425" w:hRule="atLeast"/>
        </w:trPr>
        <w:tc>
          <w:tcPr>
            <w:tcW w:type="dxa" w:w="2436"/>
            <w:vAlign w:val="center"/>
          </w:tcPr>
          <w:p>
            <w:pPr>
              <w:spacing w:line="276" w:lineRule="auto" w:before="0" w:after="0"/>
            </w:pPr>
            <w:r/>
            <w:r>
              <w:rPr>
                <w:rFonts w:ascii="Figtree" w:hAnsi="Figtree"/>
                <w:b w:val="0"/>
                <w:i w:val="0"/>
                <w:sz w:val="20"/>
              </w:rPr>
              <w:t>Testing and UAT</w:t>
            </w:r>
          </w:p>
        </w:tc>
        <w:tc>
          <w:tcPr>
            <w:tcW w:type="dxa" w:w="2436"/>
            <w:vAlign w:val="center"/>
          </w:tcPr>
          <w:p>
            <w:pPr>
              <w:spacing w:line="276" w:lineRule="auto" w:before="0" w:after="0"/>
            </w:pPr>
            <w:r/>
            <w:r>
              <w:rPr>
                <w:rFonts w:ascii="Figtree" w:hAnsi="Figtree"/>
                <w:b w:val="0"/>
                <w:i w:val="0"/>
                <w:sz w:val="20"/>
              </w:rPr>
              <w:t>8 weeks</w:t>
            </w:r>
          </w:p>
        </w:tc>
        <w:tc>
          <w:tcPr>
            <w:tcW w:type="dxa" w:w="2436"/>
            <w:vAlign w:val="center"/>
          </w:tcPr>
          <w:p>
            <w:pPr>
              <w:spacing w:line="276" w:lineRule="auto" w:before="0" w:after="0"/>
            </w:pPr>
            <w:r/>
            <w:r>
              <w:rPr>
                <w:rFonts w:ascii="Figtree" w:hAnsi="Figtree"/>
                <w:b w:val="0"/>
                <w:i w:val="0"/>
                <w:sz w:val="20"/>
              </w:rPr>
              <w:t>Full testing programme, security test, UAT</w:t>
            </w:r>
          </w:p>
        </w:tc>
        <w:tc>
          <w:tcPr>
            <w:tcW w:type="dxa" w:w="2436"/>
            <w:vAlign w:val="center"/>
          </w:tcPr>
          <w:p>
            <w:pPr>
              <w:spacing w:line="276" w:lineRule="auto" w:before="0" w:after="0"/>
            </w:pPr>
            <w:r/>
            <w:r>
              <w:rPr>
                <w:rFonts w:ascii="Figtree" w:hAnsi="Figtree"/>
                <w:b w:val="0"/>
                <w:i w:val="0"/>
                <w:sz w:val="20"/>
              </w:rPr>
              <w:t>$65,000</w:t>
            </w:r>
          </w:p>
        </w:tc>
      </w:tr>
      <w:tr>
        <w:trPr>
          <w:trHeight w:val="425" w:hRule="atLeast"/>
        </w:trPr>
        <w:tc>
          <w:tcPr>
            <w:tcW w:type="dxa" w:w="2436"/>
            <w:vAlign w:val="center"/>
          </w:tcPr>
          <w:p>
            <w:pPr>
              <w:spacing w:line="276" w:lineRule="auto" w:before="0" w:after="0"/>
            </w:pPr>
            <w:r/>
            <w:r>
              <w:rPr>
                <w:rFonts w:ascii="Figtree" w:hAnsi="Figtree"/>
                <w:b w:val="0"/>
                <w:i w:val="0"/>
                <w:sz w:val="20"/>
              </w:rPr>
              <w:t>Go-Live and Hypercare</w:t>
            </w:r>
          </w:p>
        </w:tc>
        <w:tc>
          <w:tcPr>
            <w:tcW w:type="dxa" w:w="2436"/>
            <w:vAlign w:val="center"/>
          </w:tcPr>
          <w:p>
            <w:pPr>
              <w:spacing w:line="276" w:lineRule="auto" w:before="0" w:after="0"/>
            </w:pPr>
            <w:r/>
            <w:r>
              <w:rPr>
                <w:rFonts w:ascii="Figtree" w:hAnsi="Figtree"/>
                <w:b w:val="0"/>
                <w:i w:val="0"/>
                <w:sz w:val="20"/>
              </w:rPr>
              <w:t>12 weeks</w:t>
            </w:r>
          </w:p>
        </w:tc>
        <w:tc>
          <w:tcPr>
            <w:tcW w:type="dxa" w:w="2436"/>
            <w:vAlign w:val="center"/>
          </w:tcPr>
          <w:p>
            <w:pPr>
              <w:spacing w:line="276" w:lineRule="auto" w:before="0" w:after="0"/>
            </w:pPr>
            <w:r/>
            <w:r>
              <w:rPr>
                <w:rFonts w:ascii="Figtree" w:hAnsi="Figtree"/>
                <w:b w:val="0"/>
                <w:i w:val="0"/>
                <w:sz w:val="20"/>
              </w:rPr>
              <w:t>Production launch, phased corridor rollout, hypercare</w:t>
            </w:r>
          </w:p>
        </w:tc>
        <w:tc>
          <w:tcPr>
            <w:tcW w:type="dxa" w:w="2436"/>
            <w:vAlign w:val="center"/>
          </w:tcPr>
          <w:p>
            <w:pPr>
              <w:spacing w:line="276" w:lineRule="auto" w:before="0" w:after="0"/>
            </w:pPr>
            <w:r/>
            <w:r>
              <w:rPr>
                <w:rFonts w:ascii="Figtree" w:hAnsi="Figtree"/>
                <w:b w:val="0"/>
                <w:i w:val="0"/>
                <w:sz w:val="20"/>
              </w:rPr>
              <w:t>$40,000</w:t>
            </w:r>
          </w:p>
        </w:tc>
      </w:tr>
      <w:tr>
        <w:trPr>
          <w:trHeight w:val="425" w:hRule="atLeast"/>
        </w:trPr>
        <w:tc>
          <w:tcPr>
            <w:tcW w:type="dxa" w:w="2436"/>
            <w:vAlign w:val="center"/>
          </w:tcPr>
          <w:p>
            <w:pPr>
              <w:spacing w:line="276" w:lineRule="auto" w:before="0" w:after="0"/>
            </w:pPr>
            <w:r/>
            <w:r>
              <w:rPr>
                <w:rFonts w:ascii="Figtree" w:hAnsi="Figtree"/>
                <w:b/>
                <w:i w:val="0"/>
                <w:sz w:val="20"/>
              </w:rPr>
              <w:t>Total</w:t>
            </w:r>
          </w:p>
        </w:tc>
        <w:tc>
          <w:tcPr>
            <w:tcW w:type="dxa" w:w="2436"/>
            <w:vAlign w:val="center"/>
          </w:tcPr>
          <w:p>
            <w:pPr>
              <w:spacing w:line="276" w:lineRule="auto" w:before="0" w:after="0"/>
            </w:pPr>
            <w:r/>
            <w:r>
              <w:rPr>
                <w:rFonts w:ascii="Figtree" w:hAnsi="Figtree"/>
                <w:b/>
                <w:i w:val="0"/>
                <w:sz w:val="20"/>
              </w:rPr>
              <w:t>44 weeks</w:t>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i w:val="0"/>
                <w:sz w:val="20"/>
              </w:rPr>
              <w:t>$380,000</w:t>
            </w:r>
          </w:p>
        </w:tc>
      </w:tr>
    </w:tbl>
    <w:p>
      <w:pPr>
        <w:spacing w:before="0" w:after="0" w:line="120" w:lineRule="exact"/>
      </w:pPr>
    </w:p>
    <w:p>
      <w:pPr>
        <w:pStyle w:val="H3"/>
        <w:numPr>
          <w:ilvl w:val="2"/>
          <w:numId w:val="1"/>
        </w:numPr>
      </w:pPr>
      <w:r>
        <w:t>Implementation Accelerators</w:t>
      </w:r>
    </w:p>
    <w:p>
      <w:r>
        <w:rPr>
          <w:rFonts w:ascii="Figtree" w:hAnsi="Figtree"/>
          <w:b w:val="0"/>
          <w:i w:val="0"/>
          <w:sz w:val="22"/>
        </w:rPr>
        <w:t>The following factors reduce implementation duration and risk for Flutterwave:</w:t>
      </w:r>
    </w:p>
    <w:p>
      <w:pPr>
        <w:pStyle w:val="ListParagraph"/>
        <w:numPr>
          <w:ilvl w:val="0"/>
          <w:numId w:val="4"/>
        </w:numPr>
      </w:pPr>
      <w:r>
        <w:rPr>
          <w:rFonts w:ascii="Figtree" w:hAnsi="Figtree"/>
          <w:b w:val="0"/>
          <w:i w:val="0"/>
          <w:sz w:val="22"/>
        </w:rPr>
        <w:t>Pre-built compliance module templates for CBN, Bank of Ghana, and Bank of Tanzania jurisdiction requirements</w:t>
      </w:r>
    </w:p>
    <w:p>
      <w:pPr>
        <w:pStyle w:val="ListParagraph"/>
        <w:numPr>
          <w:ilvl w:val="0"/>
          <w:numId w:val="4"/>
        </w:numPr>
      </w:pPr>
      <w:r>
        <w:rPr>
          <w:rFonts w:ascii="Figtree" w:hAnsi="Figtree"/>
          <w:b w:val="0"/>
          <w:i w:val="0"/>
          <w:sz w:val="22"/>
        </w:rPr>
        <w:t>Reference corridor token configurations from prior payment infrastructure deployments</w:t>
      </w:r>
    </w:p>
    <w:p>
      <w:pPr>
        <w:pStyle w:val="ListParagraph"/>
        <w:numPr>
          <w:ilvl w:val="0"/>
          <w:numId w:val="4"/>
        </w:numPr>
      </w:pPr>
      <w:r>
        <w:rPr>
          <w:rFonts w:ascii="Figtree" w:hAnsi="Figtree"/>
          <w:b w:val="0"/>
          <w:i w:val="0"/>
          <w:sz w:val="22"/>
        </w:rPr>
        <w:t>TypeScript SDK enabling Flutterwave's engineering team to accelerate integration development in parallel with SettleMint</w:t>
      </w:r>
    </w:p>
    <w:p>
      <w:pPr>
        <w:pStyle w:val="ListParagraph"/>
        <w:numPr>
          <w:ilvl w:val="0"/>
          <w:numId w:val="4"/>
        </w:numPr>
      </w:pPr>
      <w:r>
        <w:rPr>
          <w:rFonts w:ascii="Figtree" w:hAnsi="Figtree"/>
          <w:b w:val="0"/>
          <w:i w:val="0"/>
          <w:sz w:val="22"/>
        </w:rPr>
        <w:t>Asset Console providing immediate operational visibility without requiring custom UI development</w:t>
      </w:r>
    </w:p>
    <w:p>
      <w:pPr>
        <w:pStyle w:val="ListParagraph"/>
        <w:numPr>
          <w:ilvl w:val="0"/>
          <w:numId w:val="4"/>
        </w:numPr>
      </w:pPr>
      <w:r>
        <w:rPr>
          <w:rFonts w:ascii="Figtree" w:hAnsi="Figtree"/>
          <w:b w:val="0"/>
          <w:i w:val="0"/>
          <w:sz w:val="22"/>
        </w:rPr>
        <w:t>Pre-built Grafana dashboards for payment infrastructure monitoring</w:t>
      </w:r>
    </w:p>
    <w:p>
      <w:pPr>
        <w:pStyle w:val="H3"/>
        <w:numPr>
          <w:ilvl w:val="2"/>
          <w:numId w:val="1"/>
        </w:numPr>
      </w:pPr>
      <w:r>
        <w:t>Implementation Risk Factors</w:t>
      </w:r>
    </w:p>
    <w:p>
      <w:r>
        <w:rPr>
          <w:rFonts w:ascii="Figtree" w:hAnsi="Figtree"/>
          <w:b w:val="0"/>
          <w:i w:val="0"/>
          <w:sz w:val="22"/>
        </w:rPr>
        <w:t>The following factors could extend timeline or increase implementation effort:</w:t>
      </w:r>
    </w:p>
    <w:p>
      <w:pPr>
        <w:pStyle w:val="ListParagraph"/>
        <w:numPr>
          <w:ilvl w:val="0"/>
          <w:numId w:val="4"/>
        </w:numPr>
      </w:pPr>
      <w:r>
        <w:rPr>
          <w:rFonts w:ascii="Figtree" w:hAnsi="Figtree"/>
          <w:b w:val="0"/>
          <w:i w:val="0"/>
          <w:sz w:val="22"/>
        </w:rPr>
        <w:t>Complex legacy system integration requirements not captured in discovery</w:t>
      </w:r>
    </w:p>
    <w:p>
      <w:pPr>
        <w:pStyle w:val="ListParagraph"/>
        <w:numPr>
          <w:ilvl w:val="0"/>
          <w:numId w:val="4"/>
        </w:numPr>
      </w:pPr>
      <w:r>
        <w:rPr>
          <w:rFonts w:ascii="Figtree" w:hAnsi="Figtree"/>
          <w:b w:val="0"/>
          <w:i w:val="0"/>
          <w:sz w:val="22"/>
        </w:rPr>
        <w:t>On-premises infrastructure requirements replacing managed cloud (adds 3-5 weeks)</w:t>
      </w:r>
    </w:p>
    <w:p>
      <w:pPr>
        <w:pStyle w:val="ListParagraph"/>
        <w:numPr>
          <w:ilvl w:val="0"/>
          <w:numId w:val="4"/>
        </w:numPr>
      </w:pPr>
      <w:r>
        <w:rPr>
          <w:rFonts w:ascii="Figtree" w:hAnsi="Figtree"/>
          <w:b w:val="0"/>
          <w:i w:val="0"/>
          <w:sz w:val="22"/>
        </w:rPr>
        <w:t>HSM procurement and installation timeline if hardware-backed key management is selected</w:t>
      </w:r>
    </w:p>
    <w:p>
      <w:pPr>
        <w:pStyle w:val="ListParagraph"/>
        <w:numPr>
          <w:ilvl w:val="0"/>
          <w:numId w:val="4"/>
        </w:numPr>
      </w:pPr>
      <w:r>
        <w:rPr>
          <w:rFonts w:ascii="Figtree" w:hAnsi="Figtree"/>
          <w:b w:val="0"/>
          <w:i w:val="0"/>
          <w:sz w:val="22"/>
        </w:rPr>
        <w:t>Regulatory approval requirements in specific corridors that require advance notification</w:t>
      </w:r>
    </w:p>
    <w:p>
      <w:pPr>
        <w:pStyle w:val="ListParagraph"/>
        <w:numPr>
          <w:ilvl w:val="0"/>
          <w:numId w:val="4"/>
        </w:numPr>
      </w:pPr>
      <w:r>
        <w:rPr>
          <w:rFonts w:ascii="Figtree" w:hAnsi="Figtree"/>
          <w:b w:val="0"/>
          <w:i w:val="0"/>
          <w:sz w:val="22"/>
        </w:rPr>
        <w:t>Bank-partner readiness for new settlement instruction formats</w:t>
      </w:r>
    </w:p>
    <w:p>
      <w:pPr>
        <w:pStyle w:val="H3"/>
        <w:numPr>
          <w:ilvl w:val="2"/>
          <w:numId w:val="1"/>
        </w:numPr>
      </w:pPr>
      <w:r>
        <w:t>Training</w:t>
      </w:r>
    </w:p>
    <w:p>
      <w:r>
        <w:rPr>
          <w:rFonts w:ascii="Figtree" w:hAnsi="Figtree"/>
          <w:b w:val="0"/>
          <w:i w:val="0"/>
          <w:sz w:val="22"/>
        </w:rPr>
        <w:t>The implementation programme includes structured training for three audience groups: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25"/>
        <w:gridCol w:w="4911"/>
        <w:gridCol w:w="1319"/>
        <w:gridCol w:w="71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Audience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Content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Format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r>
      <w:tr>
        <w:trPr>
          <w:trHeight w:val="425" w:hRule="atLeast"/>
        </w:trPr>
        <w:tc>
          <w:tcPr>
            <w:tcW w:type="dxa" w:w="2436"/>
            <w:vAlign w:val="center"/>
          </w:tcPr>
          <w:p>
            <w:pPr>
              <w:spacing w:line="276" w:lineRule="auto" w:before="0" w:after="0"/>
            </w:pPr>
            <w:r/>
            <w:r>
              <w:rPr>
                <w:rFonts w:ascii="Figtree" w:hAnsi="Figtree"/>
                <w:b w:val="0"/>
                <w:i w:val="0"/>
                <w:sz w:val="20"/>
              </w:rPr>
              <w:t>Platform administrators</w:t>
            </w:r>
          </w:p>
        </w:tc>
        <w:tc>
          <w:tcPr>
            <w:tcW w:type="dxa" w:w="2436"/>
            <w:vAlign w:val="center"/>
          </w:tcPr>
          <w:p>
            <w:pPr>
              <w:spacing w:line="276" w:lineRule="auto" w:before="0" w:after="0"/>
            </w:pPr>
            <w:r/>
            <w:r>
              <w:rPr>
                <w:rFonts w:ascii="Figtree" w:hAnsi="Figtree"/>
                <w:b w:val="0"/>
                <w:i w:val="0"/>
                <w:sz w:val="20"/>
              </w:rPr>
              <w:t>System configuration, environment management, key management</w:t>
            </w:r>
          </w:p>
        </w:tc>
        <w:tc>
          <w:tcPr>
            <w:tcW w:type="dxa" w:w="2436"/>
            <w:vAlign w:val="center"/>
          </w:tcPr>
          <w:p>
            <w:pPr>
              <w:spacing w:line="276" w:lineRule="auto" w:before="0" w:after="0"/>
            </w:pPr>
            <w:r/>
            <w:r>
              <w:rPr>
                <w:rFonts w:ascii="Figtree" w:hAnsi="Figtree"/>
                <w:b w:val="0"/>
                <w:i w:val="0"/>
                <w:sz w:val="20"/>
              </w:rPr>
              <w:t>Guided workshop</w:t>
            </w:r>
          </w:p>
        </w:tc>
        <w:tc>
          <w:tcPr>
            <w:tcW w:type="dxa" w:w="2436"/>
            <w:vAlign w:val="center"/>
          </w:tcPr>
          <w:p>
            <w:pPr>
              <w:spacing w:line="276" w:lineRule="auto" w:before="0" w:after="0"/>
            </w:pPr>
            <w:r/>
            <w:r>
              <w:rPr>
                <w:rFonts w:ascii="Figtree" w:hAnsi="Figtree"/>
                <w:b w:val="0"/>
                <w:i w:val="0"/>
                <w:sz w:val="20"/>
              </w:rPr>
              <w:t>2 days</w:t>
            </w:r>
          </w:p>
        </w:tc>
      </w:tr>
      <w:tr>
        <w:trPr>
          <w:trHeight w:val="425" w:hRule="atLeast"/>
        </w:trPr>
        <w:tc>
          <w:tcPr>
            <w:tcW w:type="dxa" w:w="2436"/>
            <w:vAlign w:val="center"/>
          </w:tcPr>
          <w:p>
            <w:pPr>
              <w:spacing w:line="276" w:lineRule="auto" w:before="0" w:after="0"/>
            </w:pPr>
            <w:r/>
            <w:r>
              <w:rPr>
                <w:rFonts w:ascii="Figtree" w:hAnsi="Figtree"/>
                <w:b w:val="0"/>
                <w:i w:val="0"/>
                <w:sz w:val="20"/>
              </w:rPr>
              <w:t>Operations and treasury teams</w:t>
            </w:r>
          </w:p>
        </w:tc>
        <w:tc>
          <w:tcPr>
            <w:tcW w:type="dxa" w:w="2436"/>
            <w:vAlign w:val="center"/>
          </w:tcPr>
          <w:p>
            <w:pPr>
              <w:spacing w:line="276" w:lineRule="auto" w:before="0" w:after="0"/>
            </w:pPr>
            <w:r/>
            <w:r>
              <w:rPr>
                <w:rFonts w:ascii="Figtree" w:hAnsi="Figtree"/>
                <w:b w:val="0"/>
                <w:i w:val="0"/>
                <w:sz w:val="20"/>
              </w:rPr>
              <w:t>Asset Console, corridor token management, settlement workflows</w:t>
            </w:r>
          </w:p>
        </w:tc>
        <w:tc>
          <w:tcPr>
            <w:tcW w:type="dxa" w:w="2436"/>
            <w:vAlign w:val="center"/>
          </w:tcPr>
          <w:p>
            <w:pPr>
              <w:spacing w:line="276" w:lineRule="auto" w:before="0" w:after="0"/>
            </w:pPr>
            <w:r/>
            <w:r>
              <w:rPr>
                <w:rFonts w:ascii="Figtree" w:hAnsi="Figtree"/>
                <w:b w:val="0"/>
                <w:i w:val="0"/>
                <w:sz w:val="20"/>
              </w:rPr>
              <w:t>Hands-on workshop</w:t>
            </w:r>
          </w:p>
        </w:tc>
        <w:tc>
          <w:tcPr>
            <w:tcW w:type="dxa" w:w="2436"/>
            <w:vAlign w:val="center"/>
          </w:tcPr>
          <w:p>
            <w:pPr>
              <w:spacing w:line="276" w:lineRule="auto" w:before="0" w:after="0"/>
            </w:pPr>
            <w:r/>
            <w:r>
              <w:rPr>
                <w:rFonts w:ascii="Figtree" w:hAnsi="Figtree"/>
                <w:b w:val="0"/>
                <w:i w:val="0"/>
                <w:sz w:val="20"/>
              </w:rPr>
              <w:t>2 days</w:t>
            </w:r>
          </w:p>
        </w:tc>
      </w:tr>
      <w:tr>
        <w:trPr>
          <w:trHeight w:val="425" w:hRule="atLeast"/>
        </w:trPr>
        <w:tc>
          <w:tcPr>
            <w:tcW w:type="dxa" w:w="2436"/>
            <w:vAlign w:val="center"/>
          </w:tcPr>
          <w:p>
            <w:pPr>
              <w:spacing w:line="276" w:lineRule="auto" w:before="0" w:after="0"/>
            </w:pPr>
            <w:r/>
            <w:r>
              <w:rPr>
                <w:rFonts w:ascii="Figtree" w:hAnsi="Figtree"/>
                <w:b w:val="0"/>
                <w:i w:val="0"/>
                <w:sz w:val="20"/>
              </w:rPr>
              <w:t>Integration engineers</w:t>
            </w:r>
          </w:p>
        </w:tc>
        <w:tc>
          <w:tcPr>
            <w:tcW w:type="dxa" w:w="2436"/>
            <w:vAlign w:val="center"/>
          </w:tcPr>
          <w:p>
            <w:pPr>
              <w:spacing w:line="276" w:lineRule="auto" w:before="0" w:after="0"/>
            </w:pPr>
            <w:r/>
            <w:r>
              <w:rPr>
                <w:rFonts w:ascii="Figtree" w:hAnsi="Figtree"/>
                <w:b w:val="0"/>
                <w:i w:val="0"/>
                <w:sz w:val="20"/>
              </w:rPr>
              <w:t>API, SDK, webhook integration patterns, event stream consumption</w:t>
            </w:r>
          </w:p>
        </w:tc>
        <w:tc>
          <w:tcPr>
            <w:tcW w:type="dxa" w:w="2436"/>
            <w:vAlign w:val="center"/>
          </w:tcPr>
          <w:p>
            <w:pPr>
              <w:spacing w:line="276" w:lineRule="auto" w:before="0" w:after="0"/>
            </w:pPr>
            <w:r/>
            <w:r>
              <w:rPr>
                <w:rFonts w:ascii="Figtree" w:hAnsi="Figtree"/>
                <w:b w:val="0"/>
                <w:i w:val="0"/>
                <w:sz w:val="20"/>
              </w:rPr>
              <w:t>Technical workshop</w:t>
            </w:r>
          </w:p>
        </w:tc>
        <w:tc>
          <w:tcPr>
            <w:tcW w:type="dxa" w:w="2436"/>
            <w:vAlign w:val="center"/>
          </w:tcPr>
          <w:p>
            <w:pPr>
              <w:spacing w:line="276" w:lineRule="auto" w:before="0" w:after="0"/>
            </w:pPr>
            <w:r/>
            <w:r>
              <w:rPr>
                <w:rFonts w:ascii="Figtree" w:hAnsi="Figtree"/>
                <w:b w:val="0"/>
                <w:i w:val="0"/>
                <w:sz w:val="20"/>
              </w:rPr>
              <w:t>2 days</w:t>
            </w:r>
          </w:p>
        </w:tc>
      </w:tr>
      <w:tr>
        <w:trPr>
          <w:trHeight w:val="425" w:hRule="atLeast"/>
        </w:trPr>
        <w:tc>
          <w:tcPr>
            <w:tcW w:type="dxa" w:w="2436"/>
            <w:vAlign w:val="center"/>
          </w:tcPr>
          <w:p>
            <w:pPr>
              <w:spacing w:line="276" w:lineRule="auto" w:before="0" w:after="0"/>
            </w:pPr>
            <w:r/>
            <w:r>
              <w:rPr>
                <w:rFonts w:ascii="Figtree" w:hAnsi="Figtree"/>
                <w:b w:val="0"/>
                <w:i w:val="0"/>
                <w:sz w:val="20"/>
              </w:rPr>
              <w:t>Compliance officers</w:t>
            </w:r>
          </w:p>
        </w:tc>
        <w:tc>
          <w:tcPr>
            <w:tcW w:type="dxa" w:w="2436"/>
            <w:vAlign w:val="center"/>
          </w:tcPr>
          <w:p>
            <w:pPr>
              <w:spacing w:line="276" w:lineRule="auto" w:before="0" w:after="0"/>
            </w:pPr>
            <w:r/>
            <w:r>
              <w:rPr>
                <w:rFonts w:ascii="Figtree" w:hAnsi="Figtree"/>
                <w:b w:val="0"/>
                <w:i w:val="0"/>
                <w:sz w:val="20"/>
              </w:rPr>
              <w:t>Compliance module management, audit log access, evidence extraction</w:t>
            </w:r>
          </w:p>
        </w:tc>
        <w:tc>
          <w:tcPr>
            <w:tcW w:type="dxa" w:w="2436"/>
            <w:vAlign w:val="center"/>
          </w:tcPr>
          <w:p>
            <w:pPr>
              <w:spacing w:line="276" w:lineRule="auto" w:before="0" w:after="0"/>
            </w:pPr>
            <w:r/>
            <w:r>
              <w:rPr>
                <w:rFonts w:ascii="Figtree" w:hAnsi="Figtree"/>
                <w:b w:val="0"/>
                <w:i w:val="0"/>
                <w:sz w:val="20"/>
              </w:rPr>
              <w:t>Guided workshop</w:t>
            </w:r>
          </w:p>
        </w:tc>
        <w:tc>
          <w:tcPr>
            <w:tcW w:type="dxa" w:w="2436"/>
            <w:vAlign w:val="center"/>
          </w:tcPr>
          <w:p>
            <w:pPr>
              <w:spacing w:line="276" w:lineRule="auto" w:before="0" w:after="0"/>
            </w:pPr>
            <w:r/>
            <w:r>
              <w:rPr>
                <w:rFonts w:ascii="Figtree" w:hAnsi="Figtree"/>
                <w:b w:val="0"/>
                <w:i w:val="0"/>
                <w:sz w:val="20"/>
              </w:rPr>
              <w:t>1 day</w:t>
            </w:r>
          </w:p>
        </w:tc>
      </w:tr>
    </w:tbl>
    <w:p>
      <w:pPr>
        <w:spacing w:before="0" w:after="0" w:line="120" w:lineRule="exact"/>
      </w:pPr>
    </w:p>
    <w:p>
      <w:r>
        <w:rPr>
          <w:rFonts w:ascii="Figtree" w:hAnsi="Figtree"/>
          <w:b w:val="0"/>
          <w:i w:val="0"/>
          <w:sz w:val="22"/>
        </w:rPr>
        <w:t>Documentation deliverables include admin runbooks, operator procedures, integration guides, and evidence extraction procedures for regulatory requests.</w:t>
      </w:r>
    </w:p>
    <w:p>
      <w:r>
        <w:br w:type="page"/>
      </w:r>
    </w:p>
    <w:p>
      <w:pPr>
        <w:pStyle w:val="H2"/>
        <w:numPr>
          <w:ilvl w:val="1"/>
          <w:numId w:val="1"/>
        </w:numPr>
      </w:pPr>
      <w:r>
        <w:t>Support and Operational Costs</w:t>
      </w:r>
    </w:p>
    <w:p>
      <w:pPr>
        <w:pStyle w:val="H3"/>
        <w:numPr>
          <w:ilvl w:val="2"/>
          <w:numId w:val="1"/>
        </w:numPr>
      </w:pPr>
      <w:r>
        <w:t>Support Tier Recommendation</w:t>
      </w:r>
    </w:p>
    <w:p>
      <w:r>
        <w:rPr>
          <w:rFonts w:ascii="Figtree" w:hAnsi="Figtree"/>
          <w:b w:val="0"/>
          <w:i w:val="0"/>
          <w:sz w:val="22"/>
        </w:rPr>
        <w:t>For a production payment infrastructure platform, SettleMint recommends Premium support (24/7/365 coverage). Cross-border payments operate across time zones with African, European, and American corridor partners. P1 incidents on a payment platform are not bounded by Brussels business hours.</w:t>
      </w:r>
    </w:p>
    <w:p>
      <w:pPr>
        <w:pStyle w:val="H3"/>
        <w:numPr>
          <w:ilvl w:val="2"/>
          <w:numId w:val="1"/>
        </w:numPr>
      </w:pPr>
      <w:r>
        <w:t>Support Tier Comparison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25"/>
        <w:gridCol w:w="3323"/>
        <w:gridCol w:w="332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Feature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Standard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Premium</w:t>
            </w:r>
          </w:p>
        </w:tc>
      </w:tr>
      <w:tr>
        <w:trPr>
          <w:trHeight w:val="425" w:hRule="atLeast"/>
        </w:trPr>
        <w:tc>
          <w:tcPr>
            <w:tcW w:type="dxa" w:w="3249"/>
            <w:vAlign w:val="center"/>
          </w:tcPr>
          <w:p>
            <w:pPr>
              <w:spacing w:line="276" w:lineRule="auto" w:before="0" w:after="0"/>
            </w:pPr>
            <w:r/>
            <w:r>
              <w:rPr>
                <w:rFonts w:ascii="Figtree" w:hAnsi="Figtree"/>
                <w:b w:val="0"/>
                <w:i w:val="0"/>
                <w:sz w:val="20"/>
              </w:rPr>
              <w:t>Annual cost</w:t>
            </w:r>
          </w:p>
        </w:tc>
        <w:tc>
          <w:tcPr>
            <w:tcW w:type="dxa" w:w="3249"/>
            <w:vAlign w:val="center"/>
          </w:tcPr>
          <w:p>
            <w:pPr>
              <w:spacing w:line="276" w:lineRule="auto" w:before="0" w:after="0"/>
            </w:pPr>
            <w:r/>
            <w:r>
              <w:rPr>
                <w:rFonts w:ascii="Figtree" w:hAnsi="Figtree"/>
                <w:b w:val="0"/>
                <w:i w:val="0"/>
                <w:sz w:val="20"/>
              </w:rPr>
              <w:t>$45,000</w:t>
            </w:r>
          </w:p>
        </w:tc>
        <w:tc>
          <w:tcPr>
            <w:tcW w:type="dxa" w:w="3249"/>
            <w:vAlign w:val="center"/>
          </w:tcPr>
          <w:p>
            <w:pPr>
              <w:spacing w:line="276" w:lineRule="auto" w:before="0" w:after="0"/>
            </w:pPr>
            <w:r/>
            <w:r>
              <w:rPr>
                <w:rFonts w:ascii="Figtree" w:hAnsi="Figtree"/>
                <w:b w:val="0"/>
                <w:i w:val="0"/>
                <w:sz w:val="20"/>
              </w:rPr>
              <w:t>$85,000</w:t>
            </w:r>
          </w:p>
        </w:tc>
      </w:tr>
      <w:tr>
        <w:trPr>
          <w:trHeight w:val="425" w:hRule="atLeast"/>
        </w:trPr>
        <w:tc>
          <w:tcPr>
            <w:tcW w:type="dxa" w:w="3249"/>
            <w:vAlign w:val="center"/>
          </w:tcPr>
          <w:p>
            <w:pPr>
              <w:spacing w:line="276" w:lineRule="auto" w:before="0" w:after="0"/>
            </w:pPr>
            <w:r/>
            <w:r>
              <w:rPr>
                <w:rFonts w:ascii="Figtree" w:hAnsi="Figtree"/>
                <w:b w:val="0"/>
                <w:i w:val="0"/>
                <w:sz w:val="20"/>
              </w:rPr>
              <w:t>Coverage</w:t>
            </w:r>
          </w:p>
        </w:tc>
        <w:tc>
          <w:tcPr>
            <w:tcW w:type="dxa" w:w="3249"/>
            <w:vAlign w:val="center"/>
          </w:tcPr>
          <w:p>
            <w:pPr>
              <w:spacing w:line="276" w:lineRule="auto" w:before="0" w:after="0"/>
            </w:pPr>
            <w:r/>
            <w:r>
              <w:rPr>
                <w:rFonts w:ascii="Figtree" w:hAnsi="Figtree"/>
                <w:b w:val="0"/>
                <w:i w:val="0"/>
                <w:sz w:val="20"/>
              </w:rPr>
              <w:t>Business hours (Mon-Fri, 8am-6pm CET)</w:t>
            </w:r>
          </w:p>
        </w:tc>
        <w:tc>
          <w:tcPr>
            <w:tcW w:type="dxa" w:w="3249"/>
            <w:vAlign w:val="center"/>
          </w:tcPr>
          <w:p>
            <w:pPr>
              <w:spacing w:line="276" w:lineRule="auto" w:before="0" w:after="0"/>
            </w:pPr>
            <w:r/>
            <w:r>
              <w:rPr>
                <w:rFonts w:ascii="Figtree" w:hAnsi="Figtree"/>
                <w:b w:val="0"/>
                <w:i w:val="0"/>
                <w:sz w:val="20"/>
              </w:rPr>
              <w:t>24/7/365</w:t>
            </w:r>
          </w:p>
        </w:tc>
      </w:tr>
      <w:tr>
        <w:trPr>
          <w:trHeight w:val="425" w:hRule="atLeast"/>
        </w:trPr>
        <w:tc>
          <w:tcPr>
            <w:tcW w:type="dxa" w:w="3249"/>
            <w:vAlign w:val="center"/>
          </w:tcPr>
          <w:p>
            <w:pPr>
              <w:spacing w:line="276" w:lineRule="auto" w:before="0" w:after="0"/>
            </w:pPr>
            <w:r/>
            <w:r>
              <w:rPr>
                <w:rFonts w:ascii="Figtree" w:hAnsi="Figtree"/>
                <w:b w:val="0"/>
                <w:i w:val="0"/>
                <w:sz w:val="20"/>
              </w:rPr>
              <w:t>Support channels</w:t>
            </w:r>
          </w:p>
        </w:tc>
        <w:tc>
          <w:tcPr>
            <w:tcW w:type="dxa" w:w="3249"/>
            <w:vAlign w:val="center"/>
          </w:tcPr>
          <w:p>
            <w:pPr>
              <w:spacing w:line="276" w:lineRule="auto" w:before="0" w:after="0"/>
            </w:pPr>
            <w:r/>
            <w:r>
              <w:rPr>
                <w:rFonts w:ascii="Figtree" w:hAnsi="Figtree"/>
                <w:b w:val="0"/>
                <w:i w:val="0"/>
                <w:sz w:val="20"/>
              </w:rPr>
              <w:t>Portal, email</w:t>
            </w:r>
          </w:p>
        </w:tc>
        <w:tc>
          <w:tcPr>
            <w:tcW w:type="dxa" w:w="3249"/>
            <w:vAlign w:val="center"/>
          </w:tcPr>
          <w:p>
            <w:pPr>
              <w:spacing w:line="276" w:lineRule="auto" w:before="0" w:after="0"/>
            </w:pPr>
            <w:r/>
            <w:r>
              <w:rPr>
                <w:rFonts w:ascii="Figtree" w:hAnsi="Figtree"/>
                <w:b w:val="0"/>
                <w:i w:val="0"/>
                <w:sz w:val="20"/>
              </w:rPr>
              <w:t>Portal, email, dedicated Slack, phone</w:t>
            </w:r>
          </w:p>
        </w:tc>
      </w:tr>
      <w:tr>
        <w:trPr>
          <w:trHeight w:val="425" w:hRule="atLeast"/>
        </w:trPr>
        <w:tc>
          <w:tcPr>
            <w:tcW w:type="dxa" w:w="3249"/>
            <w:vAlign w:val="center"/>
          </w:tcPr>
          <w:p>
            <w:pPr>
              <w:spacing w:line="276" w:lineRule="auto" w:before="0" w:after="0"/>
            </w:pPr>
            <w:r/>
            <w:r>
              <w:rPr>
                <w:rFonts w:ascii="Figtree" w:hAnsi="Figtree"/>
                <w:b w:val="0"/>
                <w:i w:val="0"/>
                <w:sz w:val="20"/>
              </w:rPr>
              <w:t>P1 response</w:t>
            </w:r>
          </w:p>
        </w:tc>
        <w:tc>
          <w:tcPr>
            <w:tcW w:type="dxa" w:w="3249"/>
            <w:vAlign w:val="center"/>
          </w:tcPr>
          <w:p>
            <w:pPr>
              <w:spacing w:line="276" w:lineRule="auto" w:before="0" w:after="0"/>
            </w:pPr>
            <w:r/>
            <w:r>
              <w:rPr>
                <w:rFonts w:ascii="Figtree" w:hAnsi="Figtree"/>
                <w:b w:val="0"/>
                <w:i w:val="0"/>
                <w:sz w:val="20"/>
              </w:rPr>
              <w:t>4 hours</w:t>
            </w:r>
          </w:p>
        </w:tc>
        <w:tc>
          <w:tcPr>
            <w:tcW w:type="dxa" w:w="3249"/>
            <w:vAlign w:val="center"/>
          </w:tcPr>
          <w:p>
            <w:pPr>
              <w:spacing w:line="276" w:lineRule="auto" w:before="0" w:after="0"/>
            </w:pPr>
            <w:r/>
            <w:r>
              <w:rPr>
                <w:rFonts w:ascii="Figtree" w:hAnsi="Figtree"/>
                <w:b w:val="0"/>
                <w:i w:val="0"/>
                <w:sz w:val="20"/>
              </w:rPr>
              <w:t>1 hour</w:t>
            </w:r>
          </w:p>
        </w:tc>
      </w:tr>
      <w:tr>
        <w:trPr>
          <w:trHeight w:val="425" w:hRule="atLeast"/>
        </w:trPr>
        <w:tc>
          <w:tcPr>
            <w:tcW w:type="dxa" w:w="3249"/>
            <w:vAlign w:val="center"/>
          </w:tcPr>
          <w:p>
            <w:pPr>
              <w:spacing w:line="276" w:lineRule="auto" w:before="0" w:after="0"/>
            </w:pPr>
            <w:r/>
            <w:r>
              <w:rPr>
                <w:rFonts w:ascii="Figtree" w:hAnsi="Figtree"/>
                <w:b w:val="0"/>
                <w:i w:val="0"/>
                <w:sz w:val="20"/>
              </w:rPr>
              <w:t>P2 response</w:t>
            </w:r>
          </w:p>
        </w:tc>
        <w:tc>
          <w:tcPr>
            <w:tcW w:type="dxa" w:w="3249"/>
            <w:vAlign w:val="center"/>
          </w:tcPr>
          <w:p>
            <w:pPr>
              <w:spacing w:line="276" w:lineRule="auto" w:before="0" w:after="0"/>
            </w:pPr>
            <w:r/>
            <w:r>
              <w:rPr>
                <w:rFonts w:ascii="Figtree" w:hAnsi="Figtree"/>
                <w:b w:val="0"/>
                <w:i w:val="0"/>
                <w:sz w:val="20"/>
              </w:rPr>
              <w:t>8 hours</w:t>
            </w:r>
          </w:p>
        </w:tc>
        <w:tc>
          <w:tcPr>
            <w:tcW w:type="dxa" w:w="3249"/>
            <w:vAlign w:val="center"/>
          </w:tcPr>
          <w:p>
            <w:pPr>
              <w:spacing w:line="276" w:lineRule="auto" w:before="0" w:after="0"/>
            </w:pPr>
            <w:r/>
            <w:r>
              <w:rPr>
                <w:rFonts w:ascii="Figtree" w:hAnsi="Figtree"/>
                <w:b w:val="0"/>
                <w:i w:val="0"/>
                <w:sz w:val="20"/>
              </w:rPr>
              <w:t>4 hours</w:t>
            </w:r>
          </w:p>
        </w:tc>
      </w:tr>
      <w:tr>
        <w:trPr>
          <w:trHeight w:val="425" w:hRule="atLeast"/>
        </w:trPr>
        <w:tc>
          <w:tcPr>
            <w:tcW w:type="dxa" w:w="3249"/>
            <w:vAlign w:val="center"/>
          </w:tcPr>
          <w:p>
            <w:pPr>
              <w:spacing w:line="276" w:lineRule="auto" w:before="0" w:after="0"/>
            </w:pPr>
            <w:r/>
            <w:r>
              <w:rPr>
                <w:rFonts w:ascii="Figtree" w:hAnsi="Figtree"/>
                <w:b w:val="0"/>
                <w:i w:val="0"/>
                <w:sz w:val="20"/>
              </w:rPr>
              <w:t>Named support lead</w:t>
            </w:r>
          </w:p>
        </w:tc>
        <w:tc>
          <w:tcPr>
            <w:tcW w:type="dxa" w:w="3249"/>
            <w:vAlign w:val="center"/>
          </w:tcPr>
          <w:p>
            <w:pPr>
              <w:spacing w:line="276" w:lineRule="auto" w:before="0" w:after="0"/>
            </w:pPr>
            <w:r/>
            <w:r>
              <w:rPr>
                <w:rFonts w:ascii="Figtree" w:hAnsi="Figtree"/>
                <w:b w:val="0"/>
                <w:i w:val="0"/>
                <w:sz w:val="20"/>
              </w:rPr>
              <w:t>No</w:t>
            </w:r>
          </w:p>
        </w:tc>
        <w:tc>
          <w:tcPr>
            <w:tcW w:type="dxa" w:w="3249"/>
            <w:vAlign w:val="center"/>
          </w:tcPr>
          <w:p>
            <w:pPr>
              <w:spacing w:line="276" w:lineRule="auto" w:before="0" w:after="0"/>
            </w:pPr>
            <w:r/>
            <w:r>
              <w:rPr>
                <w:rFonts w:ascii="Figtree" w:hAnsi="Figtree"/>
                <w:b w:val="0"/>
                <w:i w:val="0"/>
                <w:sz w:val="20"/>
              </w:rPr>
              <w:t>Yes</w:t>
            </w:r>
          </w:p>
        </w:tc>
      </w:tr>
      <w:tr>
        <w:trPr>
          <w:trHeight w:val="425" w:hRule="atLeast"/>
        </w:trPr>
        <w:tc>
          <w:tcPr>
            <w:tcW w:type="dxa" w:w="3249"/>
            <w:vAlign w:val="center"/>
          </w:tcPr>
          <w:p>
            <w:pPr>
              <w:spacing w:line="276" w:lineRule="auto" w:before="0" w:after="0"/>
            </w:pPr>
            <w:r/>
            <w:r>
              <w:rPr>
                <w:rFonts w:ascii="Figtree" w:hAnsi="Figtree"/>
                <w:b w:val="0"/>
                <w:i w:val="0"/>
                <w:sz w:val="20"/>
              </w:rPr>
              <w:t>Quarterly service reviews</w:t>
            </w:r>
          </w:p>
        </w:tc>
        <w:tc>
          <w:tcPr>
            <w:tcW w:type="dxa" w:w="3249"/>
            <w:vAlign w:val="center"/>
          </w:tcPr>
          <w:p>
            <w:pPr>
              <w:spacing w:line="276" w:lineRule="auto" w:before="0" w:after="0"/>
            </w:pPr>
            <w:r/>
            <w:r>
              <w:rPr>
                <w:rFonts w:ascii="Figtree" w:hAnsi="Figtree"/>
                <w:b w:val="0"/>
                <w:i w:val="0"/>
                <w:sz w:val="20"/>
              </w:rPr>
              <w:t>No</w:t>
            </w:r>
          </w:p>
        </w:tc>
        <w:tc>
          <w:tcPr>
            <w:tcW w:type="dxa" w:w="3249"/>
            <w:vAlign w:val="center"/>
          </w:tcPr>
          <w:p>
            <w:pPr>
              <w:spacing w:line="276" w:lineRule="auto" w:before="0" w:after="0"/>
            </w:pPr>
            <w:r/>
            <w:r>
              <w:rPr>
                <w:rFonts w:ascii="Figtree" w:hAnsi="Figtree"/>
                <w:b w:val="0"/>
                <w:i w:val="0"/>
                <w:sz w:val="20"/>
              </w:rPr>
              <w:t>Yes</w:t>
            </w:r>
          </w:p>
        </w:tc>
      </w:tr>
      <w:tr>
        <w:trPr>
          <w:trHeight w:val="425" w:hRule="atLeast"/>
        </w:trPr>
        <w:tc>
          <w:tcPr>
            <w:tcW w:type="dxa" w:w="3249"/>
            <w:vAlign w:val="center"/>
          </w:tcPr>
          <w:p>
            <w:pPr>
              <w:spacing w:line="276" w:lineRule="auto" w:before="0" w:after="0"/>
            </w:pPr>
            <w:r/>
            <w:r>
              <w:rPr>
                <w:rFonts w:ascii="Figtree" w:hAnsi="Figtree"/>
                <w:b w:val="0"/>
                <w:i w:val="0"/>
                <w:sz w:val="20"/>
              </w:rPr>
              <w:t>Production incident support</w:t>
            </w:r>
          </w:p>
        </w:tc>
        <w:tc>
          <w:tcPr>
            <w:tcW w:type="dxa" w:w="3249"/>
            <w:vAlign w:val="center"/>
          </w:tcPr>
          <w:p>
            <w:pPr>
              <w:spacing w:line="276" w:lineRule="auto" w:before="0" w:after="0"/>
            </w:pPr>
            <w:r/>
            <w:r>
              <w:rPr>
                <w:rFonts w:ascii="Figtree" w:hAnsi="Figtree"/>
                <w:b w:val="0"/>
                <w:i w:val="0"/>
                <w:sz w:val="20"/>
              </w:rPr>
              <w:t>Standard queue</w:t>
            </w:r>
          </w:p>
        </w:tc>
        <w:tc>
          <w:tcPr>
            <w:tcW w:type="dxa" w:w="3249"/>
            <w:vAlign w:val="center"/>
          </w:tcPr>
          <w:p>
            <w:pPr>
              <w:spacing w:line="276" w:lineRule="auto" w:before="0" w:after="0"/>
            </w:pPr>
            <w:r/>
            <w:r>
              <w:rPr>
                <w:rFonts w:ascii="Figtree" w:hAnsi="Figtree"/>
                <w:b w:val="0"/>
                <w:i w:val="0"/>
                <w:sz w:val="20"/>
              </w:rPr>
              <w:t>Priority queue with escalation</w:t>
            </w:r>
          </w:p>
        </w:tc>
      </w:tr>
    </w:tbl>
    <w:p>
      <w:pPr>
        <w:spacing w:before="0" w:after="0" w:line="120" w:lineRule="exact"/>
      </w:pPr>
    </w:p>
    <w:p>
      <w:pPr>
        <w:pStyle w:val="H3"/>
        <w:numPr>
          <w:ilvl w:val="2"/>
          <w:numId w:val="1"/>
        </w:numPr>
      </w:pPr>
      <w:r>
        <w:t>Severity and Response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886"/>
        <w:gridCol w:w="5525"/>
        <w:gridCol w:w="1227"/>
        <w:gridCol w:w="143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Response (Premium)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Resolution Target</w:t>
            </w:r>
          </w:p>
        </w:tc>
      </w:tr>
      <w:tr>
        <w:trPr>
          <w:trHeight w:val="425" w:hRule="atLeast"/>
        </w:trPr>
        <w:tc>
          <w:tcPr>
            <w:tcW w:type="dxa" w:w="2436"/>
            <w:vAlign w:val="center"/>
          </w:tcPr>
          <w:p>
            <w:pPr>
              <w:spacing w:line="276" w:lineRule="auto" w:before="0" w:after="0"/>
            </w:pPr>
            <w:r/>
            <w:r>
              <w:rPr>
                <w:rFonts w:ascii="Figtree" w:hAnsi="Figtree"/>
                <w:b w:val="0"/>
                <w:i w:val="0"/>
                <w:sz w:val="20"/>
              </w:rPr>
              <w:t>P1 - Critical</w:t>
            </w:r>
          </w:p>
        </w:tc>
        <w:tc>
          <w:tcPr>
            <w:tcW w:type="dxa" w:w="2436"/>
            <w:vAlign w:val="center"/>
          </w:tcPr>
          <w:p>
            <w:pPr>
              <w:spacing w:line="276" w:lineRule="auto" w:before="0" w:after="0"/>
            </w:pPr>
            <w:r/>
            <w:r>
              <w:rPr>
                <w:rFonts w:ascii="Figtree" w:hAnsi="Figtree"/>
                <w:b w:val="0"/>
                <w:i w:val="0"/>
                <w:sz w:val="20"/>
              </w:rPr>
              <w:t>Production outage, data loss risk, security incident affecting live corridors</w:t>
            </w:r>
          </w:p>
        </w:tc>
        <w:tc>
          <w:tcPr>
            <w:tcW w:type="dxa" w:w="2436"/>
            <w:vAlign w:val="center"/>
          </w:tcPr>
          <w:p>
            <w:pPr>
              <w:spacing w:line="276" w:lineRule="auto" w:before="0" w:after="0"/>
            </w:pPr>
            <w:r/>
            <w:r>
              <w:rPr>
                <w:rFonts w:ascii="Figtree" w:hAnsi="Figtree"/>
                <w:b w:val="0"/>
                <w:i w:val="0"/>
                <w:sz w:val="20"/>
              </w:rPr>
              <w:t>1 hour</w:t>
            </w:r>
          </w:p>
        </w:tc>
        <w:tc>
          <w:tcPr>
            <w:tcW w:type="dxa" w:w="2436"/>
            <w:vAlign w:val="center"/>
          </w:tcPr>
          <w:p>
            <w:pPr>
              <w:spacing w:line="276" w:lineRule="auto" w:before="0" w:after="0"/>
            </w:pPr>
            <w:r/>
            <w:r>
              <w:rPr>
                <w:rFonts w:ascii="Figtree" w:hAnsi="Figtree"/>
                <w:b w:val="0"/>
                <w:i w:val="0"/>
                <w:sz w:val="20"/>
              </w:rPr>
              <w:t>4 hours</w:t>
            </w:r>
          </w:p>
        </w:tc>
      </w:tr>
      <w:tr>
        <w:trPr>
          <w:trHeight w:val="425" w:hRule="atLeast"/>
        </w:trPr>
        <w:tc>
          <w:tcPr>
            <w:tcW w:type="dxa" w:w="2436"/>
            <w:vAlign w:val="center"/>
          </w:tcPr>
          <w:p>
            <w:pPr>
              <w:spacing w:line="276" w:lineRule="auto" w:before="0" w:after="0"/>
            </w:pPr>
            <w:r/>
            <w:r>
              <w:rPr>
                <w:rFonts w:ascii="Figtree" w:hAnsi="Figtree"/>
                <w:b w:val="0"/>
                <w:i w:val="0"/>
                <w:sz w:val="20"/>
              </w:rPr>
              <w:t>P2 - High</w:t>
            </w:r>
          </w:p>
        </w:tc>
        <w:tc>
          <w:tcPr>
            <w:tcW w:type="dxa" w:w="2436"/>
            <w:vAlign w:val="center"/>
          </w:tcPr>
          <w:p>
            <w:pPr>
              <w:spacing w:line="276" w:lineRule="auto" w:before="0" w:after="0"/>
            </w:pPr>
            <w:r/>
            <w:r>
              <w:rPr>
                <w:rFonts w:ascii="Figtree" w:hAnsi="Figtree"/>
                <w:b w:val="0"/>
                <w:i w:val="0"/>
                <w:sz w:val="20"/>
              </w:rPr>
              <w:t>Significant functional degradation, compliance workflow blocked, settlement delayed</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24 hours</w:t>
            </w:r>
          </w:p>
        </w:tc>
      </w:tr>
      <w:tr>
        <w:trPr>
          <w:trHeight w:val="425" w:hRule="atLeast"/>
        </w:trPr>
        <w:tc>
          <w:tcPr>
            <w:tcW w:type="dxa" w:w="2436"/>
            <w:vAlign w:val="center"/>
          </w:tcPr>
          <w:p>
            <w:pPr>
              <w:spacing w:line="276" w:lineRule="auto" w:before="0" w:after="0"/>
            </w:pPr>
            <w:r/>
            <w:r>
              <w:rPr>
                <w:rFonts w:ascii="Figtree" w:hAnsi="Figtree"/>
                <w:b w:val="0"/>
                <w:i w:val="0"/>
                <w:sz w:val="20"/>
              </w:rPr>
              <w:t>P3 - Medium</w:t>
            </w:r>
          </w:p>
        </w:tc>
        <w:tc>
          <w:tcPr>
            <w:tcW w:type="dxa" w:w="2436"/>
            <w:vAlign w:val="center"/>
          </w:tcPr>
          <w:p>
            <w:pPr>
              <w:spacing w:line="276" w:lineRule="auto" w:before="0" w:after="0"/>
            </w:pPr>
            <w:r/>
            <w:r>
              <w:rPr>
                <w:rFonts w:ascii="Figtree" w:hAnsi="Figtree"/>
                <w:b w:val="0"/>
                <w:i w:val="0"/>
                <w:sz w:val="20"/>
              </w:rPr>
              <w:t>Non-critical issue, workaround available, individual user or corridor affected</w:t>
            </w:r>
          </w:p>
        </w:tc>
        <w:tc>
          <w:tcPr>
            <w:tcW w:type="dxa" w:w="2436"/>
            <w:vAlign w:val="center"/>
          </w:tcPr>
          <w:p>
            <w:pPr>
              <w:spacing w:line="276" w:lineRule="auto" w:before="0" w:after="0"/>
            </w:pPr>
            <w:r/>
            <w:r>
              <w:rPr>
                <w:rFonts w:ascii="Figtree" w:hAnsi="Figtree"/>
                <w:b w:val="0"/>
                <w:i w:val="0"/>
                <w:sz w:val="20"/>
              </w:rPr>
              <w:t>8 hours</w:t>
            </w:r>
          </w:p>
        </w:tc>
        <w:tc>
          <w:tcPr>
            <w:tcW w:type="dxa" w:w="2436"/>
            <w:vAlign w:val="center"/>
          </w:tcPr>
          <w:p>
            <w:pPr>
              <w:spacing w:line="276" w:lineRule="auto" w:before="0" w:after="0"/>
            </w:pPr>
            <w:r/>
            <w:r>
              <w:rPr>
                <w:rFonts w:ascii="Figtree" w:hAnsi="Figtree"/>
                <w:b w:val="0"/>
                <w:i w:val="0"/>
                <w:sz w:val="20"/>
              </w:rPr>
              <w:t>72 hours</w:t>
            </w:r>
          </w:p>
        </w:tc>
      </w:tr>
      <w:tr>
        <w:trPr>
          <w:trHeight w:val="425" w:hRule="atLeast"/>
        </w:trPr>
        <w:tc>
          <w:tcPr>
            <w:tcW w:type="dxa" w:w="2436"/>
            <w:vAlign w:val="center"/>
          </w:tcPr>
          <w:p>
            <w:pPr>
              <w:spacing w:line="276" w:lineRule="auto" w:before="0" w:after="0"/>
            </w:pPr>
            <w:r/>
            <w:r>
              <w:rPr>
                <w:rFonts w:ascii="Figtree" w:hAnsi="Figtree"/>
                <w:b w:val="0"/>
                <w:i w:val="0"/>
                <w:sz w:val="20"/>
              </w:rPr>
              <w:t>P4 - Low</w:t>
            </w:r>
          </w:p>
        </w:tc>
        <w:tc>
          <w:tcPr>
            <w:tcW w:type="dxa" w:w="2436"/>
            <w:vAlign w:val="center"/>
          </w:tcPr>
          <w:p>
            <w:pPr>
              <w:spacing w:line="276" w:lineRule="auto" w:before="0" w:after="0"/>
            </w:pPr>
            <w:r/>
            <w:r>
              <w:rPr>
                <w:rFonts w:ascii="Figtree" w:hAnsi="Figtree"/>
                <w:b w:val="0"/>
                <w:i w:val="0"/>
                <w:sz w:val="20"/>
              </w:rPr>
              <w:t>Enhancement request, documentation query, non-urgent configuration question</w:t>
            </w:r>
          </w:p>
        </w:tc>
        <w:tc>
          <w:tcPr>
            <w:tcW w:type="dxa" w:w="2436"/>
            <w:vAlign w:val="center"/>
          </w:tcPr>
          <w:p>
            <w:pPr>
              <w:spacing w:line="276" w:lineRule="auto" w:before="0" w:after="0"/>
            </w:pPr>
            <w:r/>
            <w:r>
              <w:rPr>
                <w:rFonts w:ascii="Figtree" w:hAnsi="Figtree"/>
                <w:b w:val="0"/>
                <w:i w:val="0"/>
                <w:sz w:val="20"/>
              </w:rPr>
              <w:t>Next business day</w:t>
            </w:r>
          </w:p>
        </w:tc>
        <w:tc>
          <w:tcPr>
            <w:tcW w:type="dxa" w:w="2436"/>
            <w:vAlign w:val="center"/>
          </w:tcPr>
          <w:p>
            <w:pPr>
              <w:spacing w:line="276" w:lineRule="auto" w:before="0" w:after="0"/>
            </w:pPr>
            <w:r/>
            <w:r>
              <w:rPr>
                <w:rFonts w:ascii="Figtree" w:hAnsi="Figtree"/>
                <w:b w:val="0"/>
                <w:i w:val="0"/>
                <w:sz w:val="20"/>
              </w:rPr>
              <w:t>Roadmap consideration</w:t>
            </w:r>
          </w:p>
        </w:tc>
      </w:tr>
    </w:tbl>
    <w:p>
      <w:pPr>
        <w:spacing w:before="0" w:after="0" w:line="120" w:lineRule="exact"/>
      </w:pPr>
    </w:p>
    <w:p>
      <w:pPr>
        <w:pStyle w:val="H3"/>
        <w:numPr>
          <w:ilvl w:val="2"/>
          <w:numId w:val="1"/>
        </w:numPr>
      </w:pPr>
      <w:r>
        <w:t>Maintenance Windows</w:t>
      </w:r>
    </w:p>
    <w:p>
      <w:r>
        <w:rPr>
          <w:rFonts w:ascii="Figtree" w:hAnsi="Figtree"/>
          <w:b w:val="0"/>
          <w:i w:val="0"/>
          <w:sz w:val="22"/>
        </w:rPr>
        <w:t>Scheduled maintenance windows: maximum 4 hours per quarter, minimum 72-hour advance notice. Emergency security patches applied without scheduled window where the threat requires immediate action, with concurrent notification to Flutterwave's operations team. Platform updates follow a quarterly release cadence for major updates and monthly for security patches.</w:t>
      </w:r>
    </w:p>
    <w:p>
      <w:r>
        <w:br w:type="page"/>
      </w:r>
    </w:p>
    <w:p>
      <w:pPr>
        <w:pStyle w:val="H2"/>
        <w:numPr>
          <w:ilvl w:val="1"/>
          <w:numId w:val="1"/>
        </w:numPr>
      </w:pPr>
      <w:r>
        <w:t>Total Cost of Ownership Analysis</w:t>
      </w:r>
    </w:p>
    <w:p>
      <w:pPr>
        <w:pStyle w:val="H3"/>
        <w:numPr>
          <w:ilvl w:val="2"/>
          <w:numId w:val="1"/>
        </w:numPr>
      </w:pPr>
      <w:r>
        <w:t>TCO Framework</w:t>
      </w:r>
    </w:p>
    <w:p>
      <w:r>
        <w:rPr>
          <w:rFonts w:ascii="Figtree" w:hAnsi="Figtree"/>
          <w:b w:val="0"/>
          <w:i w:val="0"/>
          <w:sz w:val="22"/>
        </w:rPr>
        <w:t>The correct TCO comparison for Flutterwave is not DALP subscription cost versus zero. It is DALP versus the realistic alternatives: internal build or multi-vendor assembly. The comparison must include all cost categories: software, implementation, ongoing engineering, operational overhead, compliance maintenance, and the cost of incidents that a less mature platform would produce more frequently.</w:t>
      </w:r>
    </w:p>
    <w:p>
      <w:pPr>
        <w:pStyle w:val="H3"/>
        <w:numPr>
          <w:ilvl w:val="2"/>
          <w:numId w:val="1"/>
        </w:numPr>
      </w:pPr>
      <w:r>
        <w:t>3-Year TCO: DALP</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606"/>
        <w:gridCol w:w="1311"/>
        <w:gridCol w:w="1311"/>
        <w:gridCol w:w="1311"/>
        <w:gridCol w:w="1530"/>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3-Year Total</w:t>
            </w:r>
          </w:p>
        </w:tc>
      </w:tr>
      <w:tr>
        <w:trPr>
          <w:trHeight w:val="425" w:hRule="atLeast"/>
        </w:trPr>
        <w:tc>
          <w:tcPr>
            <w:tcW w:type="dxa" w:w="1949"/>
            <w:vAlign w:val="center"/>
          </w:tcPr>
          <w:p>
            <w:pPr>
              <w:spacing w:line="276" w:lineRule="auto" w:before="0" w:after="0"/>
            </w:pPr>
            <w:r/>
            <w:r>
              <w:rPr>
                <w:rFonts w:ascii="Figtree" w:hAnsi="Figtree"/>
                <w:b w:val="0"/>
                <w:i w:val="0"/>
                <w:sz w:val="20"/>
              </w:rPr>
              <w:t>Platform license (Enterprise)</w:t>
            </w:r>
          </w:p>
        </w:tc>
        <w:tc>
          <w:tcPr>
            <w:tcW w:type="dxa" w:w="1949"/>
            <w:vAlign w:val="center"/>
          </w:tcPr>
          <w:p>
            <w:pPr>
              <w:spacing w:line="276" w:lineRule="auto" w:before="0" w:after="0"/>
            </w:pPr>
            <w:r/>
            <w:r>
              <w:rPr>
                <w:rFonts w:ascii="Figtree" w:hAnsi="Figtree"/>
                <w:b w:val="0"/>
                <w:i w:val="0"/>
                <w:sz w:val="20"/>
              </w:rPr>
              <w:t>$240,000</w:t>
            </w:r>
          </w:p>
        </w:tc>
        <w:tc>
          <w:tcPr>
            <w:tcW w:type="dxa" w:w="1949"/>
            <w:vAlign w:val="center"/>
          </w:tcPr>
          <w:p>
            <w:pPr>
              <w:spacing w:line="276" w:lineRule="auto" w:before="0" w:after="0"/>
            </w:pPr>
            <w:r/>
            <w:r>
              <w:rPr>
                <w:rFonts w:ascii="Figtree" w:hAnsi="Figtree"/>
                <w:b w:val="0"/>
                <w:i w:val="0"/>
                <w:sz w:val="20"/>
              </w:rPr>
              <w:t>$240,000</w:t>
            </w:r>
          </w:p>
        </w:tc>
        <w:tc>
          <w:tcPr>
            <w:tcW w:type="dxa" w:w="1949"/>
            <w:vAlign w:val="center"/>
          </w:tcPr>
          <w:p>
            <w:pPr>
              <w:spacing w:line="276" w:lineRule="auto" w:before="0" w:after="0"/>
            </w:pPr>
            <w:r/>
            <w:r>
              <w:rPr>
                <w:rFonts w:ascii="Figtree" w:hAnsi="Figtree"/>
                <w:b w:val="0"/>
                <w:i w:val="0"/>
                <w:sz w:val="20"/>
              </w:rPr>
              <w:t>$240,000</w:t>
            </w:r>
          </w:p>
        </w:tc>
        <w:tc>
          <w:tcPr>
            <w:tcW w:type="dxa" w:w="1949"/>
            <w:vAlign w:val="center"/>
          </w:tcPr>
          <w:p>
            <w:pPr>
              <w:spacing w:line="276" w:lineRule="auto" w:before="0" w:after="0"/>
            </w:pPr>
            <w:r/>
            <w:r>
              <w:rPr>
                <w:rFonts w:ascii="Figtree" w:hAnsi="Figtree"/>
                <w:b w:val="0"/>
                <w:i w:val="0"/>
                <w:sz w:val="20"/>
              </w:rPr>
              <w:t>$720,000</w:t>
            </w:r>
          </w:p>
        </w:tc>
      </w:tr>
      <w:tr>
        <w:trPr>
          <w:trHeight w:val="425" w:hRule="atLeast"/>
        </w:trPr>
        <w:tc>
          <w:tcPr>
            <w:tcW w:type="dxa" w:w="1949"/>
            <w:vAlign w:val="center"/>
          </w:tcPr>
          <w:p>
            <w:pPr>
              <w:spacing w:line="276" w:lineRule="auto" w:before="0" w:after="0"/>
            </w:pPr>
            <w:r/>
            <w:r>
              <w:rPr>
                <w:rFonts w:ascii="Figtree" w:hAnsi="Figtree"/>
                <w:b w:val="0"/>
                <w:i w:val="0"/>
                <w:sz w:val="20"/>
              </w:rPr>
              <w:t>Additional environments (2)</w:t>
            </w:r>
          </w:p>
        </w:tc>
        <w:tc>
          <w:tcPr>
            <w:tcW w:type="dxa" w:w="1949"/>
            <w:vAlign w:val="center"/>
          </w:tcPr>
          <w:p>
            <w:pPr>
              <w:spacing w:line="276" w:lineRule="auto" w:before="0" w:after="0"/>
            </w:pPr>
            <w:r/>
            <w:r>
              <w:rPr>
                <w:rFonts w:ascii="Figtree" w:hAnsi="Figtree"/>
                <w:b w:val="0"/>
                <w:i w:val="0"/>
                <w:sz w:val="20"/>
              </w:rPr>
              <w:t>$50,000</w:t>
            </w:r>
          </w:p>
        </w:tc>
        <w:tc>
          <w:tcPr>
            <w:tcW w:type="dxa" w:w="1949"/>
            <w:vAlign w:val="center"/>
          </w:tcPr>
          <w:p>
            <w:pPr>
              <w:spacing w:line="276" w:lineRule="auto" w:before="0" w:after="0"/>
            </w:pPr>
            <w:r/>
            <w:r>
              <w:rPr>
                <w:rFonts w:ascii="Figtree" w:hAnsi="Figtree"/>
                <w:b w:val="0"/>
                <w:i w:val="0"/>
                <w:sz w:val="20"/>
              </w:rPr>
              <w:t>$50,000</w:t>
            </w:r>
          </w:p>
        </w:tc>
        <w:tc>
          <w:tcPr>
            <w:tcW w:type="dxa" w:w="1949"/>
            <w:vAlign w:val="center"/>
          </w:tcPr>
          <w:p>
            <w:pPr>
              <w:spacing w:line="276" w:lineRule="auto" w:before="0" w:after="0"/>
            </w:pPr>
            <w:r/>
            <w:r>
              <w:rPr>
                <w:rFonts w:ascii="Figtree" w:hAnsi="Figtree"/>
                <w:b w:val="0"/>
                <w:i w:val="0"/>
                <w:sz w:val="20"/>
              </w:rPr>
              <w:t>$50,000</w:t>
            </w:r>
          </w:p>
        </w:tc>
        <w:tc>
          <w:tcPr>
            <w:tcW w:type="dxa" w:w="1949"/>
            <w:vAlign w:val="center"/>
          </w:tcPr>
          <w:p>
            <w:pPr>
              <w:spacing w:line="276" w:lineRule="auto" w:before="0" w:after="0"/>
            </w:pPr>
            <w:r/>
            <w:r>
              <w:rPr>
                <w:rFonts w:ascii="Figtree" w:hAnsi="Figtree"/>
                <w:b w:val="0"/>
                <w:i w:val="0"/>
                <w:sz w:val="20"/>
              </w:rPr>
              <w:t>$150,000</w:t>
            </w:r>
          </w:p>
        </w:tc>
      </w:tr>
      <w:tr>
        <w:trPr>
          <w:trHeight w:val="425" w:hRule="atLeast"/>
        </w:trPr>
        <w:tc>
          <w:tcPr>
            <w:tcW w:type="dxa" w:w="1949"/>
            <w:vAlign w:val="center"/>
          </w:tcPr>
          <w:p>
            <w:pPr>
              <w:spacing w:line="276" w:lineRule="auto" w:before="0" w:after="0"/>
            </w:pPr>
            <w:r/>
            <w:r>
              <w:rPr>
                <w:rFonts w:ascii="Figtree" w:hAnsi="Figtree"/>
                <w:b w:val="0"/>
                <w:i w:val="0"/>
                <w:sz w:val="20"/>
              </w:rPr>
              <w:t>Premium support</w:t>
            </w:r>
          </w:p>
        </w:tc>
        <w:tc>
          <w:tcPr>
            <w:tcW w:type="dxa" w:w="1949"/>
            <w:vAlign w:val="center"/>
          </w:tcPr>
          <w:p>
            <w:pPr>
              <w:spacing w:line="276" w:lineRule="auto" w:before="0" w:after="0"/>
            </w:pPr>
            <w:r/>
            <w:r>
              <w:rPr>
                <w:rFonts w:ascii="Figtree" w:hAnsi="Figtree"/>
                <w:b w:val="0"/>
                <w:i w:val="0"/>
                <w:sz w:val="20"/>
              </w:rPr>
              <w:t>$85,000</w:t>
            </w:r>
          </w:p>
        </w:tc>
        <w:tc>
          <w:tcPr>
            <w:tcW w:type="dxa" w:w="1949"/>
            <w:vAlign w:val="center"/>
          </w:tcPr>
          <w:p>
            <w:pPr>
              <w:spacing w:line="276" w:lineRule="auto" w:before="0" w:after="0"/>
            </w:pPr>
            <w:r/>
            <w:r>
              <w:rPr>
                <w:rFonts w:ascii="Figtree" w:hAnsi="Figtree"/>
                <w:b w:val="0"/>
                <w:i w:val="0"/>
                <w:sz w:val="20"/>
              </w:rPr>
              <w:t>$85,000</w:t>
            </w:r>
          </w:p>
        </w:tc>
        <w:tc>
          <w:tcPr>
            <w:tcW w:type="dxa" w:w="1949"/>
            <w:vAlign w:val="center"/>
          </w:tcPr>
          <w:p>
            <w:pPr>
              <w:spacing w:line="276" w:lineRule="auto" w:before="0" w:after="0"/>
            </w:pPr>
            <w:r/>
            <w:r>
              <w:rPr>
                <w:rFonts w:ascii="Figtree" w:hAnsi="Figtree"/>
                <w:b w:val="0"/>
                <w:i w:val="0"/>
                <w:sz w:val="20"/>
              </w:rPr>
              <w:t>$85,000</w:t>
            </w:r>
          </w:p>
        </w:tc>
        <w:tc>
          <w:tcPr>
            <w:tcW w:type="dxa" w:w="1949"/>
            <w:vAlign w:val="center"/>
          </w:tcPr>
          <w:p>
            <w:pPr>
              <w:spacing w:line="276" w:lineRule="auto" w:before="0" w:after="0"/>
            </w:pPr>
            <w:r/>
            <w:r>
              <w:rPr>
                <w:rFonts w:ascii="Figtree" w:hAnsi="Figtree"/>
                <w:b w:val="0"/>
                <w:i w:val="0"/>
                <w:sz w:val="20"/>
              </w:rPr>
              <w:t>$255,000</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(one-time)</w:t>
            </w:r>
          </w:p>
        </w:tc>
        <w:tc>
          <w:tcPr>
            <w:tcW w:type="dxa" w:w="1949"/>
            <w:vAlign w:val="center"/>
          </w:tcPr>
          <w:p>
            <w:pPr>
              <w:spacing w:line="276" w:lineRule="auto" w:before="0" w:after="0"/>
            </w:pPr>
            <w:r/>
            <w:r>
              <w:rPr>
                <w:rFonts w:ascii="Figtree" w:hAnsi="Figtree"/>
                <w:b w:val="0"/>
                <w:i w:val="0"/>
                <w:sz w:val="20"/>
              </w:rPr>
              <w:t>$380,000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$380,000</w:t>
            </w:r>
          </w:p>
        </w:tc>
      </w:tr>
      <w:tr>
        <w:trPr>
          <w:trHeight w:val="425" w:hRule="atLeast"/>
        </w:trPr>
        <w:tc>
          <w:tcPr>
            <w:tcW w:type="dxa" w:w="1949"/>
            <w:vAlign w:val="center"/>
          </w:tcPr>
          <w:p>
            <w:pPr>
              <w:spacing w:line="276" w:lineRule="auto" w:before="0" w:after="0"/>
            </w:pPr>
            <w:r/>
            <w:r>
              <w:rPr>
                <w:rFonts w:ascii="Figtree" w:hAnsi="Figtree"/>
                <w:b w:val="0"/>
                <w:i w:val="0"/>
                <w:sz w:val="20"/>
              </w:rPr>
              <w:t>Training (additional post-launch)</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$15,000</w:t>
            </w:r>
          </w:p>
        </w:tc>
        <w:tc>
          <w:tcPr>
            <w:tcW w:type="dxa" w:w="1949"/>
            <w:vAlign w:val="center"/>
          </w:tcPr>
          <w:p>
            <w:pPr>
              <w:spacing w:line="276" w:lineRule="auto" w:before="0" w:after="0"/>
            </w:pPr>
            <w:r/>
            <w:r>
              <w:rPr>
                <w:rFonts w:ascii="Figtree" w:hAnsi="Figtree"/>
                <w:b w:val="0"/>
                <w:i w:val="0"/>
                <w:sz w:val="20"/>
              </w:rPr>
              <w:t>$15,000</w:t>
            </w:r>
          </w:p>
        </w:tc>
        <w:tc>
          <w:tcPr>
            <w:tcW w:type="dxa" w:w="1949"/>
            <w:vAlign w:val="center"/>
          </w:tcPr>
          <w:p>
            <w:pPr>
              <w:spacing w:line="276" w:lineRule="auto" w:before="0" w:after="0"/>
            </w:pPr>
            <w:r/>
            <w:r>
              <w:rPr>
                <w:rFonts w:ascii="Figtree" w:hAnsi="Figtree"/>
                <w:b w:val="0"/>
                <w:i w:val="0"/>
                <w:sz w:val="20"/>
              </w:rPr>
              <w:t>$30,000</w:t>
            </w:r>
          </w:p>
        </w:tc>
      </w:tr>
      <w:tr>
        <w:trPr>
          <w:trHeight w:val="425" w:hRule="atLeast"/>
        </w:trPr>
        <w:tc>
          <w:tcPr>
            <w:tcW w:type="dxa" w:w="1949"/>
            <w:vAlign w:val="center"/>
          </w:tcPr>
          <w:p>
            <w:pPr>
              <w:spacing w:line="276" w:lineRule="auto" w:before="0" w:after="0"/>
            </w:pPr>
            <w:r/>
            <w:r>
              <w:rPr>
                <w:rFonts w:ascii="Figtree" w:hAnsi="Figtree"/>
                <w:b/>
                <w:i w:val="0"/>
                <w:sz w:val="20"/>
              </w:rPr>
              <w:t>Total</w:t>
            </w:r>
          </w:p>
        </w:tc>
        <w:tc>
          <w:tcPr>
            <w:tcW w:type="dxa" w:w="1949"/>
            <w:vAlign w:val="center"/>
          </w:tcPr>
          <w:p>
            <w:pPr>
              <w:spacing w:line="276" w:lineRule="auto" w:before="0" w:after="0"/>
            </w:pPr>
            <w:r/>
            <w:r>
              <w:rPr>
                <w:rFonts w:ascii="Figtree" w:hAnsi="Figtree"/>
                <w:b/>
                <w:i w:val="0"/>
                <w:sz w:val="20"/>
              </w:rPr>
              <w:t>$755,000</w:t>
            </w:r>
          </w:p>
        </w:tc>
        <w:tc>
          <w:tcPr>
            <w:tcW w:type="dxa" w:w="1949"/>
            <w:vAlign w:val="center"/>
          </w:tcPr>
          <w:p>
            <w:pPr>
              <w:spacing w:line="276" w:lineRule="auto" w:before="0" w:after="0"/>
            </w:pPr>
            <w:r/>
            <w:r>
              <w:rPr>
                <w:rFonts w:ascii="Figtree" w:hAnsi="Figtree"/>
                <w:b/>
                <w:i w:val="0"/>
                <w:sz w:val="20"/>
              </w:rPr>
              <w:t>$390,000</w:t>
            </w:r>
          </w:p>
        </w:tc>
        <w:tc>
          <w:tcPr>
            <w:tcW w:type="dxa" w:w="1949"/>
            <w:vAlign w:val="center"/>
          </w:tcPr>
          <w:p>
            <w:pPr>
              <w:spacing w:line="276" w:lineRule="auto" w:before="0" w:after="0"/>
            </w:pPr>
            <w:r/>
            <w:r>
              <w:rPr>
                <w:rFonts w:ascii="Figtree" w:hAnsi="Figtree"/>
                <w:b/>
                <w:i w:val="0"/>
                <w:sz w:val="20"/>
              </w:rPr>
              <w:t>$390,000</w:t>
            </w:r>
          </w:p>
        </w:tc>
        <w:tc>
          <w:tcPr>
            <w:tcW w:type="dxa" w:w="1949"/>
            <w:vAlign w:val="center"/>
          </w:tcPr>
          <w:p>
            <w:pPr>
              <w:spacing w:line="276" w:lineRule="auto" w:before="0" w:after="0"/>
            </w:pPr>
            <w:r/>
            <w:r>
              <w:rPr>
                <w:rFonts w:ascii="Figtree" w:hAnsi="Figtree"/>
                <w:b/>
                <w:i w:val="0"/>
                <w:sz w:val="20"/>
              </w:rPr>
              <w:t>$1,535,000</w:t>
            </w:r>
          </w:p>
        </w:tc>
      </w:tr>
    </w:tbl>
    <w:p>
      <w:pPr>
        <w:spacing w:before="0" w:after="0" w:line="120" w:lineRule="exact"/>
      </w:pPr>
    </w:p>
    <w:p>
      <w:r>
        <w:rPr>
          <w:rFonts w:ascii="Figtree" w:hAnsi="Figtree"/>
          <w:b w:val="0"/>
          <w:i/>
          <w:sz w:val="22"/>
        </w:rPr>
        <w:t>Note: Infrastructure costs (Kubernetes, PostgreSQL, blockchain nodes) are Flutterwave-borne as private cloud deployment. Estimated at $60,000-80,000/year for production-grade multi-AZ configuration.</w:t>
      </w:r>
    </w:p>
    <w:p>
      <w:r>
        <w:rPr>
          <w:rFonts w:ascii="Figtree" w:hAnsi="Figtree"/>
          <w:b/>
          <w:i w:val="0"/>
          <w:sz w:val="22"/>
        </w:rPr>
        <w:t>Adjusted 3-year TCO including infrastructure: approximately $1,700,000-$1,775,000</w:t>
      </w:r>
    </w:p>
    <w:p>
      <w:pPr>
        <w:pStyle w:val="H3"/>
        <w:numPr>
          <w:ilvl w:val="2"/>
          <w:numId w:val="1"/>
        </w:numPr>
      </w:pPr>
      <w:r>
        <w:t>3-Year TCO: Internal Build (Conservative Estimate)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654"/>
        <w:gridCol w:w="1104"/>
        <w:gridCol w:w="1104"/>
        <w:gridCol w:w="1104"/>
        <w:gridCol w:w="1104"/>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3-Year Total</w:t>
            </w:r>
          </w:p>
        </w:tc>
      </w:tr>
      <w:tr>
        <w:trPr>
          <w:trHeight w:val="425" w:hRule="atLeast"/>
        </w:trPr>
        <w:tc>
          <w:tcPr>
            <w:tcW w:type="dxa" w:w="1949"/>
            <w:vAlign w:val="center"/>
          </w:tcPr>
          <w:p>
            <w:pPr>
              <w:spacing w:line="276" w:lineRule="auto" w:before="0" w:after="0"/>
            </w:pPr>
            <w:r/>
            <w:r>
              <w:rPr>
                <w:rFonts w:ascii="Figtree" w:hAnsi="Figtree"/>
                <w:b w:val="0"/>
                <w:i w:val="0"/>
                <w:sz w:val="20"/>
              </w:rPr>
              <w:t>Engineering team (8 FTEs at $120k loaded cost)</w:t>
            </w:r>
          </w:p>
        </w:tc>
        <w:tc>
          <w:tcPr>
            <w:tcW w:type="dxa" w:w="1949"/>
            <w:vAlign w:val="center"/>
          </w:tcPr>
          <w:p>
            <w:pPr>
              <w:spacing w:line="276" w:lineRule="auto" w:before="0" w:after="0"/>
            </w:pPr>
            <w:r/>
            <w:r>
              <w:rPr>
                <w:rFonts w:ascii="Figtree" w:hAnsi="Figtree"/>
                <w:b w:val="0"/>
                <w:i w:val="0"/>
                <w:sz w:val="20"/>
              </w:rPr>
              <w:t>$960,000</w:t>
            </w:r>
          </w:p>
        </w:tc>
        <w:tc>
          <w:tcPr>
            <w:tcW w:type="dxa" w:w="1949"/>
            <w:vAlign w:val="center"/>
          </w:tcPr>
          <w:p>
            <w:pPr>
              <w:spacing w:line="276" w:lineRule="auto" w:before="0" w:after="0"/>
            </w:pPr>
            <w:r/>
            <w:r>
              <w:rPr>
                <w:rFonts w:ascii="Figtree" w:hAnsi="Figtree"/>
                <w:b w:val="0"/>
                <w:i w:val="0"/>
                <w:sz w:val="20"/>
              </w:rPr>
              <w:t>$960,000</w:t>
            </w:r>
          </w:p>
        </w:tc>
        <w:tc>
          <w:tcPr>
            <w:tcW w:type="dxa" w:w="1949"/>
            <w:vAlign w:val="center"/>
          </w:tcPr>
          <w:p>
            <w:pPr>
              <w:spacing w:line="276" w:lineRule="auto" w:before="0" w:after="0"/>
            </w:pPr>
            <w:r/>
            <w:r>
              <w:rPr>
                <w:rFonts w:ascii="Figtree" w:hAnsi="Figtree"/>
                <w:b w:val="0"/>
                <w:i w:val="0"/>
                <w:sz w:val="20"/>
              </w:rPr>
              <w:t>$960,000</w:t>
            </w:r>
          </w:p>
        </w:tc>
        <w:tc>
          <w:tcPr>
            <w:tcW w:type="dxa" w:w="1949"/>
            <w:vAlign w:val="center"/>
          </w:tcPr>
          <w:p>
            <w:pPr>
              <w:spacing w:line="276" w:lineRule="auto" w:before="0" w:after="0"/>
            </w:pPr>
            <w:r/>
            <w:r>
              <w:rPr>
                <w:rFonts w:ascii="Figtree" w:hAnsi="Figtree"/>
                <w:b w:val="0"/>
                <w:i w:val="0"/>
                <w:sz w:val="20"/>
              </w:rPr>
              <w:t>$2,880,000</w:t>
            </w:r>
          </w:p>
        </w:tc>
      </w:tr>
      <w:tr>
        <w:trPr>
          <w:trHeight w:val="425" w:hRule="atLeast"/>
        </w:trPr>
        <w:tc>
          <w:tcPr>
            <w:tcW w:type="dxa" w:w="1949"/>
            <w:vAlign w:val="center"/>
          </w:tcPr>
          <w:p>
            <w:pPr>
              <w:spacing w:line="276" w:lineRule="auto" w:before="0" w:after="0"/>
            </w:pPr>
            <w:r/>
            <w:r>
              <w:rPr>
                <w:rFonts w:ascii="Figtree" w:hAnsi="Figtree"/>
                <w:b w:val="0"/>
                <w:i w:val="0"/>
                <w:sz w:val="20"/>
              </w:rPr>
              <w:t>Security audit and certification (ISO 27001 + SOC 2)</w:t>
            </w:r>
          </w:p>
        </w:tc>
        <w:tc>
          <w:tcPr>
            <w:tcW w:type="dxa" w:w="1949"/>
            <w:vAlign w:val="center"/>
          </w:tcPr>
          <w:p>
            <w:pPr>
              <w:spacing w:line="276" w:lineRule="auto" w:before="0" w:after="0"/>
            </w:pPr>
            <w:r/>
            <w:r>
              <w:rPr>
                <w:rFonts w:ascii="Figtree" w:hAnsi="Figtree"/>
                <w:b w:val="0"/>
                <w:i w:val="0"/>
                <w:sz w:val="20"/>
              </w:rPr>
              <w:t>$200,000</w:t>
            </w:r>
          </w:p>
        </w:tc>
        <w:tc>
          <w:tcPr>
            <w:tcW w:type="dxa" w:w="1949"/>
            <w:vAlign w:val="center"/>
          </w:tcPr>
          <w:p>
            <w:pPr>
              <w:spacing w:line="276" w:lineRule="auto" w:before="0" w:after="0"/>
            </w:pPr>
            <w:r/>
            <w:r>
              <w:rPr>
                <w:rFonts w:ascii="Figtree" w:hAnsi="Figtree"/>
                <w:b w:val="0"/>
                <w:i w:val="0"/>
                <w:sz w:val="20"/>
              </w:rPr>
              <w:t>$50,000</w:t>
            </w:r>
          </w:p>
        </w:tc>
        <w:tc>
          <w:tcPr>
            <w:tcW w:type="dxa" w:w="1949"/>
            <w:vAlign w:val="center"/>
          </w:tcPr>
          <w:p>
            <w:pPr>
              <w:spacing w:line="276" w:lineRule="auto" w:before="0" w:after="0"/>
            </w:pPr>
            <w:r/>
            <w:r>
              <w:rPr>
                <w:rFonts w:ascii="Figtree" w:hAnsi="Figtree"/>
                <w:b w:val="0"/>
                <w:i w:val="0"/>
                <w:sz w:val="20"/>
              </w:rPr>
              <w:t>$50,000</w:t>
            </w:r>
          </w:p>
        </w:tc>
        <w:tc>
          <w:tcPr>
            <w:tcW w:type="dxa" w:w="1949"/>
            <w:vAlign w:val="center"/>
          </w:tcPr>
          <w:p>
            <w:pPr>
              <w:spacing w:line="276" w:lineRule="auto" w:before="0" w:after="0"/>
            </w:pPr>
            <w:r/>
            <w:r>
              <w:rPr>
                <w:rFonts w:ascii="Figtree" w:hAnsi="Figtree"/>
                <w:b w:val="0"/>
                <w:i w:val="0"/>
                <w:sz w:val="20"/>
              </w:rPr>
              <w:t>$300,000</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w:t>
            </w:r>
          </w:p>
        </w:tc>
        <w:tc>
          <w:tcPr>
            <w:tcW w:type="dxa" w:w="1949"/>
            <w:vAlign w:val="center"/>
          </w:tcPr>
          <w:p>
            <w:pPr>
              <w:spacing w:line="276" w:lineRule="auto" w:before="0" w:after="0"/>
            </w:pPr>
            <w:r/>
            <w:r>
              <w:rPr>
                <w:rFonts w:ascii="Figtree" w:hAnsi="Figtree"/>
                <w:b w:val="0"/>
                <w:i w:val="0"/>
                <w:sz w:val="20"/>
              </w:rPr>
              <w:t>$80,000</w:t>
            </w:r>
          </w:p>
        </w:tc>
        <w:tc>
          <w:tcPr>
            <w:tcW w:type="dxa" w:w="1949"/>
            <w:vAlign w:val="center"/>
          </w:tcPr>
          <w:p>
            <w:pPr>
              <w:spacing w:line="276" w:lineRule="auto" w:before="0" w:after="0"/>
            </w:pPr>
            <w:r/>
            <w:r>
              <w:rPr>
                <w:rFonts w:ascii="Figtree" w:hAnsi="Figtree"/>
                <w:b w:val="0"/>
                <w:i w:val="0"/>
                <w:sz w:val="20"/>
              </w:rPr>
              <w:t>$80,000</w:t>
            </w:r>
          </w:p>
        </w:tc>
        <w:tc>
          <w:tcPr>
            <w:tcW w:type="dxa" w:w="1949"/>
            <w:vAlign w:val="center"/>
          </w:tcPr>
          <w:p>
            <w:pPr>
              <w:spacing w:line="276" w:lineRule="auto" w:before="0" w:after="0"/>
            </w:pPr>
            <w:r/>
            <w:r>
              <w:rPr>
                <w:rFonts w:ascii="Figtree" w:hAnsi="Figtree"/>
                <w:b w:val="0"/>
                <w:i w:val="0"/>
                <w:sz w:val="20"/>
              </w:rPr>
              <w:t>$80,000</w:t>
            </w:r>
          </w:p>
        </w:tc>
        <w:tc>
          <w:tcPr>
            <w:tcW w:type="dxa" w:w="1949"/>
            <w:vAlign w:val="center"/>
          </w:tcPr>
          <w:p>
            <w:pPr>
              <w:spacing w:line="276" w:lineRule="auto" w:before="0" w:after="0"/>
            </w:pPr>
            <w:r/>
            <w:r>
              <w:rPr>
                <w:rFonts w:ascii="Figtree" w:hAnsi="Figtree"/>
                <w:b w:val="0"/>
                <w:i w:val="0"/>
                <w:sz w:val="20"/>
              </w:rPr>
              <w:t>$240,000</w:t>
            </w:r>
          </w:p>
        </w:tc>
      </w:tr>
      <w:tr>
        <w:trPr>
          <w:trHeight w:val="425" w:hRule="atLeast"/>
        </w:trPr>
        <w:tc>
          <w:tcPr>
            <w:tcW w:type="dxa" w:w="1949"/>
            <w:vAlign w:val="center"/>
          </w:tcPr>
          <w:p>
            <w:pPr>
              <w:spacing w:line="276" w:lineRule="auto" w:before="0" w:after="0"/>
            </w:pPr>
            <w:r/>
            <w:r>
              <w:rPr>
                <w:rFonts w:ascii="Figtree" w:hAnsi="Figtree"/>
                <w:b w:val="0"/>
                <w:i w:val="0"/>
                <w:sz w:val="20"/>
              </w:rPr>
              <w:t>Third-party components (custody, identity, compliance data)</w:t>
            </w:r>
          </w:p>
        </w:tc>
        <w:tc>
          <w:tcPr>
            <w:tcW w:type="dxa" w:w="1949"/>
            <w:vAlign w:val="center"/>
          </w:tcPr>
          <w:p>
            <w:pPr>
              <w:spacing w:line="276" w:lineRule="auto" w:before="0" w:after="0"/>
            </w:pPr>
            <w:r/>
            <w:r>
              <w:rPr>
                <w:rFonts w:ascii="Figtree" w:hAnsi="Figtree"/>
                <w:b w:val="0"/>
                <w:i w:val="0"/>
                <w:sz w:val="20"/>
              </w:rPr>
              <w:t>$150,000</w:t>
            </w:r>
          </w:p>
        </w:tc>
        <w:tc>
          <w:tcPr>
            <w:tcW w:type="dxa" w:w="1949"/>
            <w:vAlign w:val="center"/>
          </w:tcPr>
          <w:p>
            <w:pPr>
              <w:spacing w:line="276" w:lineRule="auto" w:before="0" w:after="0"/>
            </w:pPr>
            <w:r/>
            <w:r>
              <w:rPr>
                <w:rFonts w:ascii="Figtree" w:hAnsi="Figtree"/>
                <w:b w:val="0"/>
                <w:i w:val="0"/>
                <w:sz w:val="20"/>
              </w:rPr>
              <w:t>$150,000</w:t>
            </w:r>
          </w:p>
        </w:tc>
        <w:tc>
          <w:tcPr>
            <w:tcW w:type="dxa" w:w="1949"/>
            <w:vAlign w:val="center"/>
          </w:tcPr>
          <w:p>
            <w:pPr>
              <w:spacing w:line="276" w:lineRule="auto" w:before="0" w:after="0"/>
            </w:pPr>
            <w:r/>
            <w:r>
              <w:rPr>
                <w:rFonts w:ascii="Figtree" w:hAnsi="Figtree"/>
                <w:b w:val="0"/>
                <w:i w:val="0"/>
                <w:sz w:val="20"/>
              </w:rPr>
              <w:t>$150,000</w:t>
            </w:r>
          </w:p>
        </w:tc>
        <w:tc>
          <w:tcPr>
            <w:tcW w:type="dxa" w:w="1949"/>
            <w:vAlign w:val="center"/>
          </w:tcPr>
          <w:p>
            <w:pPr>
              <w:spacing w:line="276" w:lineRule="auto" w:before="0" w:after="0"/>
            </w:pPr>
            <w:r/>
            <w:r>
              <w:rPr>
                <w:rFonts w:ascii="Figtree" w:hAnsi="Figtree"/>
                <w:b w:val="0"/>
                <w:i w:val="0"/>
                <w:sz w:val="20"/>
              </w:rPr>
              <w:t>$450,000</w:t>
            </w:r>
          </w:p>
        </w:tc>
      </w:tr>
      <w:tr>
        <w:trPr>
          <w:trHeight w:val="425" w:hRule="atLeast"/>
        </w:trPr>
        <w:tc>
          <w:tcPr>
            <w:tcW w:type="dxa" w:w="1949"/>
            <w:vAlign w:val="center"/>
          </w:tcPr>
          <w:p>
            <w:pPr>
              <w:spacing w:line="276" w:lineRule="auto" w:before="0" w:after="0"/>
            </w:pPr>
            <w:r/>
            <w:r>
              <w:rPr>
                <w:rFonts w:ascii="Figtree" w:hAnsi="Figtree"/>
                <w:b/>
                <w:i w:val="0"/>
                <w:sz w:val="20"/>
              </w:rPr>
              <w:t>Total</w:t>
            </w:r>
          </w:p>
        </w:tc>
        <w:tc>
          <w:tcPr>
            <w:tcW w:type="dxa" w:w="1949"/>
            <w:vAlign w:val="center"/>
          </w:tcPr>
          <w:p>
            <w:pPr>
              <w:spacing w:line="276" w:lineRule="auto" w:before="0" w:after="0"/>
            </w:pPr>
            <w:r/>
            <w:r>
              <w:rPr>
                <w:rFonts w:ascii="Figtree" w:hAnsi="Figtree"/>
                <w:b/>
                <w:i w:val="0"/>
                <w:sz w:val="20"/>
              </w:rPr>
              <w:t>$1,390,000</w:t>
            </w:r>
          </w:p>
        </w:tc>
        <w:tc>
          <w:tcPr>
            <w:tcW w:type="dxa" w:w="1949"/>
            <w:vAlign w:val="center"/>
          </w:tcPr>
          <w:p>
            <w:pPr>
              <w:spacing w:line="276" w:lineRule="auto" w:before="0" w:after="0"/>
            </w:pPr>
            <w:r/>
            <w:r>
              <w:rPr>
                <w:rFonts w:ascii="Figtree" w:hAnsi="Figtree"/>
                <w:b/>
                <w:i w:val="0"/>
                <w:sz w:val="20"/>
              </w:rPr>
              <w:t>$1,240,000</w:t>
            </w:r>
          </w:p>
        </w:tc>
        <w:tc>
          <w:tcPr>
            <w:tcW w:type="dxa" w:w="1949"/>
            <w:vAlign w:val="center"/>
          </w:tcPr>
          <w:p>
            <w:pPr>
              <w:spacing w:line="276" w:lineRule="auto" w:before="0" w:after="0"/>
            </w:pPr>
            <w:r/>
            <w:r>
              <w:rPr>
                <w:rFonts w:ascii="Figtree" w:hAnsi="Figtree"/>
                <w:b/>
                <w:i w:val="0"/>
                <w:sz w:val="20"/>
              </w:rPr>
              <w:t>$1,240,000</w:t>
            </w:r>
          </w:p>
        </w:tc>
        <w:tc>
          <w:tcPr>
            <w:tcW w:type="dxa" w:w="1949"/>
            <w:vAlign w:val="center"/>
          </w:tcPr>
          <w:p>
            <w:pPr>
              <w:spacing w:line="276" w:lineRule="auto" w:before="0" w:after="0"/>
            </w:pPr>
            <w:r/>
            <w:r>
              <w:rPr>
                <w:rFonts w:ascii="Figtree" w:hAnsi="Figtree"/>
                <w:b/>
                <w:i w:val="0"/>
                <w:sz w:val="20"/>
              </w:rPr>
              <w:t>$3,870,000</w:t>
            </w:r>
          </w:p>
        </w:tc>
      </w:tr>
    </w:tbl>
    <w:p>
      <w:pPr>
        <w:spacing w:before="0" w:after="0" w:line="120" w:lineRule="exact"/>
      </w:pPr>
    </w:p>
    <w:p>
      <w:r>
        <w:rPr>
          <w:rFonts w:ascii="Figtree" w:hAnsi="Figtree"/>
          <w:b w:val="0"/>
          <w:i/>
          <w:sz w:val="22"/>
        </w:rPr>
        <w:t>Note: Internal build also delays time-to-production by 18-24 months, meaning Flutterwave would be operating without the tokenized settlement layer for an additional two years of operational overhead.</w:t>
      </w:r>
    </w:p>
    <w:p>
      <w:pPr>
        <w:pStyle w:val="H3"/>
        <w:numPr>
          <w:ilvl w:val="2"/>
          <w:numId w:val="1"/>
        </w:numPr>
      </w:pPr>
      <w:r>
        <w:t>Comparative Analysis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17"/>
        <w:gridCol w:w="2352"/>
        <w:gridCol w:w="2083"/>
        <w:gridCol w:w="2419"/>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Internal Build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Multi-Vendor Assembly</w:t>
            </w:r>
          </w:p>
        </w:tc>
      </w:tr>
      <w:tr>
        <w:trPr>
          <w:trHeight w:val="425" w:hRule="atLeast"/>
        </w:trPr>
        <w:tc>
          <w:tcPr>
            <w:tcW w:type="dxa" w:w="2436"/>
            <w:vAlign w:val="center"/>
          </w:tcPr>
          <w:p>
            <w:pPr>
              <w:spacing w:line="276" w:lineRule="auto" w:before="0" w:after="0"/>
            </w:pPr>
            <w:r/>
            <w:r>
              <w:rPr>
                <w:rFonts w:ascii="Figtree" w:hAnsi="Figtree"/>
                <w:b w:val="0"/>
                <w:i w:val="0"/>
                <w:sz w:val="20"/>
              </w:rPr>
              <w:t>3-year total cost</w:t>
            </w:r>
          </w:p>
        </w:tc>
        <w:tc>
          <w:tcPr>
            <w:tcW w:type="dxa" w:w="2436"/>
            <w:vAlign w:val="center"/>
          </w:tcPr>
          <w:p>
            <w:pPr>
              <w:spacing w:line="276" w:lineRule="auto" w:before="0" w:after="0"/>
            </w:pPr>
            <w:r/>
            <w:r>
              <w:rPr>
                <w:rFonts w:ascii="Figtree" w:hAnsi="Figtree"/>
                <w:b w:val="0"/>
                <w:i w:val="0"/>
                <w:sz w:val="20"/>
              </w:rPr>
              <w:t>~$1.7M</w:t>
            </w:r>
          </w:p>
        </w:tc>
        <w:tc>
          <w:tcPr>
            <w:tcW w:type="dxa" w:w="2436"/>
            <w:vAlign w:val="center"/>
          </w:tcPr>
          <w:p>
            <w:pPr>
              <w:spacing w:line="276" w:lineRule="auto" w:before="0" w:after="0"/>
            </w:pPr>
            <w:r/>
            <w:r>
              <w:rPr>
                <w:rFonts w:ascii="Figtree" w:hAnsi="Figtree"/>
                <w:b w:val="0"/>
                <w:i w:val="0"/>
                <w:sz w:val="20"/>
              </w:rPr>
              <w:t>~$3.9M</w:t>
            </w:r>
          </w:p>
        </w:tc>
        <w:tc>
          <w:tcPr>
            <w:tcW w:type="dxa" w:w="2436"/>
            <w:vAlign w:val="center"/>
          </w:tcPr>
          <w:p>
            <w:pPr>
              <w:spacing w:line="276" w:lineRule="auto" w:before="0" w:after="0"/>
            </w:pPr>
            <w:r/>
            <w:r>
              <w:rPr>
                <w:rFonts w:ascii="Figtree" w:hAnsi="Figtree"/>
                <w:b w:val="0"/>
                <w:i w:val="0"/>
                <w:sz w:val="20"/>
              </w:rPr>
              <w:t>~$2.8M (estimated)</w:t>
            </w:r>
          </w:p>
        </w:tc>
      </w:tr>
      <w:tr>
        <w:trPr>
          <w:trHeight w:val="425" w:hRule="atLeast"/>
        </w:trPr>
        <w:tc>
          <w:tcPr>
            <w:tcW w:type="dxa" w:w="2436"/>
            <w:vAlign w:val="center"/>
          </w:tcPr>
          <w:p>
            <w:pPr>
              <w:spacing w:line="276" w:lineRule="auto" w:before="0" w:after="0"/>
            </w:pPr>
            <w:r/>
            <w:r>
              <w:rPr>
                <w:rFonts w:ascii="Figtree" w:hAnsi="Figtree"/>
                <w:b w:val="0"/>
                <w:i w:val="0"/>
                <w:sz w:val="20"/>
              </w:rPr>
              <w:t>Time to first production corridor</w:t>
            </w:r>
          </w:p>
        </w:tc>
        <w:tc>
          <w:tcPr>
            <w:tcW w:type="dxa" w:w="2436"/>
            <w:vAlign w:val="center"/>
          </w:tcPr>
          <w:p>
            <w:pPr>
              <w:spacing w:line="276" w:lineRule="auto" w:before="0" w:after="0"/>
            </w:pPr>
            <w:r/>
            <w:r>
              <w:rPr>
                <w:rFonts w:ascii="Figtree" w:hAnsi="Figtree"/>
                <w:b w:val="0"/>
                <w:i w:val="0"/>
                <w:sz w:val="20"/>
              </w:rPr>
              <w:t>24 weeks</w:t>
            </w:r>
          </w:p>
        </w:tc>
        <w:tc>
          <w:tcPr>
            <w:tcW w:type="dxa" w:w="2436"/>
            <w:vAlign w:val="center"/>
          </w:tcPr>
          <w:p>
            <w:pPr>
              <w:spacing w:line="276" w:lineRule="auto" w:before="0" w:after="0"/>
            </w:pPr>
            <w:r/>
            <w:r>
              <w:rPr>
                <w:rFonts w:ascii="Figtree" w:hAnsi="Figtree"/>
                <w:b w:val="0"/>
                <w:i w:val="0"/>
                <w:sz w:val="20"/>
              </w:rPr>
              <w:t>18-24 months</w:t>
            </w:r>
          </w:p>
        </w:tc>
        <w:tc>
          <w:tcPr>
            <w:tcW w:type="dxa" w:w="2436"/>
            <w:vAlign w:val="center"/>
          </w:tcPr>
          <w:p>
            <w:pPr>
              <w:spacing w:line="276" w:lineRule="auto" w:before="0" w:after="0"/>
            </w:pPr>
            <w:r/>
            <w:r>
              <w:rPr>
                <w:rFonts w:ascii="Figtree" w:hAnsi="Figtree"/>
                <w:b w:val="0"/>
                <w:i w:val="0"/>
                <w:sz w:val="20"/>
              </w:rPr>
              <w:t>12-18 months (estimated)</w:t>
            </w:r>
          </w:p>
        </w:tc>
      </w:tr>
      <w:tr>
        <w:trPr>
          <w:trHeight w:val="425" w:hRule="atLeast"/>
        </w:trPr>
        <w:tc>
          <w:tcPr>
            <w:tcW w:type="dxa" w:w="2436"/>
            <w:vAlign w:val="center"/>
          </w:tcPr>
          <w:p>
            <w:pPr>
              <w:spacing w:line="276" w:lineRule="auto" w:before="0" w:after="0"/>
            </w:pPr>
            <w:r/>
            <w:r>
              <w:rPr>
                <w:rFonts w:ascii="Figtree" w:hAnsi="Figtree"/>
                <w:b w:val="0"/>
                <w:i w:val="0"/>
                <w:sz w:val="20"/>
              </w:rPr>
              <w:t>Compliance certifications</w:t>
            </w:r>
          </w:p>
        </w:tc>
        <w:tc>
          <w:tcPr>
            <w:tcW w:type="dxa" w:w="2436"/>
            <w:vAlign w:val="center"/>
          </w:tcPr>
          <w:p>
            <w:pPr>
              <w:spacing w:line="276" w:lineRule="auto" w:before="0" w:after="0"/>
            </w:pPr>
            <w:r/>
            <w:r>
              <w:rPr>
                <w:rFonts w:ascii="Figtree" w:hAnsi="Figtree"/>
                <w:b w:val="0"/>
                <w:i w:val="0"/>
                <w:sz w:val="20"/>
              </w:rPr>
              <w:t>ISO 27001, SOC 2 Type II (existing)</w:t>
            </w:r>
          </w:p>
        </w:tc>
        <w:tc>
          <w:tcPr>
            <w:tcW w:type="dxa" w:w="2436"/>
            <w:vAlign w:val="center"/>
          </w:tcPr>
          <w:p>
            <w:pPr>
              <w:spacing w:line="276" w:lineRule="auto" w:before="0" w:after="0"/>
            </w:pPr>
            <w:r/>
            <w:r>
              <w:rPr>
                <w:rFonts w:ascii="Figtree" w:hAnsi="Figtree"/>
                <w:b w:val="0"/>
                <w:i w:val="0"/>
                <w:sz w:val="20"/>
              </w:rPr>
              <w:t>Must be built and certified</w:t>
            </w:r>
          </w:p>
        </w:tc>
        <w:tc>
          <w:tcPr>
            <w:tcW w:type="dxa" w:w="2436"/>
            <w:vAlign w:val="center"/>
          </w:tcPr>
          <w:p>
            <w:pPr>
              <w:spacing w:line="276" w:lineRule="auto" w:before="0" w:after="0"/>
            </w:pPr>
            <w:r/>
            <w:r>
              <w:rPr>
                <w:rFonts w:ascii="Figtree" w:hAnsi="Figtree"/>
                <w:b w:val="0"/>
                <w:i w:val="0"/>
                <w:sz w:val="20"/>
              </w:rPr>
              <w:t>Shared responsibility gaps</w:t>
            </w:r>
          </w:p>
        </w:tc>
      </w:tr>
      <w:tr>
        <w:trPr>
          <w:trHeight w:val="425" w:hRule="atLeast"/>
        </w:trPr>
        <w:tc>
          <w:tcPr>
            <w:tcW w:type="dxa" w:w="2436"/>
            <w:vAlign w:val="center"/>
          </w:tcPr>
          <w:p>
            <w:pPr>
              <w:spacing w:line="276" w:lineRule="auto" w:before="0" w:after="0"/>
            </w:pPr>
            <w:r/>
            <w:r>
              <w:rPr>
                <w:rFonts w:ascii="Figtree" w:hAnsi="Figtree"/>
                <w:b w:val="0"/>
                <w:i w:val="0"/>
                <w:sz w:val="20"/>
              </w:rPr>
              <w:t>Operational fragmentation</w:t>
            </w:r>
          </w:p>
        </w:tc>
        <w:tc>
          <w:tcPr>
            <w:tcW w:type="dxa" w:w="2436"/>
            <w:vAlign w:val="center"/>
          </w:tcPr>
          <w:p>
            <w:pPr>
              <w:spacing w:line="276" w:lineRule="auto" w:before="0" w:after="0"/>
            </w:pPr>
            <w:r/>
            <w:r>
              <w:rPr>
                <w:rFonts w:ascii="Figtree" w:hAnsi="Figtree"/>
                <w:b w:val="0"/>
                <w:i w:val="0"/>
                <w:sz w:val="20"/>
              </w:rPr>
              <w:t>Single platform</w:t>
            </w:r>
          </w:p>
        </w:tc>
        <w:tc>
          <w:tcPr>
            <w:tcW w:type="dxa" w:w="2436"/>
            <w:vAlign w:val="center"/>
          </w:tcPr>
          <w:p>
            <w:pPr>
              <w:spacing w:line="276" w:lineRule="auto" w:before="0" w:after="0"/>
            </w:pPr>
            <w:r/>
            <w:r>
              <w:rPr>
                <w:rFonts w:ascii="Figtree" w:hAnsi="Figtree"/>
                <w:b w:val="0"/>
                <w:i w:val="0"/>
                <w:sz w:val="20"/>
              </w:rPr>
              <w:t>Single but requires maintenance</w:t>
            </w:r>
          </w:p>
        </w:tc>
        <w:tc>
          <w:tcPr>
            <w:tcW w:type="dxa" w:w="2436"/>
            <w:vAlign w:val="center"/>
          </w:tcPr>
          <w:p>
            <w:pPr>
              <w:spacing w:line="276" w:lineRule="auto" w:before="0" w:after="0"/>
            </w:pPr>
            <w:r/>
            <w:r>
              <w:rPr>
                <w:rFonts w:ascii="Figtree" w:hAnsi="Figtree"/>
                <w:b w:val="0"/>
                <w:i w:val="0"/>
                <w:sz w:val="20"/>
              </w:rPr>
              <w:t>High (4+ vendor SLAs)</w:t>
            </w:r>
          </w:p>
        </w:tc>
      </w:tr>
      <w:tr>
        <w:trPr>
          <w:trHeight w:val="425" w:hRule="atLeast"/>
        </w:trPr>
        <w:tc>
          <w:tcPr>
            <w:tcW w:type="dxa" w:w="2436"/>
            <w:vAlign w:val="center"/>
          </w:tcPr>
          <w:p>
            <w:pPr>
              <w:spacing w:line="276" w:lineRule="auto" w:before="0" w:after="0"/>
            </w:pPr>
            <w:r/>
            <w:r>
              <w:rPr>
                <w:rFonts w:ascii="Figtree" w:hAnsi="Figtree"/>
                <w:b w:val="0"/>
                <w:i w:val="0"/>
                <w:sz w:val="20"/>
              </w:rPr>
              <w:t>Audit trail quality</w:t>
            </w:r>
          </w:p>
        </w:tc>
        <w:tc>
          <w:tcPr>
            <w:tcW w:type="dxa" w:w="2436"/>
            <w:vAlign w:val="center"/>
          </w:tcPr>
          <w:p>
            <w:pPr>
              <w:spacing w:line="276" w:lineRule="auto" w:before="0" w:after="0"/>
            </w:pPr>
            <w:r/>
            <w:r>
              <w:rPr>
                <w:rFonts w:ascii="Figtree" w:hAnsi="Figtree"/>
                <w:b w:val="0"/>
                <w:i w:val="0"/>
                <w:sz w:val="20"/>
              </w:rPr>
              <w:t>On-chain, immutable, single source</w:t>
            </w:r>
          </w:p>
        </w:tc>
        <w:tc>
          <w:tcPr>
            <w:tcW w:type="dxa" w:w="2436"/>
            <w:vAlign w:val="center"/>
          </w:tcPr>
          <w:p>
            <w:pPr>
              <w:spacing w:line="276" w:lineRule="auto" w:before="0" w:after="0"/>
            </w:pPr>
            <w:r/>
            <w:r>
              <w:rPr>
                <w:rFonts w:ascii="Figtree" w:hAnsi="Figtree"/>
                <w:b w:val="0"/>
                <w:i w:val="0"/>
                <w:sz w:val="20"/>
              </w:rPr>
              <w:t>Depends on build quality</w:t>
            </w:r>
          </w:p>
        </w:tc>
        <w:tc>
          <w:tcPr>
            <w:tcW w:type="dxa" w:w="2436"/>
            <w:vAlign w:val="center"/>
          </w:tcPr>
          <w:p>
            <w:pPr>
              <w:spacing w:line="276" w:lineRule="auto" w:before="0" w:after="0"/>
            </w:pPr>
            <w:r/>
            <w:r>
              <w:rPr>
                <w:rFonts w:ascii="Figtree" w:hAnsi="Figtree"/>
                <w:b w:val="0"/>
                <w:i w:val="0"/>
                <w:sz w:val="20"/>
              </w:rPr>
              <w:t>Cross-vendor reconciliation required</w:t>
            </w:r>
          </w:p>
        </w:tc>
      </w:tr>
      <w:tr>
        <w:trPr>
          <w:trHeight w:val="425" w:hRule="atLeast"/>
        </w:trPr>
        <w:tc>
          <w:tcPr>
            <w:tcW w:type="dxa" w:w="2436"/>
            <w:vAlign w:val="center"/>
          </w:tcPr>
          <w:p>
            <w:pPr>
              <w:spacing w:line="276" w:lineRule="auto" w:before="0" w:after="0"/>
            </w:pPr>
            <w:r/>
            <w:r>
              <w:rPr>
                <w:rFonts w:ascii="Figtree" w:hAnsi="Figtree"/>
                <w:b w:val="0"/>
                <w:i w:val="0"/>
                <w:sz w:val="20"/>
              </w:rPr>
              <w:t>Regulatory evidence production</w:t>
            </w:r>
          </w:p>
        </w:tc>
        <w:tc>
          <w:tcPr>
            <w:tcW w:type="dxa" w:w="2436"/>
            <w:vAlign w:val="center"/>
          </w:tcPr>
          <w:p>
            <w:pPr>
              <w:spacing w:line="276" w:lineRule="auto" w:before="0" w:after="0"/>
            </w:pPr>
            <w:r/>
            <w:r>
              <w:rPr>
                <w:rFonts w:ascii="Figtree" w:hAnsi="Figtree"/>
                <w:b w:val="0"/>
                <w:i w:val="0"/>
                <w:sz w:val="20"/>
              </w:rPr>
              <w:t>API-accessible, on-demand</w:t>
            </w:r>
          </w:p>
        </w:tc>
        <w:tc>
          <w:tcPr>
            <w:tcW w:type="dxa" w:w="2436"/>
            <w:vAlign w:val="center"/>
          </w:tcPr>
          <w:p>
            <w:pPr>
              <w:spacing w:line="276" w:lineRule="auto" w:before="0" w:after="0"/>
            </w:pPr>
            <w:r/>
            <w:r>
              <w:rPr>
                <w:rFonts w:ascii="Figtree" w:hAnsi="Figtree"/>
                <w:b w:val="0"/>
                <w:i w:val="0"/>
                <w:sz w:val="20"/>
              </w:rPr>
              <w:t>Depends on build quality</w:t>
            </w:r>
          </w:p>
        </w:tc>
        <w:tc>
          <w:tcPr>
            <w:tcW w:type="dxa" w:w="2436"/>
            <w:vAlign w:val="center"/>
          </w:tcPr>
          <w:p>
            <w:pPr>
              <w:spacing w:line="276" w:lineRule="auto" w:before="0" w:after="0"/>
            </w:pPr>
            <w:r/>
            <w:r>
              <w:rPr>
                <w:rFonts w:ascii="Figtree" w:hAnsi="Figtree"/>
                <w:b w:val="0"/>
                <w:i w:val="0"/>
                <w:sz w:val="20"/>
              </w:rPr>
              <w:t>Complex multi-system export</w:t>
            </w:r>
          </w:p>
        </w:tc>
      </w:tr>
    </w:tbl>
    <w:p>
      <w:pPr>
        <w:spacing w:before="0" w:after="0" w:line="120" w:lineRule="exact"/>
      </w:pPr>
    </w:p>
    <w:p>
      <w:r>
        <w:rPr>
          <w:rFonts w:ascii="Figtree" w:hAnsi="Figtree"/>
          <w:b w:val="0"/>
          <w:i w:val="0"/>
          <w:sz w:val="22"/>
        </w:rPr>
        <w:t>DALP delivers equivalent functionality at approximately 44% of the 3-year cost of internal build, with production capability available in 6 months rather than 18-24 months.</w:t>
      </w:r>
    </w:p>
    <w:p>
      <w:r>
        <w:br w:type="page"/>
      </w:r>
    </w:p>
    <w:p>
      <w:pPr>
        <w:pStyle w:val="H2"/>
        <w:numPr>
          <w:ilvl w:val="1"/>
          <w:numId w:val="1"/>
        </w:numPr>
      </w:pPr>
      <w:r>
        <w:t>Payment Terms and Commercial Structure</w:t>
      </w:r>
    </w:p>
    <w:p>
      <w:pPr>
        <w:pStyle w:val="H3"/>
        <w:numPr>
          <w:ilvl w:val="2"/>
          <w:numId w:val="1"/>
        </w:numPr>
      </w:pPr>
      <w:r>
        <w:t>Payment Schedule: Platform License</w:t>
      </w:r>
    </w:p>
    <w:p>
      <w:r>
        <w:rPr>
          <w:rFonts w:ascii="Figtree" w:hAnsi="Figtree"/>
          <w:b w:val="0"/>
          <w:i w:val="0"/>
          <w:sz w:val="22"/>
        </w:rPr>
        <w:t>Platform license is invoiced annually in advance, with the first annual invoice issued upon contract execution. For multi-year agreements, a 5% discount applies to years 2 and 3 if committed at contract signature.</w:t>
      </w:r>
    </w:p>
    <w:p>
      <w:pPr>
        <w:pStyle w:val="H3"/>
        <w:numPr>
          <w:ilvl w:val="2"/>
          <w:numId w:val="1"/>
        </w:numPr>
      </w:pPr>
      <w:r>
        <w:t>Payment Schedule: Implementation</w:t>
      </w:r>
    </w:p>
    <w:p>
      <w:r>
        <w:rPr>
          <w:rFonts w:ascii="Figtree" w:hAnsi="Figtree"/>
          <w:b w:val="0"/>
          <w:i w:val="0"/>
          <w:sz w:val="22"/>
        </w:rPr>
        <w:t>Implementation payments are milestone-based, aligned to phase gate completion and acceptance sign-off:</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536"/>
        <w:gridCol w:w="1764"/>
        <w:gridCol w:w="277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Milestone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Payment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Timing</w:t>
            </w:r>
          </w:p>
        </w:tc>
      </w:tr>
      <w:tr>
        <w:trPr>
          <w:trHeight w:val="425" w:hRule="atLeast"/>
        </w:trPr>
        <w:tc>
          <w:tcPr>
            <w:tcW w:type="dxa" w:w="3249"/>
            <w:vAlign w:val="center"/>
          </w:tcPr>
          <w:p>
            <w:pPr>
              <w:spacing w:line="276" w:lineRule="auto" w:before="0" w:after="0"/>
            </w:pPr>
            <w:r/>
            <w:r>
              <w:rPr>
                <w:rFonts w:ascii="Figtree" w:hAnsi="Figtree"/>
                <w:b w:val="0"/>
                <w:i w:val="0"/>
                <w:sz w:val="20"/>
              </w:rPr>
              <w:t>Contract execution</w:t>
            </w:r>
          </w:p>
        </w:tc>
        <w:tc>
          <w:tcPr>
            <w:tcW w:type="dxa" w:w="3249"/>
            <w:vAlign w:val="center"/>
          </w:tcPr>
          <w:p>
            <w:pPr>
              <w:spacing w:line="276" w:lineRule="auto" w:before="0" w:after="0"/>
            </w:pPr>
            <w:r/>
            <w:r>
              <w:rPr>
                <w:rFonts w:ascii="Figtree" w:hAnsi="Figtree"/>
                <w:b w:val="0"/>
                <w:i w:val="0"/>
                <w:sz w:val="20"/>
              </w:rPr>
              <w:t>25% ($95,000)</w:t>
            </w:r>
          </w:p>
        </w:tc>
        <w:tc>
          <w:tcPr>
            <w:tcW w:type="dxa" w:w="3249"/>
            <w:vAlign w:val="center"/>
          </w:tcPr>
          <w:p>
            <w:pPr>
              <w:spacing w:line="276" w:lineRule="auto" w:before="0" w:after="0"/>
            </w:pPr>
            <w:r/>
            <w:r>
              <w:rPr>
                <w:rFonts w:ascii="Figtree" w:hAnsi="Figtree"/>
                <w:b w:val="0"/>
                <w:i w:val="0"/>
                <w:sz w:val="20"/>
              </w:rPr>
              <w:t>Upon signature</w:t>
            </w:r>
          </w:p>
        </w:tc>
      </w:tr>
      <w:tr>
        <w:trPr>
          <w:trHeight w:val="425" w:hRule="atLeast"/>
        </w:trPr>
        <w:tc>
          <w:tcPr>
            <w:tcW w:type="dxa" w:w="3249"/>
            <w:vAlign w:val="center"/>
          </w:tcPr>
          <w:p>
            <w:pPr>
              <w:spacing w:line="276" w:lineRule="auto" w:before="0" w:after="0"/>
            </w:pPr>
            <w:r/>
            <w:r>
              <w:rPr>
                <w:rFonts w:ascii="Figtree" w:hAnsi="Figtree"/>
                <w:b w:val="0"/>
                <w:i w:val="0"/>
                <w:sz w:val="20"/>
              </w:rPr>
              <w:t>Phase 2 gate (environments ready)</w:t>
            </w:r>
          </w:p>
        </w:tc>
        <w:tc>
          <w:tcPr>
            <w:tcW w:type="dxa" w:w="3249"/>
            <w:vAlign w:val="center"/>
          </w:tcPr>
          <w:p>
            <w:pPr>
              <w:spacing w:line="276" w:lineRule="auto" w:before="0" w:after="0"/>
            </w:pPr>
            <w:r/>
            <w:r>
              <w:rPr>
                <w:rFonts w:ascii="Figtree" w:hAnsi="Figtree"/>
                <w:b w:val="0"/>
                <w:i w:val="0"/>
                <w:sz w:val="20"/>
              </w:rPr>
              <w:t>20% ($76,000)</w:t>
            </w:r>
          </w:p>
        </w:tc>
        <w:tc>
          <w:tcPr>
            <w:tcW w:type="dxa" w:w="3249"/>
            <w:vAlign w:val="center"/>
          </w:tcPr>
          <w:p>
            <w:pPr>
              <w:spacing w:line="276" w:lineRule="auto" w:before="0" w:after="0"/>
            </w:pPr>
            <w:r/>
            <w:r>
              <w:rPr>
                <w:rFonts w:ascii="Figtree" w:hAnsi="Figtree"/>
                <w:b w:val="0"/>
                <w:i w:val="0"/>
                <w:sz w:val="20"/>
              </w:rPr>
              <w:t>Upon gate sign-off</w:t>
            </w:r>
          </w:p>
        </w:tc>
      </w:tr>
      <w:tr>
        <w:trPr>
          <w:trHeight w:val="425" w:hRule="atLeast"/>
        </w:trPr>
        <w:tc>
          <w:tcPr>
            <w:tcW w:type="dxa" w:w="3249"/>
            <w:vAlign w:val="center"/>
          </w:tcPr>
          <w:p>
            <w:pPr>
              <w:spacing w:line="276" w:lineRule="auto" w:before="0" w:after="0"/>
            </w:pPr>
            <w:r/>
            <w:r>
              <w:rPr>
                <w:rFonts w:ascii="Figtree" w:hAnsi="Figtree"/>
                <w:b w:val="0"/>
                <w:i w:val="0"/>
                <w:sz w:val="20"/>
              </w:rPr>
              <w:t>Phase 4 gate (integrations complete)</w:t>
            </w:r>
          </w:p>
        </w:tc>
        <w:tc>
          <w:tcPr>
            <w:tcW w:type="dxa" w:w="3249"/>
            <w:vAlign w:val="center"/>
          </w:tcPr>
          <w:p>
            <w:pPr>
              <w:spacing w:line="276" w:lineRule="auto" w:before="0" w:after="0"/>
            </w:pPr>
            <w:r/>
            <w:r>
              <w:rPr>
                <w:rFonts w:ascii="Figtree" w:hAnsi="Figtree"/>
                <w:b w:val="0"/>
                <w:i w:val="0"/>
                <w:sz w:val="20"/>
              </w:rPr>
              <w:t>30% ($114,000)</w:t>
            </w:r>
          </w:p>
        </w:tc>
        <w:tc>
          <w:tcPr>
            <w:tcW w:type="dxa" w:w="3249"/>
            <w:vAlign w:val="center"/>
          </w:tcPr>
          <w:p>
            <w:pPr>
              <w:spacing w:line="276" w:lineRule="auto" w:before="0" w:after="0"/>
            </w:pPr>
            <w:r/>
            <w:r>
              <w:rPr>
                <w:rFonts w:ascii="Figtree" w:hAnsi="Figtree"/>
                <w:b w:val="0"/>
                <w:i w:val="0"/>
                <w:sz w:val="20"/>
              </w:rPr>
              <w:t>Upon gate sign-off</w:t>
            </w:r>
          </w:p>
        </w:tc>
      </w:tr>
      <w:tr>
        <w:trPr>
          <w:trHeight w:val="425" w:hRule="atLeast"/>
        </w:trPr>
        <w:tc>
          <w:tcPr>
            <w:tcW w:type="dxa" w:w="3249"/>
            <w:vAlign w:val="center"/>
          </w:tcPr>
          <w:p>
            <w:pPr>
              <w:spacing w:line="276" w:lineRule="auto" w:before="0" w:after="0"/>
            </w:pPr>
            <w:r/>
            <w:r>
              <w:rPr>
                <w:rFonts w:ascii="Figtree" w:hAnsi="Figtree"/>
                <w:b w:val="0"/>
                <w:i w:val="0"/>
                <w:sz w:val="20"/>
              </w:rPr>
              <w:t>Phase 6 gate (production go-live)</w:t>
            </w:r>
          </w:p>
        </w:tc>
        <w:tc>
          <w:tcPr>
            <w:tcW w:type="dxa" w:w="3249"/>
            <w:vAlign w:val="center"/>
          </w:tcPr>
          <w:p>
            <w:pPr>
              <w:spacing w:line="276" w:lineRule="auto" w:before="0" w:after="0"/>
            </w:pPr>
            <w:r/>
            <w:r>
              <w:rPr>
                <w:rFonts w:ascii="Figtree" w:hAnsi="Figtree"/>
                <w:b w:val="0"/>
                <w:i w:val="0"/>
                <w:sz w:val="20"/>
              </w:rPr>
              <w:t>25% ($95,000)</w:t>
            </w:r>
          </w:p>
        </w:tc>
        <w:tc>
          <w:tcPr>
            <w:tcW w:type="dxa" w:w="3249"/>
            <w:vAlign w:val="center"/>
          </w:tcPr>
          <w:p>
            <w:pPr>
              <w:spacing w:line="276" w:lineRule="auto" w:before="0" w:after="0"/>
            </w:pPr>
            <w:r/>
            <w:r>
              <w:rPr>
                <w:rFonts w:ascii="Figtree" w:hAnsi="Figtree"/>
                <w:b w:val="0"/>
                <w:i w:val="0"/>
                <w:sz w:val="20"/>
              </w:rPr>
              <w:t>Upon production launch</w:t>
            </w:r>
          </w:p>
        </w:tc>
      </w:tr>
    </w:tbl>
    <w:p>
      <w:pPr>
        <w:spacing w:before="0" w:after="0" w:line="120" w:lineRule="exact"/>
      </w:pPr>
    </w:p>
    <w:p>
      <w:pPr>
        <w:pStyle w:val="H3"/>
        <w:numPr>
          <w:ilvl w:val="2"/>
          <w:numId w:val="1"/>
        </w:numPr>
      </w:pPr>
      <w:r>
        <w:t>Payment Terms</w:t>
      </w:r>
    </w:p>
    <w:p>
      <w:r>
        <w:rPr>
          <w:rFonts w:ascii="Figtree" w:hAnsi="Figtree"/>
          <w:b w:val="0"/>
          <w:i w:val="0"/>
          <w:sz w:val="22"/>
        </w:rPr>
        <w:t>Net 30 days from invoice date. Invoices are issued in USD. Wire transfer or bank transfer preferred. Late payment interest at 1.5% per month on overdue balances after 45-day grace period.</w:t>
      </w:r>
    </w:p>
    <w:p>
      <w:pPr>
        <w:pStyle w:val="H3"/>
        <w:numPr>
          <w:ilvl w:val="2"/>
          <w:numId w:val="1"/>
        </w:numPr>
      </w:pPr>
      <w:r>
        <w:t>Contract Duration</w:t>
      </w:r>
    </w:p>
    <w:p>
      <w:r>
        <w:rPr>
          <w:rFonts w:ascii="Figtree" w:hAnsi="Figtree"/>
          <w:b w:val="0"/>
          <w:i w:val="0"/>
          <w:sz w:val="22"/>
        </w:rPr>
        <w:t>Initial term: 3 years from production go-live date. Renewal: automatic annual renewal unless either party provides 90-day written notice before renewal date. Early termination for convenience: 6-month notice, no refund of prepaid subscription fees. Early termination for cause (material breach uncured after 30-day notice): immediate with pro-rata refund of prepaid fees.</w:t>
      </w:r>
    </w:p>
    <w:p>
      <w:r>
        <w:br w:type="page"/>
      </w:r>
    </w:p>
    <w:p>
      <w:pPr>
        <w:pStyle w:val="H2"/>
        <w:numPr>
          <w:ilvl w:val="1"/>
          <w:numId w:val="1"/>
        </w:numPr>
      </w:pPr>
      <w:r>
        <w:t>Value Realisation and ROI Analysis</w:t>
      </w:r>
    </w:p>
    <w:p>
      <w:pPr>
        <w:pStyle w:val="H3"/>
        <w:numPr>
          <w:ilvl w:val="2"/>
          <w:numId w:val="1"/>
        </w:numPr>
      </w:pPr>
      <w:r>
        <w:t>Value Driver Framework</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14"/>
        <w:gridCol w:w="4673"/>
        <w:gridCol w:w="258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Value Driver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Mechanism</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Estimated Annual Benefit</w:t>
            </w:r>
          </w:p>
        </w:tc>
      </w:tr>
      <w:tr>
        <w:trPr>
          <w:trHeight w:val="425" w:hRule="atLeast"/>
        </w:trPr>
        <w:tc>
          <w:tcPr>
            <w:tcW w:type="dxa" w:w="3249"/>
            <w:vAlign w:val="center"/>
          </w:tcPr>
          <w:p>
            <w:pPr>
              <w:spacing w:line="276" w:lineRule="auto" w:before="0" w:after="0"/>
            </w:pPr>
            <w:r/>
            <w:r>
              <w:rPr>
                <w:rFonts w:ascii="Figtree" w:hAnsi="Figtree"/>
                <w:b w:val="0"/>
                <w:i w:val="0"/>
                <w:sz w:val="20"/>
              </w:rPr>
              <w:t>Reconciliation labour reduction</w:t>
            </w:r>
          </w:p>
        </w:tc>
        <w:tc>
          <w:tcPr>
            <w:tcW w:type="dxa" w:w="3249"/>
            <w:vAlign w:val="center"/>
          </w:tcPr>
          <w:p>
            <w:pPr>
              <w:spacing w:line="276" w:lineRule="auto" w:before="0" w:after="0"/>
            </w:pPr>
            <w:r/>
            <w:r>
              <w:rPr>
                <w:rFonts w:ascii="Figtree" w:hAnsi="Figtree"/>
                <w:b w:val="0"/>
                <w:i w:val="0"/>
                <w:sz w:val="20"/>
              </w:rPr>
              <w:t>Automated on-chain event feeds eliminate manual matching for on-chain settlement legs</w:t>
            </w:r>
          </w:p>
        </w:tc>
        <w:tc>
          <w:tcPr>
            <w:tcW w:type="dxa" w:w="3249"/>
            <w:vAlign w:val="center"/>
          </w:tcPr>
          <w:p>
            <w:pPr>
              <w:spacing w:line="276" w:lineRule="auto" w:before="0" w:after="0"/>
            </w:pPr>
            <w:r/>
            <w:r>
              <w:rPr>
                <w:rFonts w:ascii="Figtree" w:hAnsi="Figtree"/>
                <w:b w:val="0"/>
                <w:i w:val="0"/>
                <w:sz w:val="20"/>
              </w:rPr>
              <w:t>$150,000-$300,000</w:t>
            </w:r>
          </w:p>
        </w:tc>
      </w:tr>
      <w:tr>
        <w:trPr>
          <w:trHeight w:val="425" w:hRule="atLeast"/>
        </w:trPr>
        <w:tc>
          <w:tcPr>
            <w:tcW w:type="dxa" w:w="3249"/>
            <w:vAlign w:val="center"/>
          </w:tcPr>
          <w:p>
            <w:pPr>
              <w:spacing w:line="276" w:lineRule="auto" w:before="0" w:after="0"/>
            </w:pPr>
            <w:r/>
            <w:r>
              <w:rPr>
                <w:rFonts w:ascii="Figtree" w:hAnsi="Figtree"/>
                <w:b w:val="0"/>
                <w:i w:val="0"/>
                <w:sz w:val="20"/>
              </w:rPr>
              <w:t>Compliance evidence assembly</w:t>
            </w:r>
          </w:p>
        </w:tc>
        <w:tc>
          <w:tcPr>
            <w:tcW w:type="dxa" w:w="3249"/>
            <w:vAlign w:val="center"/>
          </w:tcPr>
          <w:p>
            <w:pPr>
              <w:spacing w:line="276" w:lineRule="auto" w:before="0" w:after="0"/>
            </w:pPr>
            <w:r/>
            <w:r>
              <w:rPr>
                <w:rFonts w:ascii="Figtree" w:hAnsi="Figtree"/>
                <w:b w:val="0"/>
                <w:i w:val="0"/>
                <w:sz w:val="20"/>
              </w:rPr>
              <w:t>On-demand API export replaces manual reconstruction for regulatory requests</w:t>
            </w:r>
          </w:p>
        </w:tc>
        <w:tc>
          <w:tcPr>
            <w:tcW w:type="dxa" w:w="3249"/>
            <w:vAlign w:val="center"/>
          </w:tcPr>
          <w:p>
            <w:pPr>
              <w:spacing w:line="276" w:lineRule="auto" w:before="0" w:after="0"/>
            </w:pPr>
            <w:r/>
            <w:r>
              <w:rPr>
                <w:rFonts w:ascii="Figtree" w:hAnsi="Figtree"/>
                <w:b w:val="0"/>
                <w:i w:val="0"/>
                <w:sz w:val="20"/>
              </w:rPr>
              <w:t>$50,000-$100,000</w:t>
            </w:r>
          </w:p>
        </w:tc>
      </w:tr>
      <w:tr>
        <w:trPr>
          <w:trHeight w:val="425" w:hRule="atLeast"/>
        </w:trPr>
        <w:tc>
          <w:tcPr>
            <w:tcW w:type="dxa" w:w="3249"/>
            <w:vAlign w:val="center"/>
          </w:tcPr>
          <w:p>
            <w:pPr>
              <w:spacing w:line="276" w:lineRule="auto" w:before="0" w:after="0"/>
            </w:pPr>
            <w:r/>
            <w:r>
              <w:rPr>
                <w:rFonts w:ascii="Figtree" w:hAnsi="Figtree"/>
                <w:b w:val="0"/>
                <w:i w:val="0"/>
                <w:sz w:val="20"/>
              </w:rPr>
              <w:t>Settlement failure rate reduction</w:t>
            </w:r>
          </w:p>
        </w:tc>
        <w:tc>
          <w:tcPr>
            <w:tcW w:type="dxa" w:w="3249"/>
            <w:vAlign w:val="center"/>
          </w:tcPr>
          <w:p>
            <w:pPr>
              <w:spacing w:line="276" w:lineRule="auto" w:before="0" w:after="0"/>
            </w:pPr>
            <w:r/>
            <w:r>
              <w:rPr>
                <w:rFonts w:ascii="Figtree" w:hAnsi="Figtree"/>
                <w:b w:val="0"/>
                <w:i w:val="0"/>
                <w:sz w:val="20"/>
              </w:rPr>
              <w:t>Durable execution and atomic settlement reduce failed settlement incidents</w:t>
            </w:r>
          </w:p>
        </w:tc>
        <w:tc>
          <w:tcPr>
            <w:tcW w:type="dxa" w:w="3249"/>
            <w:vAlign w:val="center"/>
          </w:tcPr>
          <w:p>
            <w:pPr>
              <w:spacing w:line="276" w:lineRule="auto" w:before="0" w:after="0"/>
            </w:pPr>
            <w:r/>
            <w:r>
              <w:rPr>
                <w:rFonts w:ascii="Figtree" w:hAnsi="Figtree"/>
                <w:b w:val="0"/>
                <w:i w:val="0"/>
                <w:sz w:val="20"/>
              </w:rPr>
              <w:t>$80,000-$200,000</w:t>
            </w:r>
          </w:p>
        </w:tc>
      </w:tr>
      <w:tr>
        <w:trPr>
          <w:trHeight w:val="425" w:hRule="atLeast"/>
        </w:trPr>
        <w:tc>
          <w:tcPr>
            <w:tcW w:type="dxa" w:w="3249"/>
            <w:vAlign w:val="center"/>
          </w:tcPr>
          <w:p>
            <w:pPr>
              <w:spacing w:line="276" w:lineRule="auto" w:before="0" w:after="0"/>
            </w:pPr>
            <w:r/>
            <w:r>
              <w:rPr>
                <w:rFonts w:ascii="Figtree" w:hAnsi="Figtree"/>
                <w:b w:val="0"/>
                <w:i w:val="0"/>
                <w:sz w:val="20"/>
              </w:rPr>
              <w:t>Corridor expansion enablement</w:t>
            </w:r>
          </w:p>
        </w:tc>
        <w:tc>
          <w:tcPr>
            <w:tcW w:type="dxa" w:w="3249"/>
            <w:vAlign w:val="center"/>
          </w:tcPr>
          <w:p>
            <w:pPr>
              <w:spacing w:line="276" w:lineRule="auto" w:before="0" w:after="0"/>
            </w:pPr>
            <w:r/>
            <w:r>
              <w:rPr>
                <w:rFonts w:ascii="Figtree" w:hAnsi="Figtree"/>
                <w:b w:val="0"/>
                <w:i w:val="0"/>
                <w:sz w:val="20"/>
              </w:rPr>
              <w:t>New corridors deployable in days, not months</w:t>
            </w:r>
          </w:p>
        </w:tc>
        <w:tc>
          <w:tcPr>
            <w:tcW w:type="dxa" w:w="3249"/>
            <w:vAlign w:val="center"/>
          </w:tcPr>
          <w:p>
            <w:pPr>
              <w:spacing w:line="276" w:lineRule="auto" w:before="0" w:after="0"/>
            </w:pPr>
            <w:r/>
            <w:r>
              <w:rPr>
                <w:rFonts w:ascii="Figtree" w:hAnsi="Figtree"/>
                <w:b w:val="0"/>
                <w:i w:val="0"/>
                <w:sz w:val="20"/>
              </w:rPr>
              <w:t>Revenue upside (unquantified at proposal stage)</w:t>
            </w:r>
          </w:p>
        </w:tc>
      </w:tr>
      <w:tr>
        <w:trPr>
          <w:trHeight w:val="425" w:hRule="atLeast"/>
        </w:trPr>
        <w:tc>
          <w:tcPr>
            <w:tcW w:type="dxa" w:w="3249"/>
            <w:vAlign w:val="center"/>
          </w:tcPr>
          <w:p>
            <w:pPr>
              <w:spacing w:line="276" w:lineRule="auto" w:before="0" w:after="0"/>
            </w:pPr>
            <w:r/>
            <w:r>
              <w:rPr>
                <w:rFonts w:ascii="Figtree" w:hAnsi="Figtree"/>
                <w:b w:val="0"/>
                <w:i w:val="0"/>
                <w:sz w:val="20"/>
              </w:rPr>
              <w:t>Prefunding optimisation</w:t>
            </w:r>
          </w:p>
        </w:tc>
        <w:tc>
          <w:tcPr>
            <w:tcW w:type="dxa" w:w="3249"/>
            <w:vAlign w:val="center"/>
          </w:tcPr>
          <w:p>
            <w:pPr>
              <w:spacing w:line="276" w:lineRule="auto" w:before="0" w:after="0"/>
            </w:pPr>
            <w:r/>
            <w:r>
              <w:rPr>
                <w:rFonts w:ascii="Figtree" w:hAnsi="Figtree"/>
                <w:b w:val="0"/>
                <w:i w:val="0"/>
                <w:sz w:val="20"/>
              </w:rPr>
              <w:t>Precise position visibility enables reduced idle float</w:t>
            </w:r>
          </w:p>
        </w:tc>
        <w:tc>
          <w:tcPr>
            <w:tcW w:type="dxa" w:w="3249"/>
            <w:vAlign w:val="center"/>
          </w:tcPr>
          <w:p>
            <w:pPr>
              <w:spacing w:line="276" w:lineRule="auto" w:before="0" w:after="0"/>
            </w:pPr>
            <w:r/>
            <w:r>
              <w:rPr>
                <w:rFonts w:ascii="Figtree" w:hAnsi="Figtree"/>
                <w:b w:val="0"/>
                <w:i w:val="0"/>
                <w:sz w:val="20"/>
              </w:rPr>
              <w:t>$100,000-$500,000 (depends on float volumes)</w:t>
            </w:r>
          </w:p>
        </w:tc>
      </w:tr>
    </w:tbl>
    <w:p>
      <w:pPr>
        <w:spacing w:before="0" w:after="0" w:line="120" w:lineRule="exact"/>
      </w:pPr>
    </w:p>
    <w:p>
      <w:r>
        <w:rPr>
          <w:rFonts w:ascii="Figtree" w:hAnsi="Figtree"/>
          <w:b/>
          <w:i w:val="0"/>
          <w:sz w:val="22"/>
        </w:rPr>
        <w:t>Conservative annual benefit estimate: $380,000-$600,000</w:t>
      </w:r>
    </w:p>
    <w:p>
      <w:r>
        <w:rPr>
          <w:rFonts w:ascii="Figtree" w:hAnsi="Figtree"/>
          <w:b w:val="0"/>
          <w:i w:val="0"/>
          <w:sz w:val="22"/>
        </w:rPr>
        <w:t>At a 3-year TCO of approximately $1.7 million and conservative annual benefit of $380,000, the payback period is approximately 4.5 years on full-programme costs. Under the expected benefit scenario ($600,000/year), payback is approximately 2.8 years. The ROI case strengthens materially if prefunding optimisation benefits are significant (which is highly institution-specific and requires a workshop to quantify).</w:t>
      </w:r>
    </w:p>
    <w:p>
      <w:pPr>
        <w:pStyle w:val="H3"/>
        <w:numPr>
          <w:ilvl w:val="2"/>
          <w:numId w:val="1"/>
        </w:numPr>
      </w:pPr>
      <w:r>
        <w:t>Sensitivity Table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34"/>
        <w:gridCol w:w="2490"/>
        <w:gridCol w:w="1956"/>
        <w:gridCol w:w="2490"/>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Scenario</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Annual Benefit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3-Year Net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Payback Period</w:t>
            </w:r>
          </w:p>
        </w:tc>
      </w:tr>
      <w:tr>
        <w:trPr>
          <w:trHeight w:val="425" w:hRule="atLeast"/>
        </w:trPr>
        <w:tc>
          <w:tcPr>
            <w:tcW w:type="dxa" w:w="2436"/>
            <w:vAlign w:val="center"/>
          </w:tcPr>
          <w:p>
            <w:pPr>
              <w:spacing w:line="276" w:lineRule="auto" w:before="0" w:after="0"/>
            </w:pPr>
            <w:r/>
            <w:r>
              <w:rPr>
                <w:rFonts w:ascii="Figtree" w:hAnsi="Figtree"/>
                <w:b w:val="0"/>
                <w:i w:val="0"/>
                <w:sz w:val="20"/>
              </w:rPr>
              <w:t>Conservative</w:t>
            </w:r>
          </w:p>
        </w:tc>
        <w:tc>
          <w:tcPr>
            <w:tcW w:type="dxa" w:w="2436"/>
            <w:vAlign w:val="center"/>
          </w:tcPr>
          <w:p>
            <w:pPr>
              <w:spacing w:line="276" w:lineRule="auto" w:before="0" w:after="0"/>
            </w:pPr>
            <w:r/>
            <w:r>
              <w:rPr>
                <w:rFonts w:ascii="Figtree" w:hAnsi="Figtree"/>
                <w:b w:val="0"/>
                <w:i w:val="0"/>
                <w:sz w:val="20"/>
              </w:rPr>
              <w:t>$380,000</w:t>
            </w:r>
          </w:p>
        </w:tc>
        <w:tc>
          <w:tcPr>
            <w:tcW w:type="dxa" w:w="2436"/>
            <w:vAlign w:val="center"/>
          </w:tcPr>
          <w:p>
            <w:pPr>
              <w:spacing w:line="276" w:lineRule="auto" w:before="0" w:after="0"/>
            </w:pPr>
            <w:r/>
            <w:r>
              <w:rPr>
                <w:rFonts w:ascii="Figtree" w:hAnsi="Figtree"/>
                <w:b w:val="0"/>
                <w:i w:val="0"/>
                <w:sz w:val="20"/>
              </w:rPr>
              <w:t>-$560,000</w:t>
            </w:r>
          </w:p>
        </w:tc>
        <w:tc>
          <w:tcPr>
            <w:tcW w:type="dxa" w:w="2436"/>
            <w:vAlign w:val="center"/>
          </w:tcPr>
          <w:p>
            <w:pPr>
              <w:spacing w:line="276" w:lineRule="auto" w:before="0" w:after="0"/>
            </w:pPr>
            <w:r/>
            <w:r>
              <w:rPr>
                <w:rFonts w:ascii="Figtree" w:hAnsi="Figtree"/>
                <w:b w:val="0"/>
                <w:i w:val="0"/>
                <w:sz w:val="20"/>
              </w:rPr>
              <w:t>4.5 years</w:t>
            </w:r>
          </w:p>
        </w:tc>
      </w:tr>
      <w:tr>
        <w:trPr>
          <w:trHeight w:val="425" w:hRule="atLeast"/>
        </w:trPr>
        <w:tc>
          <w:tcPr>
            <w:tcW w:type="dxa" w:w="2436"/>
            <w:vAlign w:val="center"/>
          </w:tcPr>
          <w:p>
            <w:pPr>
              <w:spacing w:line="276" w:lineRule="auto" w:before="0" w:after="0"/>
            </w:pPr>
            <w:r/>
            <w:r>
              <w:rPr>
                <w:rFonts w:ascii="Figtree" w:hAnsi="Figtree"/>
                <w:b w:val="0"/>
                <w:i w:val="0"/>
                <w:sz w:val="20"/>
              </w:rPr>
              <w:t>Expected</w:t>
            </w:r>
          </w:p>
        </w:tc>
        <w:tc>
          <w:tcPr>
            <w:tcW w:type="dxa" w:w="2436"/>
            <w:vAlign w:val="center"/>
          </w:tcPr>
          <w:p>
            <w:pPr>
              <w:spacing w:line="276" w:lineRule="auto" w:before="0" w:after="0"/>
            </w:pPr>
            <w:r/>
            <w:r>
              <w:rPr>
                <w:rFonts w:ascii="Figtree" w:hAnsi="Figtree"/>
                <w:b w:val="0"/>
                <w:i w:val="0"/>
                <w:sz w:val="20"/>
              </w:rPr>
              <w:t>$600,000</w:t>
            </w:r>
          </w:p>
        </w:tc>
        <w:tc>
          <w:tcPr>
            <w:tcW w:type="dxa" w:w="2436"/>
            <w:vAlign w:val="center"/>
          </w:tcPr>
          <w:p>
            <w:pPr>
              <w:spacing w:line="276" w:lineRule="auto" w:before="0" w:after="0"/>
            </w:pPr>
            <w:r/>
            <w:r>
              <w:rPr>
                <w:rFonts w:ascii="Figtree" w:hAnsi="Figtree"/>
                <w:b w:val="0"/>
                <w:i w:val="0"/>
                <w:sz w:val="20"/>
              </w:rPr>
              <w:t>+$100,000</w:t>
            </w:r>
          </w:p>
        </w:tc>
        <w:tc>
          <w:tcPr>
            <w:tcW w:type="dxa" w:w="2436"/>
            <w:vAlign w:val="center"/>
          </w:tcPr>
          <w:p>
            <w:pPr>
              <w:spacing w:line="276" w:lineRule="auto" w:before="0" w:after="0"/>
            </w:pPr>
            <w:r/>
            <w:r>
              <w:rPr>
                <w:rFonts w:ascii="Figtree" w:hAnsi="Figtree"/>
                <w:b w:val="0"/>
                <w:i w:val="0"/>
                <w:sz w:val="20"/>
              </w:rPr>
              <w:t>2.8 years</w:t>
            </w:r>
          </w:p>
        </w:tc>
      </w:tr>
      <w:tr>
        <w:trPr>
          <w:trHeight w:val="425" w:hRule="atLeast"/>
        </w:trPr>
        <w:tc>
          <w:tcPr>
            <w:tcW w:type="dxa" w:w="2436"/>
            <w:vAlign w:val="center"/>
          </w:tcPr>
          <w:p>
            <w:pPr>
              <w:spacing w:line="276" w:lineRule="auto" w:before="0" w:after="0"/>
            </w:pPr>
            <w:r/>
            <w:r>
              <w:rPr>
                <w:rFonts w:ascii="Figtree" w:hAnsi="Figtree"/>
                <w:b w:val="0"/>
                <w:i w:val="0"/>
                <w:sz w:val="20"/>
              </w:rPr>
              <w:t>Upside</w:t>
            </w:r>
          </w:p>
        </w:tc>
        <w:tc>
          <w:tcPr>
            <w:tcW w:type="dxa" w:w="2436"/>
            <w:vAlign w:val="center"/>
          </w:tcPr>
          <w:p>
            <w:pPr>
              <w:spacing w:line="276" w:lineRule="auto" w:before="0" w:after="0"/>
            </w:pPr>
            <w:r/>
            <w:r>
              <w:rPr>
                <w:rFonts w:ascii="Figtree" w:hAnsi="Figtree"/>
                <w:b w:val="0"/>
                <w:i w:val="0"/>
                <w:sz w:val="20"/>
              </w:rPr>
              <w:t>$900,000</w:t>
            </w:r>
          </w:p>
        </w:tc>
        <w:tc>
          <w:tcPr>
            <w:tcW w:type="dxa" w:w="2436"/>
            <w:vAlign w:val="center"/>
          </w:tcPr>
          <w:p>
            <w:pPr>
              <w:spacing w:line="276" w:lineRule="auto" w:before="0" w:after="0"/>
            </w:pPr>
            <w:r/>
            <w:r>
              <w:rPr>
                <w:rFonts w:ascii="Figtree" w:hAnsi="Figtree"/>
                <w:b w:val="0"/>
                <w:i w:val="0"/>
                <w:sz w:val="20"/>
              </w:rPr>
              <w:t>+$1,000,000</w:t>
            </w:r>
          </w:p>
        </w:tc>
        <w:tc>
          <w:tcPr>
            <w:tcW w:type="dxa" w:w="2436"/>
            <w:vAlign w:val="center"/>
          </w:tcPr>
          <w:p>
            <w:pPr>
              <w:spacing w:line="276" w:lineRule="auto" w:before="0" w:after="0"/>
            </w:pPr>
            <w:r/>
            <w:r>
              <w:rPr>
                <w:rFonts w:ascii="Figtree" w:hAnsi="Figtree"/>
                <w:b w:val="0"/>
                <w:i w:val="0"/>
                <w:sz w:val="20"/>
              </w:rPr>
              <w:t>1.9 years</w:t>
            </w:r>
          </w:p>
        </w:tc>
      </w:tr>
    </w:tbl>
    <w:p>
      <w:pPr>
        <w:spacing w:before="0" w:after="0" w:line="120" w:lineRule="exact"/>
      </w:pPr>
    </w:p>
    <w:p>
      <w:r>
        <w:rPr>
          <w:rFonts w:ascii="Figtree" w:hAnsi="Figtree"/>
          <w:b w:val="0"/>
          <w:i w:val="0"/>
          <w:sz w:val="22"/>
        </w:rPr>
        <w:t>The ROI model can be refined in a value workshop using Flutterwave's actual reconciliation team costs, corridor failure rates, and regulatory evidence request frequency.</w:t>
      </w:r>
    </w:p>
    <w:p>
      <w:r>
        <w:br w:type="page"/>
      </w:r>
    </w:p>
    <w:p>
      <w:pPr>
        <w:pStyle w:val="H2"/>
        <w:numPr>
          <w:ilvl w:val="1"/>
          <w:numId w:val="1"/>
        </w:numPr>
      </w:pPr>
      <w:r>
        <w:t>Commercial Assumptions and Dependencies</w:t>
      </w:r>
    </w:p>
    <w:p>
      <w:r>
        <w:rPr>
          <w:rFonts w:ascii="Figtree" w:hAnsi="Figtree"/>
          <w:b w:val="0"/>
          <w:i w:val="0"/>
          <w:sz w:val="22"/>
        </w:rPr>
        <w:t>The following assumptions underpin this commercial proposal. Material changes to any assumption may require commercial renegotiation:</w:t>
      </w:r>
    </w:p>
    <w:p>
      <w:pPr>
        <w:pStyle w:val="ListParagraph"/>
        <w:numPr>
          <w:ilvl w:val="0"/>
          <w:numId w:val="4"/>
        </w:numPr>
      </w:pPr>
      <w:r>
        <w:rPr>
          <w:rFonts w:ascii="Figtree" w:hAnsi="Figtree"/>
          <w:b w:val="0"/>
          <w:i w:val="0"/>
          <w:sz w:val="22"/>
        </w:rPr>
        <w:t>Deployment on Flutterwave-managed private cloud (AWS, Azure, or GCP). On-premises or customer data centre deployment increases implementation cost by $40,000-$80,000.</w:t>
      </w:r>
    </w:p>
    <w:p>
      <w:pPr>
        <w:pStyle w:val="ListParagraph"/>
        <w:numPr>
          <w:ilvl w:val="0"/>
          <w:numId w:val="4"/>
        </w:numPr>
      </w:pPr>
      <w:r>
        <w:rPr>
          <w:rFonts w:ascii="Figtree" w:hAnsi="Figtree"/>
          <w:b w:val="0"/>
          <w:i w:val="0"/>
          <w:sz w:val="22"/>
        </w:rPr>
        <w:t>Up to 10 production corridors in the initial programme. Additional corridors beyond 10 require an expansion change order, estimated at $15,000-$25,000 per additional corridor group.</w:t>
      </w:r>
    </w:p>
    <w:p>
      <w:pPr>
        <w:pStyle w:val="ListParagraph"/>
        <w:numPr>
          <w:ilvl w:val="0"/>
          <w:numId w:val="4"/>
        </w:numPr>
      </w:pPr>
      <w:r>
        <w:rPr>
          <w:rFonts w:ascii="Figtree" w:hAnsi="Figtree"/>
          <w:b w:val="0"/>
          <w:i w:val="0"/>
          <w:sz w:val="22"/>
        </w:rPr>
        <w:t>Flutterwave provides dedicated integration engineers during Phases 3 and 4. External integration support can be provided at $1,500/day additional cost.</w:t>
      </w:r>
    </w:p>
    <w:p>
      <w:pPr>
        <w:pStyle w:val="ListParagraph"/>
        <w:numPr>
          <w:ilvl w:val="0"/>
          <w:numId w:val="4"/>
        </w:numPr>
      </w:pPr>
      <w:r>
        <w:rPr>
          <w:rFonts w:ascii="Figtree" w:hAnsi="Figtree"/>
          <w:b w:val="0"/>
          <w:i w:val="0"/>
          <w:sz w:val="22"/>
        </w:rPr>
        <w:t>Existing KYC/AML provider supports the trusted issuer API pattern for publishing identity claims. Custom KYC provider integration adds $20,000-$40,000 to implementation cost.</w:t>
      </w:r>
    </w:p>
    <w:p>
      <w:pPr>
        <w:pStyle w:val="ListParagraph"/>
        <w:numPr>
          <w:ilvl w:val="0"/>
          <w:numId w:val="4"/>
        </w:numPr>
      </w:pPr>
      <w:r>
        <w:rPr>
          <w:rFonts w:ascii="Figtree" w:hAnsi="Figtree"/>
          <w:b w:val="0"/>
          <w:i w:val="0"/>
          <w:sz w:val="22"/>
        </w:rPr>
        <w:t>CBN and partner-country regulatory approvals are Flutterwave's responsibility. Unexpected regulatory approval delays may extend implementation timeline without affecting fixed-price implementation commitment.</w:t>
      </w:r>
    </w:p>
    <w:p>
      <w:pPr>
        <w:pStyle w:val="ListParagraph"/>
        <w:numPr>
          <w:ilvl w:val="0"/>
          <w:numId w:val="4"/>
        </w:numPr>
      </w:pPr>
      <w:r>
        <w:rPr>
          <w:rFonts w:ascii="Figtree" w:hAnsi="Figtree"/>
          <w:b w:val="0"/>
          <w:i w:val="0"/>
          <w:sz w:val="22"/>
        </w:rPr>
        <w:t>Infrastructure provisioning is Flutterwave's responsibility. SettleMint provides specifications and support for infrastructure setup.</w:t>
      </w:r>
    </w:p>
    <w:p>
      <w:r>
        <w:br w:type="page"/>
      </w:r>
    </w:p>
    <w:p>
      <w:pPr>
        <w:pStyle w:val="H2"/>
        <w:numPr>
          <w:ilvl w:val="1"/>
          <w:numId w:val="1"/>
        </w:numPr>
      </w:pPr>
      <w:r>
        <w:t>Contractual Framework Overview</w:t>
      </w:r>
    </w:p>
    <w:p>
      <w:pPr>
        <w:pStyle w:val="H3"/>
        <w:numPr>
          <w:ilvl w:val="2"/>
          <w:numId w:val="1"/>
        </w:numPr>
      </w:pPr>
      <w:r>
        <w:t>Agreement Structure</w:t>
      </w:r>
    </w:p>
    <w:p>
      <w:r>
        <w:rPr>
          <w:rFonts w:ascii="Figtree" w:hAnsi="Figtree"/>
          <w:b w:val="0"/>
          <w:i w:val="0"/>
          <w:sz w:val="22"/>
        </w:rPr>
        <w:t>The commercial relationship is structured through two primary agreements: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48"/>
        <w:gridCol w:w="5384"/>
        <w:gridCol w:w="163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Agreement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Scope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r>
      <w:tr>
        <w:trPr>
          <w:trHeight w:val="425" w:hRule="atLeast"/>
        </w:trPr>
        <w:tc>
          <w:tcPr>
            <w:tcW w:type="dxa" w:w="3249"/>
            <w:vAlign w:val="center"/>
          </w:tcPr>
          <w:p>
            <w:pPr>
              <w:spacing w:line="276" w:lineRule="auto" w:before="0" w:after="0"/>
            </w:pPr>
            <w:r/>
            <w:r>
              <w:rPr>
                <w:rFonts w:ascii="Figtree" w:hAnsi="Figtree"/>
                <w:b w:val="0"/>
                <w:i w:val="0"/>
                <w:sz w:val="20"/>
              </w:rPr>
              <w:t>Master Subscription Agreement (MSA)</w:t>
            </w:r>
          </w:p>
        </w:tc>
        <w:tc>
          <w:tcPr>
            <w:tcW w:type="dxa" w:w="3249"/>
            <w:vAlign w:val="center"/>
          </w:tcPr>
          <w:p>
            <w:pPr>
              <w:spacing w:line="276" w:lineRule="auto" w:before="0" w:after="0"/>
            </w:pPr>
            <w:r/>
            <w:r>
              <w:rPr>
                <w:rFonts w:ascii="Figtree" w:hAnsi="Figtree"/>
                <w:b w:val="0"/>
                <w:i w:val="0"/>
                <w:sz w:val="20"/>
              </w:rPr>
              <w:t>Platform license, IP ownership, data handling, confidentiality, liability, governing law</w:t>
            </w:r>
          </w:p>
        </w:tc>
        <w:tc>
          <w:tcPr>
            <w:tcW w:type="dxa" w:w="3249"/>
            <w:vAlign w:val="center"/>
          </w:tcPr>
          <w:p>
            <w:pPr>
              <w:spacing w:line="276" w:lineRule="auto" w:before="0" w:after="0"/>
            </w:pPr>
            <w:r/>
            <w:r>
              <w:rPr>
                <w:rFonts w:ascii="Figtree" w:hAnsi="Figtree"/>
                <w:b w:val="0"/>
                <w:i w:val="0"/>
                <w:sz w:val="20"/>
              </w:rPr>
              <w:t>3-year initial term</w:t>
            </w:r>
          </w:p>
        </w:tc>
      </w:tr>
      <w:tr>
        <w:trPr>
          <w:trHeight w:val="425" w:hRule="atLeast"/>
        </w:trPr>
        <w:tc>
          <w:tcPr>
            <w:tcW w:type="dxa" w:w="3249"/>
            <w:vAlign w:val="center"/>
          </w:tcPr>
          <w:p>
            <w:pPr>
              <w:spacing w:line="276" w:lineRule="auto" w:before="0" w:after="0"/>
            </w:pPr>
            <w:r/>
            <w:r>
              <w:rPr>
                <w:rFonts w:ascii="Figtree" w:hAnsi="Figtree"/>
                <w:b w:val="0"/>
                <w:i w:val="0"/>
                <w:sz w:val="20"/>
              </w:rPr>
              <w:t>Statement of Work (SoW)</w:t>
            </w:r>
          </w:p>
        </w:tc>
        <w:tc>
          <w:tcPr>
            <w:tcW w:type="dxa" w:w="3249"/>
            <w:vAlign w:val="center"/>
          </w:tcPr>
          <w:p>
            <w:pPr>
              <w:spacing w:line="276" w:lineRule="auto" w:before="0" w:after="0"/>
            </w:pPr>
            <w:r/>
            <w:r>
              <w:rPr>
                <w:rFonts w:ascii="Figtree" w:hAnsi="Figtree"/>
                <w:b w:val="0"/>
                <w:i w:val="0"/>
                <w:sz w:val="20"/>
              </w:rPr>
              <w:t>Implementation services scope, deliverables, milestones, acceptance criteria, resource model</w:t>
            </w:r>
          </w:p>
        </w:tc>
        <w:tc>
          <w:tcPr>
            <w:tcW w:type="dxa" w:w="3249"/>
            <w:vAlign w:val="center"/>
          </w:tcPr>
          <w:p>
            <w:pPr>
              <w:spacing w:line="276" w:lineRule="auto" w:before="0" w:after="0"/>
            </w:pPr>
            <w:r/>
            <w:r>
              <w:rPr>
                <w:rFonts w:ascii="Figtree" w:hAnsi="Figtree"/>
                <w:b w:val="0"/>
                <w:i w:val="0"/>
                <w:sz w:val="20"/>
              </w:rPr>
              <w:t>Fixed-price, milestone-gated</w:t>
            </w:r>
          </w:p>
        </w:tc>
      </w:tr>
    </w:tbl>
    <w:p>
      <w:pPr>
        <w:spacing w:before="0" w:after="0" w:line="120" w:lineRule="exact"/>
      </w:pPr>
    </w:p>
    <w:p>
      <w:r>
        <w:rPr>
          <w:rFonts w:ascii="Figtree" w:hAnsi="Figtree"/>
          <w:b w:val="0"/>
          <w:i w:val="0"/>
          <w:sz w:val="22"/>
        </w:rPr>
        <w:t>Support terms are included in the MSA as an addendum, with the selected support tier specified at contract execution.</w:t>
      </w:r>
    </w:p>
    <w:p>
      <w:pPr>
        <w:pStyle w:val="H3"/>
        <w:numPr>
          <w:ilvl w:val="2"/>
          <w:numId w:val="1"/>
        </w:numPr>
      </w:pPr>
      <w:r>
        <w:t>Intellectual Property</w:t>
      </w:r>
    </w:p>
    <w:p>
      <w:r>
        <w:rPr>
          <w:rFonts w:ascii="Figtree" w:hAnsi="Figtree"/>
          <w:b w:val="0"/>
          <w:i w:val="0"/>
          <w:sz w:val="22"/>
        </w:rPr>
        <w:t>DALP platform IP (smart contracts, middleware, API, SDK, Asset Console) remains SettleMint's property. Flutterwave retains full ownership of: all client data, all on-chain token state and transaction history, all configuration and policy designs created during implementation, and all custom integration code written by Flutterwave's engineers using the DALP SDK. SettleMint does not retain any right to Flutterwave's operational data, transaction data, or business configuration.</w:t>
      </w:r>
    </w:p>
    <w:p>
      <w:pPr>
        <w:pStyle w:val="H3"/>
        <w:numPr>
          <w:ilvl w:val="2"/>
          <w:numId w:val="1"/>
        </w:numPr>
      </w:pPr>
      <w:r>
        <w:t>Liability</w:t>
      </w:r>
    </w:p>
    <w:p>
      <w:r>
        <w:rPr>
          <w:rFonts w:ascii="Figtree" w:hAnsi="Figtree"/>
          <w:b w:val="0"/>
          <w:i w:val="0"/>
          <w:sz w:val="22"/>
        </w:rPr>
        <w:t>Liability cap: 12 months of subscription fees paid in the preceding 12 months. Exclusions: gross negligence, wilful misconduct, IP indemnification claims, data breach caused by SettleMint's failure to maintain security standards. Mutual exclusion of consequential damages.</w:t>
      </w:r>
    </w:p>
    <w:p>
      <w:pPr>
        <w:pStyle w:val="H3"/>
        <w:numPr>
          <w:ilvl w:val="2"/>
          <w:numId w:val="1"/>
        </w:numPr>
      </w:pPr>
      <w:r>
        <w:t>Data Handling</w:t>
      </w:r>
    </w:p>
    <w:p>
      <w:r>
        <w:rPr>
          <w:rFonts w:ascii="Figtree" w:hAnsi="Figtree"/>
          <w:b w:val="0"/>
          <w:i w:val="0"/>
          <w:sz w:val="22"/>
        </w:rPr>
        <w:t>SettleMint acts as data processor for any personal data processed on Flutterwave's behalf within the platform. Data Processing Agreement (DPA) is a standard schedule to the MSA. Data residency is configurable and aligns to Flutterwave's NDPC Act 2023 and CBN obligations. SettleMint does not access Flutterwave's production data without Flutterwave's explicit authorisation except as required to provide support services.</w:t>
      </w:r>
    </w:p>
    <w:p>
      <w:pPr>
        <w:pStyle w:val="H3"/>
        <w:numPr>
          <w:ilvl w:val="2"/>
          <w:numId w:val="1"/>
        </w:numPr>
      </w:pPr>
      <w:r>
        <w:t>Source Code Escrow</w:t>
      </w:r>
    </w:p>
    <w:p>
      <w:r>
        <w:rPr>
          <w:rFonts w:ascii="Figtree" w:hAnsi="Figtree"/>
          <w:b w:val="0"/>
          <w:i w:val="0"/>
          <w:sz w:val="22"/>
        </w:rPr>
        <w:t>Source code escrow is available upon request as a negotiable addendum to the MSA. Escrow release triggers include SettleMint insolvency, material breach uncured after 60 days, and product discontinuation. Escrow is a separate commercial arrangement with the designated escrow provider.</w:t>
      </w:r>
    </w:p>
    <w:p>
      <w:r>
        <w:br w:type="page"/>
      </w:r>
    </w:p>
    <w:p>
      <w:pPr>
        <w:pStyle w:val="H2"/>
        <w:numPr>
          <w:ilvl w:val="1"/>
          <w:numId w:val="1"/>
        </w:numPr>
      </w:pPr>
      <w:r>
        <w:t>Appendix A: Detailed Pricing Schedule</w:t>
      </w:r>
    </w:p>
    <w:p>
      <w:pPr>
        <w:pStyle w:val="H3"/>
        <w:numPr>
          <w:ilvl w:val="2"/>
          <w:numId w:val="1"/>
        </w:numPr>
      </w:pPr>
      <w:r>
        <w:t>Annual Recurring Costs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432"/>
        <w:gridCol w:w="1961"/>
        <w:gridCol w:w="980"/>
        <w:gridCol w:w="1225"/>
        <w:gridCol w:w="1471"/>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Line Item</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Unit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Quantity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Unit Price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Annual Total</w:t>
            </w:r>
          </w:p>
        </w:tc>
      </w:tr>
      <w:tr>
        <w:trPr>
          <w:trHeight w:val="425" w:hRule="atLeast"/>
        </w:trPr>
        <w:tc>
          <w:tcPr>
            <w:tcW w:type="dxa" w:w="1949"/>
            <w:vAlign w:val="center"/>
          </w:tcPr>
          <w:p>
            <w:pPr>
              <w:spacing w:line="276" w:lineRule="auto" w:before="0" w:after="0"/>
            </w:pPr>
            <w:r/>
            <w:r>
              <w:rPr>
                <w:rFonts w:ascii="Figtree" w:hAnsi="Figtree"/>
                <w:b w:val="0"/>
                <w:i w:val="0"/>
                <w:sz w:val="20"/>
              </w:rPr>
              <w:t>DALP Enterprise Tier License</w:t>
            </w:r>
          </w:p>
        </w:tc>
        <w:tc>
          <w:tcPr>
            <w:tcW w:type="dxa" w:w="1949"/>
            <w:vAlign w:val="center"/>
          </w:tcPr>
          <w:p>
            <w:pPr>
              <w:spacing w:line="276" w:lineRule="auto" w:before="0" w:after="0"/>
            </w:pPr>
            <w:r/>
            <w:r>
              <w:rPr>
                <w:rFonts w:ascii="Figtree" w:hAnsi="Figtree"/>
                <w:b w:val="0"/>
                <w:i w:val="0"/>
                <w:sz w:val="20"/>
              </w:rPr>
              <w:t>Platform</w:t>
            </w:r>
          </w:p>
        </w:tc>
        <w:tc>
          <w:tcPr>
            <w:tcW w:type="dxa" w:w="1949"/>
            <w:vAlign w:val="center"/>
          </w:tcPr>
          <w:p>
            <w:pPr>
              <w:spacing w:line="276" w:lineRule="auto" w:before="0" w:after="0"/>
            </w:pPr>
            <w:r/>
            <w:r>
              <w:rPr>
                <w:rFonts w:ascii="Figtree" w:hAnsi="Figtree"/>
                <w:b w:val="0"/>
                <w:i w:val="0"/>
                <w:sz w:val="20"/>
              </w:rPr>
              <w:t>1</w:t>
            </w:r>
          </w:p>
        </w:tc>
        <w:tc>
          <w:tcPr>
            <w:tcW w:type="dxa" w:w="1949"/>
            <w:vAlign w:val="center"/>
          </w:tcPr>
          <w:p>
            <w:pPr>
              <w:spacing w:line="276" w:lineRule="auto" w:before="0" w:after="0"/>
            </w:pPr>
            <w:r/>
            <w:r>
              <w:rPr>
                <w:rFonts w:ascii="Figtree" w:hAnsi="Figtree"/>
                <w:b w:val="0"/>
                <w:i w:val="0"/>
                <w:sz w:val="20"/>
              </w:rPr>
              <w:t>$240,000</w:t>
            </w:r>
          </w:p>
        </w:tc>
        <w:tc>
          <w:tcPr>
            <w:tcW w:type="dxa" w:w="1949"/>
            <w:vAlign w:val="center"/>
          </w:tcPr>
          <w:p>
            <w:pPr>
              <w:spacing w:line="276" w:lineRule="auto" w:before="0" w:after="0"/>
            </w:pPr>
            <w:r/>
            <w:r>
              <w:rPr>
                <w:rFonts w:ascii="Figtree" w:hAnsi="Figtree"/>
                <w:b w:val="0"/>
                <w:i w:val="0"/>
                <w:sz w:val="20"/>
              </w:rPr>
              <w:t>$240,000</w:t>
            </w:r>
          </w:p>
        </w:tc>
      </w:tr>
      <w:tr>
        <w:trPr>
          <w:trHeight w:val="425" w:hRule="atLeast"/>
        </w:trPr>
        <w:tc>
          <w:tcPr>
            <w:tcW w:type="dxa" w:w="1949"/>
            <w:vAlign w:val="center"/>
          </w:tcPr>
          <w:p>
            <w:pPr>
              <w:spacing w:line="276" w:lineRule="auto" w:before="0" w:after="0"/>
            </w:pPr>
            <w:r/>
            <w:r>
              <w:rPr>
                <w:rFonts w:ascii="Figtree" w:hAnsi="Figtree"/>
                <w:b w:val="0"/>
                <w:i w:val="0"/>
                <w:sz w:val="20"/>
              </w:rPr>
              <w:t>Additional Environment (UAT)</w:t>
            </w:r>
          </w:p>
        </w:tc>
        <w:tc>
          <w:tcPr>
            <w:tcW w:type="dxa" w:w="1949"/>
            <w:vAlign w:val="center"/>
          </w:tcPr>
          <w:p>
            <w:pPr>
              <w:spacing w:line="276" w:lineRule="auto" w:before="0" w:after="0"/>
            </w:pPr>
            <w:r/>
            <w:r>
              <w:rPr>
                <w:rFonts w:ascii="Figtree" w:hAnsi="Figtree"/>
                <w:b w:val="0"/>
                <w:i w:val="0"/>
                <w:sz w:val="20"/>
              </w:rPr>
              <w:t>Environment/year</w:t>
            </w:r>
          </w:p>
        </w:tc>
        <w:tc>
          <w:tcPr>
            <w:tcW w:type="dxa" w:w="1949"/>
            <w:vAlign w:val="center"/>
          </w:tcPr>
          <w:p>
            <w:pPr>
              <w:spacing w:line="276" w:lineRule="auto" w:before="0" w:after="0"/>
            </w:pPr>
            <w:r/>
            <w:r>
              <w:rPr>
                <w:rFonts w:ascii="Figtree" w:hAnsi="Figtree"/>
                <w:b w:val="0"/>
                <w:i w:val="0"/>
                <w:sz w:val="20"/>
              </w:rPr>
              <w:t>1</w:t>
            </w:r>
          </w:p>
        </w:tc>
        <w:tc>
          <w:tcPr>
            <w:tcW w:type="dxa" w:w="1949"/>
            <w:vAlign w:val="center"/>
          </w:tcPr>
          <w:p>
            <w:pPr>
              <w:spacing w:line="276" w:lineRule="auto" w:before="0" w:after="0"/>
            </w:pPr>
            <w:r/>
            <w:r>
              <w:rPr>
                <w:rFonts w:ascii="Figtree" w:hAnsi="Figtree"/>
                <w:b w:val="0"/>
                <w:i w:val="0"/>
                <w:sz w:val="20"/>
              </w:rPr>
              <w:t>$25,000</w:t>
            </w:r>
          </w:p>
        </w:tc>
        <w:tc>
          <w:tcPr>
            <w:tcW w:type="dxa" w:w="1949"/>
            <w:vAlign w:val="center"/>
          </w:tcPr>
          <w:p>
            <w:pPr>
              <w:spacing w:line="276" w:lineRule="auto" w:before="0" w:after="0"/>
            </w:pPr>
            <w:r/>
            <w:r>
              <w:rPr>
                <w:rFonts w:ascii="Figtree" w:hAnsi="Figtree"/>
                <w:b w:val="0"/>
                <w:i w:val="0"/>
                <w:sz w:val="20"/>
              </w:rPr>
              <w:t>$25,000</w:t>
            </w:r>
          </w:p>
        </w:tc>
      </w:tr>
      <w:tr>
        <w:trPr>
          <w:trHeight w:val="425" w:hRule="atLeast"/>
        </w:trPr>
        <w:tc>
          <w:tcPr>
            <w:tcW w:type="dxa" w:w="1949"/>
            <w:vAlign w:val="center"/>
          </w:tcPr>
          <w:p>
            <w:pPr>
              <w:spacing w:line="276" w:lineRule="auto" w:before="0" w:after="0"/>
            </w:pPr>
            <w:r/>
            <w:r>
              <w:rPr>
                <w:rFonts w:ascii="Figtree" w:hAnsi="Figtree"/>
                <w:b w:val="0"/>
                <w:i w:val="0"/>
                <w:sz w:val="20"/>
              </w:rPr>
              <w:t>Additional Environment (DR)</w:t>
            </w:r>
          </w:p>
        </w:tc>
        <w:tc>
          <w:tcPr>
            <w:tcW w:type="dxa" w:w="1949"/>
            <w:vAlign w:val="center"/>
          </w:tcPr>
          <w:p>
            <w:pPr>
              <w:spacing w:line="276" w:lineRule="auto" w:before="0" w:after="0"/>
            </w:pPr>
            <w:r/>
            <w:r>
              <w:rPr>
                <w:rFonts w:ascii="Figtree" w:hAnsi="Figtree"/>
                <w:b w:val="0"/>
                <w:i w:val="0"/>
                <w:sz w:val="20"/>
              </w:rPr>
              <w:t>Environment/year</w:t>
            </w:r>
          </w:p>
        </w:tc>
        <w:tc>
          <w:tcPr>
            <w:tcW w:type="dxa" w:w="1949"/>
            <w:vAlign w:val="center"/>
          </w:tcPr>
          <w:p>
            <w:pPr>
              <w:spacing w:line="276" w:lineRule="auto" w:before="0" w:after="0"/>
            </w:pPr>
            <w:r/>
            <w:r>
              <w:rPr>
                <w:rFonts w:ascii="Figtree" w:hAnsi="Figtree"/>
                <w:b w:val="0"/>
                <w:i w:val="0"/>
                <w:sz w:val="20"/>
              </w:rPr>
              <w:t>1</w:t>
            </w:r>
          </w:p>
        </w:tc>
        <w:tc>
          <w:tcPr>
            <w:tcW w:type="dxa" w:w="1949"/>
            <w:vAlign w:val="center"/>
          </w:tcPr>
          <w:p>
            <w:pPr>
              <w:spacing w:line="276" w:lineRule="auto" w:before="0" w:after="0"/>
            </w:pPr>
            <w:r/>
            <w:r>
              <w:rPr>
                <w:rFonts w:ascii="Figtree" w:hAnsi="Figtree"/>
                <w:b w:val="0"/>
                <w:i w:val="0"/>
                <w:sz w:val="20"/>
              </w:rPr>
              <w:t>$25,000</w:t>
            </w:r>
          </w:p>
        </w:tc>
        <w:tc>
          <w:tcPr>
            <w:tcW w:type="dxa" w:w="1949"/>
            <w:vAlign w:val="center"/>
          </w:tcPr>
          <w:p>
            <w:pPr>
              <w:spacing w:line="276" w:lineRule="auto" w:before="0" w:after="0"/>
            </w:pPr>
            <w:r/>
            <w:r>
              <w:rPr>
                <w:rFonts w:ascii="Figtree" w:hAnsi="Figtree"/>
                <w:b w:val="0"/>
                <w:i w:val="0"/>
                <w:sz w:val="20"/>
              </w:rPr>
              <w:t>$25,000</w:t>
            </w:r>
          </w:p>
        </w:tc>
      </w:tr>
      <w:tr>
        <w:trPr>
          <w:trHeight w:val="425" w:hRule="atLeast"/>
        </w:trPr>
        <w:tc>
          <w:tcPr>
            <w:tcW w:type="dxa" w:w="1949"/>
            <w:vAlign w:val="center"/>
          </w:tcPr>
          <w:p>
            <w:pPr>
              <w:spacing w:line="276" w:lineRule="auto" w:before="0" w:after="0"/>
            </w:pPr>
            <w:r/>
            <w:r>
              <w:rPr>
                <w:rFonts w:ascii="Figtree" w:hAnsi="Figtree"/>
                <w:b w:val="0"/>
                <w:i w:val="0"/>
                <w:sz w:val="20"/>
              </w:rPr>
              <w:t>Premium Support</w:t>
            </w:r>
          </w:p>
        </w:tc>
        <w:tc>
          <w:tcPr>
            <w:tcW w:type="dxa" w:w="1949"/>
            <w:vAlign w:val="center"/>
          </w:tcPr>
          <w:p>
            <w:pPr>
              <w:spacing w:line="276" w:lineRule="auto" w:before="0" w:after="0"/>
            </w:pPr>
            <w:r/>
            <w:r>
              <w:rPr>
                <w:rFonts w:ascii="Figtree" w:hAnsi="Figtree"/>
                <w:b w:val="0"/>
                <w:i w:val="0"/>
                <w:sz w:val="20"/>
              </w:rPr>
              <w:t>Tier/year</w:t>
            </w:r>
          </w:p>
        </w:tc>
        <w:tc>
          <w:tcPr>
            <w:tcW w:type="dxa" w:w="1949"/>
            <w:vAlign w:val="center"/>
          </w:tcPr>
          <w:p>
            <w:pPr>
              <w:spacing w:line="276" w:lineRule="auto" w:before="0" w:after="0"/>
            </w:pPr>
            <w:r/>
            <w:r>
              <w:rPr>
                <w:rFonts w:ascii="Figtree" w:hAnsi="Figtree"/>
                <w:b w:val="0"/>
                <w:i w:val="0"/>
                <w:sz w:val="20"/>
              </w:rPr>
              <w:t>1</w:t>
            </w:r>
          </w:p>
        </w:tc>
        <w:tc>
          <w:tcPr>
            <w:tcW w:type="dxa" w:w="1949"/>
            <w:vAlign w:val="center"/>
          </w:tcPr>
          <w:p>
            <w:pPr>
              <w:spacing w:line="276" w:lineRule="auto" w:before="0" w:after="0"/>
            </w:pPr>
            <w:r/>
            <w:r>
              <w:rPr>
                <w:rFonts w:ascii="Figtree" w:hAnsi="Figtree"/>
                <w:b w:val="0"/>
                <w:i w:val="0"/>
                <w:sz w:val="20"/>
              </w:rPr>
              <w:t>$85,000</w:t>
            </w:r>
          </w:p>
        </w:tc>
        <w:tc>
          <w:tcPr>
            <w:tcW w:type="dxa" w:w="1949"/>
            <w:vAlign w:val="center"/>
          </w:tcPr>
          <w:p>
            <w:pPr>
              <w:spacing w:line="276" w:lineRule="auto" w:before="0" w:after="0"/>
            </w:pPr>
            <w:r/>
            <w:r>
              <w:rPr>
                <w:rFonts w:ascii="Figtree" w:hAnsi="Figtree"/>
                <w:b w:val="0"/>
                <w:i w:val="0"/>
                <w:sz w:val="20"/>
              </w:rPr>
              <w:t>$85,000</w:t>
            </w:r>
          </w:p>
        </w:tc>
      </w:tr>
      <w:tr>
        <w:trPr>
          <w:trHeight w:val="425" w:hRule="atLeast"/>
        </w:trPr>
        <w:tc>
          <w:tcPr>
            <w:tcW w:type="dxa" w:w="1949"/>
            <w:vAlign w:val="center"/>
          </w:tcPr>
          <w:p>
            <w:pPr>
              <w:spacing w:line="276" w:lineRule="auto" w:before="0" w:after="0"/>
            </w:pPr>
            <w:r/>
            <w:r>
              <w:rPr>
                <w:rFonts w:ascii="Figtree" w:hAnsi="Figtree"/>
                <w:b/>
                <w:i w:val="0"/>
                <w:sz w:val="20"/>
              </w:rPr>
              <w:t>Total Annual Recurring</w:t>
            </w:r>
          </w:p>
        </w:tc>
        <w:tc>
          <w:tcPr>
            <w:tcW w:type="dxa" w:w="1949"/>
            <w:vAlign w:val="center"/>
          </w:tcPr>
          <w:p>
            <w:pPr>
              <w:spacing w:line="276" w:lineRule="auto" w:before="0" w:after="0"/>
            </w:pPr>
            <w:r/>
          </w:p>
        </w:tc>
        <w:tc>
          <w:tcPr>
            <w:tcW w:type="dxa" w:w="1949"/>
            <w:vAlign w:val="center"/>
          </w:tcPr>
          <w:p>
            <w:pPr>
              <w:spacing w:line="276" w:lineRule="auto" w:before="0" w:after="0"/>
            </w:pPr>
            <w:r/>
          </w:p>
        </w:tc>
        <w:tc>
          <w:tcPr>
            <w:tcW w:type="dxa" w:w="1949"/>
            <w:vAlign w:val="center"/>
          </w:tcPr>
          <w:p>
            <w:pPr>
              <w:spacing w:line="276" w:lineRule="auto" w:before="0" w:after="0"/>
            </w:pPr>
            <w:r/>
          </w:p>
        </w:tc>
        <w:tc>
          <w:tcPr>
            <w:tcW w:type="dxa" w:w="1949"/>
            <w:vAlign w:val="center"/>
          </w:tcPr>
          <w:p>
            <w:pPr>
              <w:spacing w:line="276" w:lineRule="auto" w:before="0" w:after="0"/>
            </w:pPr>
            <w:r/>
            <w:r>
              <w:rPr>
                <w:rFonts w:ascii="Figtree" w:hAnsi="Figtree"/>
                <w:b/>
                <w:i w:val="0"/>
                <w:sz w:val="20"/>
              </w:rPr>
              <w:t>$375,000</w:t>
            </w:r>
          </w:p>
        </w:tc>
      </w:tr>
    </w:tbl>
    <w:p>
      <w:pPr>
        <w:spacing w:before="0" w:after="0" w:line="120" w:lineRule="exact"/>
      </w:pPr>
    </w:p>
    <w:p>
      <w:pPr>
        <w:pStyle w:val="H3"/>
        <w:numPr>
          <w:ilvl w:val="2"/>
          <w:numId w:val="1"/>
        </w:numPr>
      </w:pPr>
      <w:r>
        <w:t>One-Time Implementation Costs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402"/>
        <w:gridCol w:w="3969"/>
        <w:gridCol w:w="170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Fixed Price</w:t>
            </w:r>
          </w:p>
        </w:tc>
      </w:tr>
      <w:tr>
        <w:trPr>
          <w:trHeight w:val="425" w:hRule="atLeast"/>
        </w:trPr>
        <w:tc>
          <w:tcPr>
            <w:tcW w:type="dxa" w:w="3249"/>
            <w:vAlign w:val="center"/>
          </w:tcPr>
          <w:p>
            <w:pPr>
              <w:spacing w:line="276" w:lineRule="auto" w:before="0" w:after="0"/>
            </w:pPr>
            <w:r/>
            <w:r>
              <w:rPr>
                <w:rFonts w:ascii="Figtree" w:hAnsi="Figtree"/>
                <w:b w:val="0"/>
                <w:i w:val="0"/>
                <w:sz w:val="20"/>
              </w:rPr>
              <w:t>Phase 1</w:t>
            </w:r>
          </w:p>
        </w:tc>
        <w:tc>
          <w:tcPr>
            <w:tcW w:type="dxa" w:w="3249"/>
            <w:vAlign w:val="center"/>
          </w:tcPr>
          <w:p>
            <w:pPr>
              <w:spacing w:line="276" w:lineRule="auto" w:before="0" w:after="0"/>
            </w:pPr>
            <w:r/>
            <w:r>
              <w:rPr>
                <w:rFonts w:ascii="Figtree" w:hAnsi="Figtree"/>
                <w:b w:val="0"/>
                <w:i w:val="0"/>
                <w:sz w:val="20"/>
              </w:rPr>
              <w:t>Discovery and Requirements</w:t>
            </w:r>
          </w:p>
        </w:tc>
        <w:tc>
          <w:tcPr>
            <w:tcW w:type="dxa" w:w="3249"/>
            <w:vAlign w:val="center"/>
          </w:tcPr>
          <w:p>
            <w:pPr>
              <w:spacing w:line="276" w:lineRule="auto" w:before="0" w:after="0"/>
            </w:pPr>
            <w:r/>
            <w:r>
              <w:rPr>
                <w:rFonts w:ascii="Figtree" w:hAnsi="Figtree"/>
                <w:b w:val="0"/>
                <w:i w:val="0"/>
                <w:sz w:val="20"/>
              </w:rPr>
              <w:t>$55,000</w:t>
            </w:r>
          </w:p>
        </w:tc>
      </w:tr>
      <w:tr>
        <w:trPr>
          <w:trHeight w:val="425" w:hRule="atLeast"/>
        </w:trPr>
        <w:tc>
          <w:tcPr>
            <w:tcW w:type="dxa" w:w="3249"/>
            <w:vAlign w:val="center"/>
          </w:tcPr>
          <w:p>
            <w:pPr>
              <w:spacing w:line="276" w:lineRule="auto" w:before="0" w:after="0"/>
            </w:pPr>
            <w:r/>
            <w:r>
              <w:rPr>
                <w:rFonts w:ascii="Figtree" w:hAnsi="Figtree"/>
                <w:b w:val="0"/>
                <w:i w:val="0"/>
                <w:sz w:val="20"/>
              </w:rPr>
              <w:t>Phase 2</w:t>
            </w:r>
          </w:p>
        </w:tc>
        <w:tc>
          <w:tcPr>
            <w:tcW w:type="dxa" w:w="3249"/>
            <w:vAlign w:val="center"/>
          </w:tcPr>
          <w:p>
            <w:pPr>
              <w:spacing w:line="276" w:lineRule="auto" w:before="0" w:after="0"/>
            </w:pPr>
            <w:r/>
            <w:r>
              <w:rPr>
                <w:rFonts w:ascii="Figtree" w:hAnsi="Figtree"/>
                <w:b w:val="0"/>
                <w:i w:val="0"/>
                <w:sz w:val="20"/>
              </w:rPr>
              <w:t>Foundation and Setup</w:t>
            </w:r>
          </w:p>
        </w:tc>
        <w:tc>
          <w:tcPr>
            <w:tcW w:type="dxa" w:w="3249"/>
            <w:vAlign w:val="center"/>
          </w:tcPr>
          <w:p>
            <w:pPr>
              <w:spacing w:line="276" w:lineRule="auto" w:before="0" w:after="0"/>
            </w:pPr>
            <w:r/>
            <w:r>
              <w:rPr>
                <w:rFonts w:ascii="Figtree" w:hAnsi="Figtree"/>
                <w:b w:val="0"/>
                <w:i w:val="0"/>
                <w:sz w:val="20"/>
              </w:rPr>
              <w:t>$60,000</w:t>
            </w:r>
          </w:p>
        </w:tc>
      </w:tr>
      <w:tr>
        <w:trPr>
          <w:trHeight w:val="425" w:hRule="atLeast"/>
        </w:trPr>
        <w:tc>
          <w:tcPr>
            <w:tcW w:type="dxa" w:w="3249"/>
            <w:vAlign w:val="center"/>
          </w:tcPr>
          <w:p>
            <w:pPr>
              <w:spacing w:line="276" w:lineRule="auto" w:before="0" w:after="0"/>
            </w:pPr>
            <w:r/>
            <w:r>
              <w:rPr>
                <w:rFonts w:ascii="Figtree" w:hAnsi="Figtree"/>
                <w:b w:val="0"/>
                <w:i w:val="0"/>
                <w:sz w:val="20"/>
              </w:rPr>
              <w:t>Phase 3</w:t>
            </w:r>
          </w:p>
        </w:tc>
        <w:tc>
          <w:tcPr>
            <w:tcW w:type="dxa" w:w="3249"/>
            <w:vAlign w:val="center"/>
          </w:tcPr>
          <w:p>
            <w:pPr>
              <w:spacing w:line="276" w:lineRule="auto" w:before="0" w:after="0"/>
            </w:pPr>
            <w:r/>
            <w:r>
              <w:rPr>
                <w:rFonts w:ascii="Figtree" w:hAnsi="Figtree"/>
                <w:b w:val="0"/>
                <w:i w:val="0"/>
                <w:sz w:val="20"/>
              </w:rPr>
              <w:t>Configuration and Compliance</w:t>
            </w:r>
          </w:p>
        </w:tc>
        <w:tc>
          <w:tcPr>
            <w:tcW w:type="dxa" w:w="3249"/>
            <w:vAlign w:val="center"/>
          </w:tcPr>
          <w:p>
            <w:pPr>
              <w:spacing w:line="276" w:lineRule="auto" w:before="0" w:after="0"/>
            </w:pPr>
            <w:r/>
            <w:r>
              <w:rPr>
                <w:rFonts w:ascii="Figtree" w:hAnsi="Figtree"/>
                <w:b w:val="0"/>
                <w:i w:val="0"/>
                <w:sz w:val="20"/>
              </w:rPr>
              <w:t>$75,000</w:t>
            </w:r>
          </w:p>
        </w:tc>
      </w:tr>
      <w:tr>
        <w:trPr>
          <w:trHeight w:val="425" w:hRule="atLeast"/>
        </w:trPr>
        <w:tc>
          <w:tcPr>
            <w:tcW w:type="dxa" w:w="3249"/>
            <w:vAlign w:val="center"/>
          </w:tcPr>
          <w:p>
            <w:pPr>
              <w:spacing w:line="276" w:lineRule="auto" w:before="0" w:after="0"/>
            </w:pPr>
            <w:r/>
            <w:r>
              <w:rPr>
                <w:rFonts w:ascii="Figtree" w:hAnsi="Figtree"/>
                <w:b w:val="0"/>
                <w:i w:val="0"/>
                <w:sz w:val="20"/>
              </w:rPr>
              <w:t>Phase 4</w:t>
            </w:r>
          </w:p>
        </w:tc>
        <w:tc>
          <w:tcPr>
            <w:tcW w:type="dxa" w:w="3249"/>
            <w:vAlign w:val="center"/>
          </w:tcPr>
          <w:p>
            <w:pPr>
              <w:spacing w:line="276" w:lineRule="auto" w:before="0" w:after="0"/>
            </w:pPr>
            <w:r/>
            <w:r>
              <w:rPr>
                <w:rFonts w:ascii="Figtree" w:hAnsi="Figtree"/>
                <w:b w:val="0"/>
                <w:i w:val="0"/>
                <w:sz w:val="20"/>
              </w:rPr>
              <w:t>Integration</w:t>
            </w:r>
          </w:p>
        </w:tc>
        <w:tc>
          <w:tcPr>
            <w:tcW w:type="dxa" w:w="3249"/>
            <w:vAlign w:val="center"/>
          </w:tcPr>
          <w:p>
            <w:pPr>
              <w:spacing w:line="276" w:lineRule="auto" w:before="0" w:after="0"/>
            </w:pPr>
            <w:r/>
            <w:r>
              <w:rPr>
                <w:rFonts w:ascii="Figtree" w:hAnsi="Figtree"/>
                <w:b w:val="0"/>
                <w:i w:val="0"/>
                <w:sz w:val="20"/>
              </w:rPr>
              <w:t>$85,000</w:t>
            </w:r>
          </w:p>
        </w:tc>
      </w:tr>
      <w:tr>
        <w:trPr>
          <w:trHeight w:val="425" w:hRule="atLeast"/>
        </w:trPr>
        <w:tc>
          <w:tcPr>
            <w:tcW w:type="dxa" w:w="3249"/>
            <w:vAlign w:val="center"/>
          </w:tcPr>
          <w:p>
            <w:pPr>
              <w:spacing w:line="276" w:lineRule="auto" w:before="0" w:after="0"/>
            </w:pPr>
            <w:r/>
            <w:r>
              <w:rPr>
                <w:rFonts w:ascii="Figtree" w:hAnsi="Figtree"/>
                <w:b w:val="0"/>
                <w:i w:val="0"/>
                <w:sz w:val="20"/>
              </w:rPr>
              <w:t>Phase 5</w:t>
            </w:r>
          </w:p>
        </w:tc>
        <w:tc>
          <w:tcPr>
            <w:tcW w:type="dxa" w:w="3249"/>
            <w:vAlign w:val="center"/>
          </w:tcPr>
          <w:p>
            <w:pPr>
              <w:spacing w:line="276" w:lineRule="auto" w:before="0" w:after="0"/>
            </w:pPr>
            <w:r/>
            <w:r>
              <w:rPr>
                <w:rFonts w:ascii="Figtree" w:hAnsi="Figtree"/>
                <w:b w:val="0"/>
                <w:i w:val="0"/>
                <w:sz w:val="20"/>
              </w:rPr>
              <w:t>Testing and UAT</w:t>
            </w:r>
          </w:p>
        </w:tc>
        <w:tc>
          <w:tcPr>
            <w:tcW w:type="dxa" w:w="3249"/>
            <w:vAlign w:val="center"/>
          </w:tcPr>
          <w:p>
            <w:pPr>
              <w:spacing w:line="276" w:lineRule="auto" w:before="0" w:after="0"/>
            </w:pPr>
            <w:r/>
            <w:r>
              <w:rPr>
                <w:rFonts w:ascii="Figtree" w:hAnsi="Figtree"/>
                <w:b w:val="0"/>
                <w:i w:val="0"/>
                <w:sz w:val="20"/>
              </w:rPr>
              <w:t>$65,000</w:t>
            </w:r>
          </w:p>
        </w:tc>
      </w:tr>
      <w:tr>
        <w:trPr>
          <w:trHeight w:val="425" w:hRule="atLeast"/>
        </w:trPr>
        <w:tc>
          <w:tcPr>
            <w:tcW w:type="dxa" w:w="3249"/>
            <w:vAlign w:val="center"/>
          </w:tcPr>
          <w:p>
            <w:pPr>
              <w:spacing w:line="276" w:lineRule="auto" w:before="0" w:after="0"/>
            </w:pPr>
            <w:r/>
            <w:r>
              <w:rPr>
                <w:rFonts w:ascii="Figtree" w:hAnsi="Figtree"/>
                <w:b w:val="0"/>
                <w:i w:val="0"/>
                <w:sz w:val="20"/>
              </w:rPr>
              <w:t>Phase 6</w:t>
            </w:r>
          </w:p>
        </w:tc>
        <w:tc>
          <w:tcPr>
            <w:tcW w:type="dxa" w:w="3249"/>
            <w:vAlign w:val="center"/>
          </w:tcPr>
          <w:p>
            <w:pPr>
              <w:spacing w:line="276" w:lineRule="auto" w:before="0" w:after="0"/>
            </w:pPr>
            <w:r/>
            <w:r>
              <w:rPr>
                <w:rFonts w:ascii="Figtree" w:hAnsi="Figtree"/>
                <w:b w:val="0"/>
                <w:i w:val="0"/>
                <w:sz w:val="20"/>
              </w:rPr>
              <w:t>Go-Live and Hypercare</w:t>
            </w:r>
          </w:p>
        </w:tc>
        <w:tc>
          <w:tcPr>
            <w:tcW w:type="dxa" w:w="3249"/>
            <w:vAlign w:val="center"/>
          </w:tcPr>
          <w:p>
            <w:pPr>
              <w:spacing w:line="276" w:lineRule="auto" w:before="0" w:after="0"/>
            </w:pPr>
            <w:r/>
            <w:r>
              <w:rPr>
                <w:rFonts w:ascii="Figtree" w:hAnsi="Figtree"/>
                <w:b w:val="0"/>
                <w:i w:val="0"/>
                <w:sz w:val="20"/>
              </w:rPr>
              <w:t>$40,000</w:t>
            </w:r>
          </w:p>
        </w:tc>
      </w:tr>
      <w:tr>
        <w:trPr>
          <w:trHeight w:val="425" w:hRule="atLeast"/>
        </w:trPr>
        <w:tc>
          <w:tcPr>
            <w:tcW w:type="dxa" w:w="3249"/>
            <w:vAlign w:val="center"/>
          </w:tcPr>
          <w:p>
            <w:pPr>
              <w:spacing w:line="276" w:lineRule="auto" w:before="0" w:after="0"/>
            </w:pPr>
            <w:r/>
            <w:r>
              <w:rPr>
                <w:rFonts w:ascii="Figtree" w:hAnsi="Figtree"/>
                <w:b/>
                <w:i w:val="0"/>
                <w:sz w:val="20"/>
              </w:rPr>
              <w:t>Total Implementation</w:t>
            </w:r>
          </w:p>
        </w:tc>
        <w:tc>
          <w:tcPr>
            <w:tcW w:type="dxa" w:w="3249"/>
            <w:vAlign w:val="center"/>
          </w:tcPr>
          <w:p>
            <w:pPr>
              <w:spacing w:line="276" w:lineRule="auto" w:before="0" w:after="0"/>
            </w:pPr>
            <w:r/>
          </w:p>
        </w:tc>
        <w:tc>
          <w:tcPr>
            <w:tcW w:type="dxa" w:w="3249"/>
            <w:vAlign w:val="center"/>
          </w:tcPr>
          <w:p>
            <w:pPr>
              <w:spacing w:line="276" w:lineRule="auto" w:before="0" w:after="0"/>
            </w:pPr>
            <w:r/>
            <w:r>
              <w:rPr>
                <w:rFonts w:ascii="Figtree" w:hAnsi="Figtree"/>
                <w:b/>
                <w:i w:val="0"/>
                <w:sz w:val="20"/>
              </w:rPr>
              <w:t>$380,000</w:t>
            </w:r>
          </w:p>
        </w:tc>
      </w:tr>
    </w:tbl>
    <w:p>
      <w:pPr>
        <w:spacing w:before="0" w:after="0" w:line="120" w:lineRule="exact"/>
      </w:pPr>
    </w:p>
    <w:p>
      <w:pPr>
        <w:pStyle w:val="H3"/>
        <w:numPr>
          <w:ilvl w:val="2"/>
          <w:numId w:val="1"/>
        </w:numPr>
      </w:pPr>
      <w:r>
        <w:t>Multi-Year Discount Schedule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87"/>
        <w:gridCol w:w="2048"/>
        <w:gridCol w:w="2194"/>
        <w:gridCol w:w="234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Commitment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Year 1 License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Year 2+ License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Saving vs Annual</w:t>
            </w:r>
          </w:p>
        </w:tc>
      </w:tr>
      <w:tr>
        <w:trPr>
          <w:trHeight w:val="425" w:hRule="atLeast"/>
        </w:trPr>
        <w:tc>
          <w:tcPr>
            <w:tcW w:type="dxa" w:w="2436"/>
            <w:vAlign w:val="center"/>
          </w:tcPr>
          <w:p>
            <w:pPr>
              <w:spacing w:line="276" w:lineRule="auto" w:before="0" w:after="0"/>
            </w:pPr>
            <w:r/>
            <w:r>
              <w:rPr>
                <w:rFonts w:ascii="Figtree" w:hAnsi="Figtree"/>
                <w:b w:val="0"/>
                <w:i w:val="0"/>
                <w:sz w:val="20"/>
              </w:rPr>
              <w:t>Annual</w:t>
            </w:r>
          </w:p>
        </w:tc>
        <w:tc>
          <w:tcPr>
            <w:tcW w:type="dxa" w:w="2436"/>
            <w:vAlign w:val="center"/>
          </w:tcPr>
          <w:p>
            <w:pPr>
              <w:spacing w:line="276" w:lineRule="auto" w:before="0" w:after="0"/>
            </w:pPr>
            <w:r/>
            <w:r>
              <w:rPr>
                <w:rFonts w:ascii="Figtree" w:hAnsi="Figtree"/>
                <w:b w:val="0"/>
                <w:i w:val="0"/>
                <w:sz w:val="20"/>
              </w:rPr>
              <w:t>$240,000</w:t>
            </w:r>
          </w:p>
        </w:tc>
        <w:tc>
          <w:tcPr>
            <w:tcW w:type="dxa" w:w="2436"/>
            <w:vAlign w:val="center"/>
          </w:tcPr>
          <w:p>
            <w:pPr>
              <w:spacing w:line="276" w:lineRule="auto" w:before="0" w:after="0"/>
            </w:pPr>
            <w:r/>
            <w:r>
              <w:rPr>
                <w:rFonts w:ascii="Figtree" w:hAnsi="Figtree"/>
                <w:b w:val="0"/>
                <w:i w:val="0"/>
                <w:sz w:val="20"/>
              </w:rPr>
              <w:t>$240,000</w:t>
            </w:r>
          </w:p>
        </w:tc>
        <w:tc>
          <w:tcPr>
            <w:tcW w:type="dxa" w:w="2436"/>
            <w:vAlign w:val="center"/>
          </w:tcPr>
          <w:p>
            <w:pPr>
              <w:spacing w:line="276" w:lineRule="auto" w:before="0" w:after="0"/>
            </w:pPr>
            <w:r/>
            <w:r>
              <w:rPr>
                <w:rFonts w:ascii="Figtree" w:hAnsi="Figtree"/>
                <w:b w:val="0"/>
                <w:i w:val="0"/>
                <w:sz w:val="20"/>
              </w:rPr>
              <w:t>Baseline</w:t>
            </w:r>
          </w:p>
        </w:tc>
      </w:tr>
      <w:tr>
        <w:trPr>
          <w:trHeight w:val="425" w:hRule="atLeast"/>
        </w:trPr>
        <w:tc>
          <w:tcPr>
            <w:tcW w:type="dxa" w:w="2436"/>
            <w:vAlign w:val="center"/>
          </w:tcPr>
          <w:p>
            <w:pPr>
              <w:spacing w:line="276" w:lineRule="auto" w:before="0" w:after="0"/>
            </w:pPr>
            <w:r/>
            <w:r>
              <w:rPr>
                <w:rFonts w:ascii="Figtree" w:hAnsi="Figtree"/>
                <w:b w:val="0"/>
                <w:i w:val="0"/>
                <w:sz w:val="20"/>
              </w:rPr>
              <w:t>3-year commitment</w:t>
            </w:r>
          </w:p>
        </w:tc>
        <w:tc>
          <w:tcPr>
            <w:tcW w:type="dxa" w:w="2436"/>
            <w:vAlign w:val="center"/>
          </w:tcPr>
          <w:p>
            <w:pPr>
              <w:spacing w:line="276" w:lineRule="auto" w:before="0" w:after="0"/>
            </w:pPr>
            <w:r/>
            <w:r>
              <w:rPr>
                <w:rFonts w:ascii="Figtree" w:hAnsi="Figtree"/>
                <w:b w:val="0"/>
                <w:i w:val="0"/>
                <w:sz w:val="20"/>
              </w:rPr>
              <w:t>$240,000</w:t>
            </w:r>
          </w:p>
        </w:tc>
        <w:tc>
          <w:tcPr>
            <w:tcW w:type="dxa" w:w="2436"/>
            <w:vAlign w:val="center"/>
          </w:tcPr>
          <w:p>
            <w:pPr>
              <w:spacing w:line="276" w:lineRule="auto" w:before="0" w:after="0"/>
            </w:pPr>
            <w:r/>
            <w:r>
              <w:rPr>
                <w:rFonts w:ascii="Figtree" w:hAnsi="Figtree"/>
                <w:b w:val="0"/>
                <w:i w:val="0"/>
                <w:sz w:val="20"/>
              </w:rPr>
              <w:t>$228,000</w:t>
            </w:r>
          </w:p>
        </w:tc>
        <w:tc>
          <w:tcPr>
            <w:tcW w:type="dxa" w:w="2436"/>
            <w:vAlign w:val="center"/>
          </w:tcPr>
          <w:p>
            <w:pPr>
              <w:spacing w:line="276" w:lineRule="auto" w:before="0" w:after="0"/>
            </w:pPr>
            <w:r/>
            <w:r>
              <w:rPr>
                <w:rFonts w:ascii="Figtree" w:hAnsi="Figtree"/>
                <w:b w:val="0"/>
                <w:i w:val="0"/>
                <w:sz w:val="20"/>
              </w:rPr>
              <w:t>5% on years 2-3</w:t>
            </w:r>
          </w:p>
        </w:tc>
      </w:tr>
      <w:tr>
        <w:trPr>
          <w:trHeight w:val="425" w:hRule="atLeast"/>
        </w:trPr>
        <w:tc>
          <w:tcPr>
            <w:tcW w:type="dxa" w:w="2436"/>
            <w:vAlign w:val="center"/>
          </w:tcPr>
          <w:p>
            <w:pPr>
              <w:spacing w:line="276" w:lineRule="auto" w:before="0" w:after="0"/>
            </w:pPr>
            <w:r/>
            <w:r>
              <w:rPr>
                <w:rFonts w:ascii="Figtree" w:hAnsi="Figtree"/>
                <w:b w:val="0"/>
                <w:i w:val="0"/>
                <w:sz w:val="20"/>
              </w:rPr>
              <w:t>5-year commitment</w:t>
            </w:r>
          </w:p>
        </w:tc>
        <w:tc>
          <w:tcPr>
            <w:tcW w:type="dxa" w:w="2436"/>
            <w:vAlign w:val="center"/>
          </w:tcPr>
          <w:p>
            <w:pPr>
              <w:spacing w:line="276" w:lineRule="auto" w:before="0" w:after="0"/>
            </w:pPr>
            <w:r/>
            <w:r>
              <w:rPr>
                <w:rFonts w:ascii="Figtree" w:hAnsi="Figtree"/>
                <w:b w:val="0"/>
                <w:i w:val="0"/>
                <w:sz w:val="20"/>
              </w:rPr>
              <w:t>$240,000</w:t>
            </w:r>
          </w:p>
        </w:tc>
        <w:tc>
          <w:tcPr>
            <w:tcW w:type="dxa" w:w="2436"/>
            <w:vAlign w:val="center"/>
          </w:tcPr>
          <w:p>
            <w:pPr>
              <w:spacing w:line="276" w:lineRule="auto" w:before="0" w:after="0"/>
            </w:pPr>
            <w:r/>
            <w:r>
              <w:rPr>
                <w:rFonts w:ascii="Figtree" w:hAnsi="Figtree"/>
                <w:b w:val="0"/>
                <w:i w:val="0"/>
                <w:sz w:val="20"/>
              </w:rPr>
              <w:t>$216,000</w:t>
            </w:r>
          </w:p>
        </w:tc>
        <w:tc>
          <w:tcPr>
            <w:tcW w:type="dxa" w:w="2436"/>
            <w:vAlign w:val="center"/>
          </w:tcPr>
          <w:p>
            <w:pPr>
              <w:spacing w:line="276" w:lineRule="auto" w:before="0" w:after="0"/>
            </w:pPr>
            <w:r/>
            <w:r>
              <w:rPr>
                <w:rFonts w:ascii="Figtree" w:hAnsi="Figtree"/>
                <w:b w:val="0"/>
                <w:i w:val="0"/>
                <w:sz w:val="20"/>
              </w:rPr>
              <w:t>10% on years 2-5</w:t>
            </w:r>
          </w:p>
        </w:tc>
      </w:tr>
    </w:tbl>
    <w:p>
      <w:pPr>
        <w:spacing w:before="0" w:after="0" w:line="120" w:lineRule="exact"/>
      </w:pPr>
    </w:p>
    <w:p>
      <w:r>
        <w:br w:type="page"/>
      </w:r>
    </w:p>
    <w:p>
      <w:pPr>
        <w:pStyle w:val="H2"/>
        <w:numPr>
          <w:ilvl w:val="1"/>
          <w:numId w:val="1"/>
        </w:numPr>
      </w:pPr>
      <w:r>
        <w:t>Appendix B: Implementation Milestone and Payment Schedule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16"/>
        <w:gridCol w:w="4401"/>
        <w:gridCol w:w="808"/>
        <w:gridCol w:w="1257"/>
        <w:gridCol w:w="988"/>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Milestone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Deliverable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Payment %</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Payment Amount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Target Date</w:t>
            </w:r>
          </w:p>
        </w:tc>
      </w:tr>
      <w:tr>
        <w:trPr>
          <w:trHeight w:val="425" w:hRule="atLeast"/>
        </w:trPr>
        <w:tc>
          <w:tcPr>
            <w:tcW w:type="dxa" w:w="1949"/>
            <w:vAlign w:val="center"/>
          </w:tcPr>
          <w:p>
            <w:pPr>
              <w:spacing w:line="276" w:lineRule="auto" w:before="0" w:after="0"/>
            </w:pPr>
            <w:r/>
            <w:r>
              <w:rPr>
                <w:rFonts w:ascii="Figtree" w:hAnsi="Figtree"/>
                <w:b w:val="0"/>
                <w:i w:val="0"/>
                <w:sz w:val="20"/>
              </w:rPr>
              <w:t>Contract execution</w:t>
            </w:r>
          </w:p>
        </w:tc>
        <w:tc>
          <w:tcPr>
            <w:tcW w:type="dxa" w:w="1949"/>
            <w:vAlign w:val="center"/>
          </w:tcPr>
          <w:p>
            <w:pPr>
              <w:spacing w:line="276" w:lineRule="auto" w:before="0" w:after="0"/>
            </w:pPr>
            <w:r/>
            <w:r>
              <w:rPr>
                <w:rFonts w:ascii="Figtree" w:hAnsi="Figtree"/>
                <w:b w:val="0"/>
                <w:i w:val="0"/>
                <w:sz w:val="20"/>
              </w:rPr>
              <w:t>Signed MSA and SoW</w:t>
            </w:r>
          </w:p>
        </w:tc>
        <w:tc>
          <w:tcPr>
            <w:tcW w:type="dxa" w:w="1949"/>
            <w:vAlign w:val="center"/>
          </w:tcPr>
          <w:p>
            <w:pPr>
              <w:spacing w:line="276" w:lineRule="auto" w:before="0" w:after="0"/>
            </w:pPr>
            <w:r/>
            <w:r>
              <w:rPr>
                <w:rFonts w:ascii="Figtree" w:hAnsi="Figtree"/>
                <w:b w:val="0"/>
                <w:i w:val="0"/>
                <w:sz w:val="20"/>
              </w:rPr>
              <w:t>25%</w:t>
            </w:r>
          </w:p>
        </w:tc>
        <w:tc>
          <w:tcPr>
            <w:tcW w:type="dxa" w:w="1949"/>
            <w:vAlign w:val="center"/>
          </w:tcPr>
          <w:p>
            <w:pPr>
              <w:spacing w:line="276" w:lineRule="auto" w:before="0" w:after="0"/>
            </w:pPr>
            <w:r/>
            <w:r>
              <w:rPr>
                <w:rFonts w:ascii="Figtree" w:hAnsi="Figtree"/>
                <w:b w:val="0"/>
                <w:i w:val="0"/>
                <w:sz w:val="20"/>
              </w:rPr>
              <w:t>$95,000</w:t>
            </w:r>
          </w:p>
        </w:tc>
        <w:tc>
          <w:tcPr>
            <w:tcW w:type="dxa" w:w="1949"/>
            <w:vAlign w:val="center"/>
          </w:tcPr>
          <w:p>
            <w:pPr>
              <w:spacing w:line="276" w:lineRule="auto" w:before="0" w:after="0"/>
            </w:pPr>
            <w:r/>
            <w:r>
              <w:rPr>
                <w:rFonts w:ascii="Figtree" w:hAnsi="Figtree"/>
                <w:b w:val="0"/>
                <w:i w:val="0"/>
                <w:sz w:val="20"/>
              </w:rPr>
              <w:t>Week 0</w:t>
            </w:r>
          </w:p>
        </w:tc>
      </w:tr>
      <w:tr>
        <w:trPr>
          <w:trHeight w:val="425" w:hRule="atLeast"/>
        </w:trPr>
        <w:tc>
          <w:tcPr>
            <w:tcW w:type="dxa" w:w="1949"/>
            <w:vAlign w:val="center"/>
          </w:tcPr>
          <w:p>
            <w:pPr>
              <w:spacing w:line="276" w:lineRule="auto" w:before="0" w:after="0"/>
            </w:pPr>
            <w:r/>
            <w:r>
              <w:rPr>
                <w:rFonts w:ascii="Figtree" w:hAnsi="Figtree"/>
                <w:b w:val="0"/>
                <w:i w:val="0"/>
                <w:sz w:val="20"/>
              </w:rPr>
              <w:t>Phase 1 gate</w:t>
            </w:r>
          </w:p>
        </w:tc>
        <w:tc>
          <w:tcPr>
            <w:tcW w:type="dxa" w:w="1949"/>
            <w:vAlign w:val="center"/>
          </w:tcPr>
          <w:p>
            <w:pPr>
              <w:spacing w:line="276" w:lineRule="auto" w:before="0" w:after="0"/>
            </w:pPr>
            <w:r/>
            <w:r>
              <w:rPr>
                <w:rFonts w:ascii="Figtree" w:hAnsi="Figtree"/>
                <w:b w:val="0"/>
                <w:i w:val="0"/>
                <w:sz w:val="20"/>
              </w:rPr>
              <w:t>Discovery documentation, architecture sign-off</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Week 5</w:t>
            </w:r>
          </w:p>
        </w:tc>
      </w:tr>
      <w:tr>
        <w:trPr>
          <w:trHeight w:val="425" w:hRule="atLeast"/>
        </w:trPr>
        <w:tc>
          <w:tcPr>
            <w:tcW w:type="dxa" w:w="1949"/>
            <w:vAlign w:val="center"/>
          </w:tcPr>
          <w:p>
            <w:pPr>
              <w:spacing w:line="276" w:lineRule="auto" w:before="0" w:after="0"/>
            </w:pPr>
            <w:r/>
            <w:r>
              <w:rPr>
                <w:rFonts w:ascii="Figtree" w:hAnsi="Figtree"/>
                <w:b w:val="0"/>
                <w:i w:val="0"/>
                <w:sz w:val="20"/>
              </w:rPr>
              <w:t>Phase 2 gate</w:t>
            </w:r>
          </w:p>
        </w:tc>
        <w:tc>
          <w:tcPr>
            <w:tcW w:type="dxa" w:w="1949"/>
            <w:vAlign w:val="center"/>
          </w:tcPr>
          <w:p>
            <w:pPr>
              <w:spacing w:line="276" w:lineRule="auto" w:before="0" w:after="0"/>
            </w:pPr>
            <w:r/>
            <w:r>
              <w:rPr>
                <w:rFonts w:ascii="Figtree" w:hAnsi="Figtree"/>
                <w:b w:val="0"/>
                <w:i w:val="0"/>
                <w:sz w:val="20"/>
              </w:rPr>
              <w:t>Environments operational, base platform validated</w:t>
            </w:r>
          </w:p>
        </w:tc>
        <w:tc>
          <w:tcPr>
            <w:tcW w:type="dxa" w:w="1949"/>
            <w:vAlign w:val="center"/>
          </w:tcPr>
          <w:p>
            <w:pPr>
              <w:spacing w:line="276" w:lineRule="auto" w:before="0" w:after="0"/>
            </w:pPr>
            <w:r/>
            <w:r>
              <w:rPr>
                <w:rFonts w:ascii="Figtree" w:hAnsi="Figtree"/>
                <w:b w:val="0"/>
                <w:i w:val="0"/>
                <w:sz w:val="20"/>
              </w:rPr>
              <w:t>20%</w:t>
            </w:r>
          </w:p>
        </w:tc>
        <w:tc>
          <w:tcPr>
            <w:tcW w:type="dxa" w:w="1949"/>
            <w:vAlign w:val="center"/>
          </w:tcPr>
          <w:p>
            <w:pPr>
              <w:spacing w:line="276" w:lineRule="auto" w:before="0" w:after="0"/>
            </w:pPr>
            <w:r/>
            <w:r>
              <w:rPr>
                <w:rFonts w:ascii="Figtree" w:hAnsi="Figtree"/>
                <w:b w:val="0"/>
                <w:i w:val="0"/>
                <w:sz w:val="20"/>
              </w:rPr>
              <w:t>$76,000</w:t>
            </w:r>
          </w:p>
        </w:tc>
        <w:tc>
          <w:tcPr>
            <w:tcW w:type="dxa" w:w="1949"/>
            <w:vAlign w:val="center"/>
          </w:tcPr>
          <w:p>
            <w:pPr>
              <w:spacing w:line="276" w:lineRule="auto" w:before="0" w:after="0"/>
            </w:pPr>
            <w:r/>
            <w:r>
              <w:rPr>
                <w:rFonts w:ascii="Figtree" w:hAnsi="Figtree"/>
                <w:b w:val="0"/>
                <w:i w:val="0"/>
                <w:sz w:val="20"/>
              </w:rPr>
              <w:t>Week 10</w:t>
            </w:r>
          </w:p>
        </w:tc>
      </w:tr>
      <w:tr>
        <w:trPr>
          <w:trHeight w:val="425" w:hRule="atLeast"/>
        </w:trPr>
        <w:tc>
          <w:tcPr>
            <w:tcW w:type="dxa" w:w="1949"/>
            <w:vAlign w:val="center"/>
          </w:tcPr>
          <w:p>
            <w:pPr>
              <w:spacing w:line="276" w:lineRule="auto" w:before="0" w:after="0"/>
            </w:pPr>
            <w:r/>
            <w:r>
              <w:rPr>
                <w:rFonts w:ascii="Figtree" w:hAnsi="Figtree"/>
                <w:b w:val="0"/>
                <w:i w:val="0"/>
                <w:sz w:val="20"/>
              </w:rPr>
              <w:t>Phase 3 gate</w:t>
            </w:r>
          </w:p>
        </w:tc>
        <w:tc>
          <w:tcPr>
            <w:tcW w:type="dxa" w:w="1949"/>
            <w:vAlign w:val="center"/>
          </w:tcPr>
          <w:p>
            <w:pPr>
              <w:spacing w:line="276" w:lineRule="auto" w:before="0" w:after="0"/>
            </w:pPr>
            <w:r/>
            <w:r>
              <w:rPr>
                <w:rFonts w:ascii="Figtree" w:hAnsi="Figtree"/>
                <w:b w:val="0"/>
                <w:i w:val="0"/>
                <w:sz w:val="20"/>
              </w:rPr>
              <w:t>Corridor tokens deployed, compliance configured</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Week 17</w:t>
            </w:r>
          </w:p>
        </w:tc>
      </w:tr>
      <w:tr>
        <w:trPr>
          <w:trHeight w:val="425" w:hRule="atLeast"/>
        </w:trPr>
        <w:tc>
          <w:tcPr>
            <w:tcW w:type="dxa" w:w="1949"/>
            <w:vAlign w:val="center"/>
          </w:tcPr>
          <w:p>
            <w:pPr>
              <w:spacing w:line="276" w:lineRule="auto" w:before="0" w:after="0"/>
            </w:pPr>
            <w:r/>
            <w:r>
              <w:rPr>
                <w:rFonts w:ascii="Figtree" w:hAnsi="Figtree"/>
                <w:b w:val="0"/>
                <w:i w:val="0"/>
                <w:sz w:val="20"/>
              </w:rPr>
              <w:t>Phase 4 gate</w:t>
            </w:r>
          </w:p>
        </w:tc>
        <w:tc>
          <w:tcPr>
            <w:tcW w:type="dxa" w:w="1949"/>
            <w:vAlign w:val="center"/>
          </w:tcPr>
          <w:p>
            <w:pPr>
              <w:spacing w:line="276" w:lineRule="auto" w:before="0" w:after="0"/>
            </w:pPr>
            <w:r/>
            <w:r>
              <w:rPr>
                <w:rFonts w:ascii="Figtree" w:hAnsi="Figtree"/>
                <w:b w:val="0"/>
                <w:i w:val="0"/>
                <w:sz w:val="20"/>
              </w:rPr>
              <w:t>All integrations complete and tested</w:t>
            </w:r>
          </w:p>
        </w:tc>
        <w:tc>
          <w:tcPr>
            <w:tcW w:type="dxa" w:w="1949"/>
            <w:vAlign w:val="center"/>
          </w:tcPr>
          <w:p>
            <w:pPr>
              <w:spacing w:line="276" w:lineRule="auto" w:before="0" w:after="0"/>
            </w:pPr>
            <w:r/>
            <w:r>
              <w:rPr>
                <w:rFonts w:ascii="Figtree" w:hAnsi="Figtree"/>
                <w:b w:val="0"/>
                <w:i w:val="0"/>
                <w:sz w:val="20"/>
              </w:rPr>
              <w:t>30%</w:t>
            </w:r>
          </w:p>
        </w:tc>
        <w:tc>
          <w:tcPr>
            <w:tcW w:type="dxa" w:w="1949"/>
            <w:vAlign w:val="center"/>
          </w:tcPr>
          <w:p>
            <w:pPr>
              <w:spacing w:line="276" w:lineRule="auto" w:before="0" w:after="0"/>
            </w:pPr>
            <w:r/>
            <w:r>
              <w:rPr>
                <w:rFonts w:ascii="Figtree" w:hAnsi="Figtree"/>
                <w:b w:val="0"/>
                <w:i w:val="0"/>
                <w:sz w:val="20"/>
              </w:rPr>
              <w:t>$114,000</w:t>
            </w:r>
          </w:p>
        </w:tc>
        <w:tc>
          <w:tcPr>
            <w:tcW w:type="dxa" w:w="1949"/>
            <w:vAlign w:val="center"/>
          </w:tcPr>
          <w:p>
            <w:pPr>
              <w:spacing w:line="276" w:lineRule="auto" w:before="0" w:after="0"/>
            </w:pPr>
            <w:r/>
            <w:r>
              <w:rPr>
                <w:rFonts w:ascii="Figtree" w:hAnsi="Figtree"/>
                <w:b w:val="0"/>
                <w:i w:val="0"/>
                <w:sz w:val="20"/>
              </w:rPr>
              <w:t>Week 24</w:t>
            </w:r>
          </w:p>
        </w:tc>
      </w:tr>
      <w:tr>
        <w:trPr>
          <w:trHeight w:val="425" w:hRule="atLeast"/>
        </w:trPr>
        <w:tc>
          <w:tcPr>
            <w:tcW w:type="dxa" w:w="1949"/>
            <w:vAlign w:val="center"/>
          </w:tcPr>
          <w:p>
            <w:pPr>
              <w:spacing w:line="276" w:lineRule="auto" w:before="0" w:after="0"/>
            </w:pPr>
            <w:r/>
            <w:r>
              <w:rPr>
                <w:rFonts w:ascii="Figtree" w:hAnsi="Figtree"/>
                <w:b w:val="0"/>
                <w:i w:val="0"/>
                <w:sz w:val="20"/>
              </w:rPr>
              <w:t>Phase 5 gate</w:t>
            </w:r>
          </w:p>
        </w:tc>
        <w:tc>
          <w:tcPr>
            <w:tcW w:type="dxa" w:w="1949"/>
            <w:vAlign w:val="center"/>
          </w:tcPr>
          <w:p>
            <w:pPr>
              <w:spacing w:line="276" w:lineRule="auto" w:before="0" w:after="0"/>
            </w:pPr>
            <w:r/>
            <w:r>
              <w:rPr>
                <w:rFonts w:ascii="Figtree" w:hAnsi="Figtree"/>
                <w:b w:val="0"/>
                <w:i w:val="0"/>
                <w:sz w:val="20"/>
              </w:rPr>
              <w:t>Testing complete, UAT signed off</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Week 32</w:t>
            </w:r>
          </w:p>
        </w:tc>
      </w:tr>
      <w:tr>
        <w:trPr>
          <w:trHeight w:val="425" w:hRule="atLeast"/>
        </w:trPr>
        <w:tc>
          <w:tcPr>
            <w:tcW w:type="dxa" w:w="1949"/>
            <w:vAlign w:val="center"/>
          </w:tcPr>
          <w:p>
            <w:pPr>
              <w:spacing w:line="276" w:lineRule="auto" w:before="0" w:after="0"/>
            </w:pPr>
            <w:r/>
            <w:r>
              <w:rPr>
                <w:rFonts w:ascii="Figtree" w:hAnsi="Figtree"/>
                <w:b w:val="0"/>
                <w:i w:val="0"/>
                <w:sz w:val="20"/>
              </w:rPr>
              <w:t>Phase 6 gate</w:t>
            </w:r>
          </w:p>
        </w:tc>
        <w:tc>
          <w:tcPr>
            <w:tcW w:type="dxa" w:w="1949"/>
            <w:vAlign w:val="center"/>
          </w:tcPr>
          <w:p>
            <w:pPr>
              <w:spacing w:line="276" w:lineRule="auto" w:before="0" w:after="0"/>
            </w:pPr>
            <w:r/>
            <w:r>
              <w:rPr>
                <w:rFonts w:ascii="Figtree" w:hAnsi="Figtree"/>
                <w:b w:val="0"/>
                <w:i w:val="0"/>
                <w:sz w:val="20"/>
              </w:rPr>
              <w:t>Production go-live, first corridor live</w:t>
            </w:r>
          </w:p>
        </w:tc>
        <w:tc>
          <w:tcPr>
            <w:tcW w:type="dxa" w:w="1949"/>
            <w:vAlign w:val="center"/>
          </w:tcPr>
          <w:p>
            <w:pPr>
              <w:spacing w:line="276" w:lineRule="auto" w:before="0" w:after="0"/>
            </w:pPr>
            <w:r/>
            <w:r>
              <w:rPr>
                <w:rFonts w:ascii="Figtree" w:hAnsi="Figtree"/>
                <w:b w:val="0"/>
                <w:i w:val="0"/>
                <w:sz w:val="20"/>
              </w:rPr>
              <w:t>25%</w:t>
            </w:r>
          </w:p>
        </w:tc>
        <w:tc>
          <w:tcPr>
            <w:tcW w:type="dxa" w:w="1949"/>
            <w:vAlign w:val="center"/>
          </w:tcPr>
          <w:p>
            <w:pPr>
              <w:spacing w:line="276" w:lineRule="auto" w:before="0" w:after="0"/>
            </w:pPr>
            <w:r/>
            <w:r>
              <w:rPr>
                <w:rFonts w:ascii="Figtree" w:hAnsi="Figtree"/>
                <w:b w:val="0"/>
                <w:i w:val="0"/>
                <w:sz w:val="20"/>
              </w:rPr>
              <w:t>$95,000</w:t>
            </w:r>
          </w:p>
        </w:tc>
        <w:tc>
          <w:tcPr>
            <w:tcW w:type="dxa" w:w="1949"/>
            <w:vAlign w:val="center"/>
          </w:tcPr>
          <w:p>
            <w:pPr>
              <w:spacing w:line="276" w:lineRule="auto" w:before="0" w:after="0"/>
            </w:pPr>
            <w:r/>
            <w:r>
              <w:rPr>
                <w:rFonts w:ascii="Figtree" w:hAnsi="Figtree"/>
                <w:b w:val="0"/>
                <w:i w:val="0"/>
                <w:sz w:val="20"/>
              </w:rPr>
              <w:t>Week 44</w:t>
            </w:r>
          </w:p>
        </w:tc>
      </w:tr>
      <w:tr>
        <w:trPr>
          <w:trHeight w:val="425" w:hRule="atLeast"/>
        </w:trPr>
        <w:tc>
          <w:tcPr>
            <w:tcW w:type="dxa" w:w="1949"/>
            <w:vAlign w:val="center"/>
          </w:tcPr>
          <w:p>
            <w:pPr>
              <w:spacing w:line="276" w:lineRule="auto" w:before="0" w:after="0"/>
            </w:pPr>
            <w:r/>
            <w:r>
              <w:rPr>
                <w:rFonts w:ascii="Figtree" w:hAnsi="Figtree"/>
                <w:b/>
                <w:i w:val="0"/>
                <w:sz w:val="20"/>
              </w:rPr>
              <w:t>Total</w:t>
            </w:r>
          </w:p>
        </w:tc>
        <w:tc>
          <w:tcPr>
            <w:tcW w:type="dxa" w:w="1949"/>
            <w:vAlign w:val="center"/>
          </w:tcPr>
          <w:p>
            <w:pPr>
              <w:spacing w:line="276" w:lineRule="auto" w:before="0" w:after="0"/>
            </w:pPr>
            <w:r/>
          </w:p>
        </w:tc>
        <w:tc>
          <w:tcPr>
            <w:tcW w:type="dxa" w:w="1949"/>
            <w:vAlign w:val="center"/>
          </w:tcPr>
          <w:p>
            <w:pPr>
              <w:spacing w:line="276" w:lineRule="auto" w:before="0" w:after="0"/>
            </w:pPr>
            <w:r/>
            <w:r>
              <w:rPr>
                <w:rFonts w:ascii="Figtree" w:hAnsi="Figtree"/>
                <w:b/>
                <w:i w:val="0"/>
                <w:sz w:val="20"/>
              </w:rPr>
              <w:t>100%</w:t>
            </w:r>
          </w:p>
        </w:tc>
        <w:tc>
          <w:tcPr>
            <w:tcW w:type="dxa" w:w="1949"/>
            <w:vAlign w:val="center"/>
          </w:tcPr>
          <w:p>
            <w:pPr>
              <w:spacing w:line="276" w:lineRule="auto" w:before="0" w:after="0"/>
            </w:pPr>
            <w:r/>
            <w:r>
              <w:rPr>
                <w:rFonts w:ascii="Figtree" w:hAnsi="Figtree"/>
                <w:b/>
                <w:i w:val="0"/>
                <w:sz w:val="20"/>
              </w:rPr>
              <w:t>$380,000</w:t>
            </w:r>
          </w:p>
        </w:tc>
        <w:tc>
          <w:tcPr>
            <w:tcW w:type="dxa" w:w="1949"/>
            <w:vAlign w:val="center"/>
          </w:tcPr>
          <w:p>
            <w:pPr>
              <w:spacing w:line="276" w:lineRule="auto" w:before="0" w:after="0"/>
            </w:pPr>
            <w:r/>
          </w:p>
        </w:tc>
      </w:tr>
    </w:tbl>
    <w:p>
      <w:pPr>
        <w:spacing w:before="0" w:after="0" w:line="120" w:lineRule="exact"/>
      </w:pPr>
    </w:p>
    <w:p>
      <w:r>
        <w:rPr>
          <w:rFonts w:ascii="Figtree" w:hAnsi="Figtree"/>
          <w:b w:val="0"/>
          <w:i w:val="0"/>
          <w:sz w:val="22"/>
        </w:rPr>
        <w:t>Gate sign-off requires written acceptance from Flutterwave's designated approval authority (Programme Sponsor or delegate). If a gate review identifies material defects in SettleMint deliverables, the remediation period is included within the fixed price. If a gate is delayed due to Flutterwave dependencies (data, approvals, infrastructure, regulatory), the timeline extends proportionally without affecting the fixed-price commitment for SettleMint-accountable scope.</w:t>
      </w:r>
    </w:p>
    <w:p>
      <w:r>
        <w:br w:type="page"/>
      </w:r>
    </w:p>
    <w:p>
      <w:r>
        <w:rPr>
          <w:rFonts w:ascii="Figtree" w:hAnsi="Figtree"/>
          <w:b w:val="0"/>
          <w:i/>
          <w:sz w:val="22"/>
        </w:rPr>
        <w:t>This document is classified SettleMint Confidential. Distribution is restricted to authorised Flutterwave procurement personnel.</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