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3"/>
            <w:tabs>
              <w:tab w:val="right" w:leader="dot" w:pos="9072"/>
            </w:tabs>
          </w:pPr>
          <w:r>
            <w:t xml:space="preserve">The Commercial Context</w:t>
          </w:r>
          <w:r>
            <w:tab/>
          </w:r>
          <w:r>
            <w:t xml:space="preserve">5</w:t>
          </w:r>
        </w:p>
        <w:p>
          <w:pPr>
            <w:pStyle w:val="TOC3"/>
            <w:tabs>
              <w:tab w:val="right" w:leader="dot" w:pos="9072"/>
            </w:tabs>
          </w:pPr>
          <w:r>
            <w:t xml:space="preserve">Recommended Commercial Structure</w:t>
          </w:r>
          <w:r>
            <w:tab/>
          </w:r>
          <w:r>
            <w:t xml:space="preserve">6</w:t>
          </w:r>
        </w:p>
        <w:p>
          <w:pPr>
            <w:pStyle w:val="TOC3"/>
            <w:tabs>
              <w:tab w:val="right" w:leader="dot" w:pos="9072"/>
            </w:tabs>
          </w:pPr>
          <w:r>
            <w:t xml:space="preserve">Commercial Logic</w:t>
          </w:r>
          <w:r>
            <w:tab/>
          </w:r>
          <w:r>
            <w:t xml:space="preserve">7</w:t>
          </w:r>
        </w:p>
        <w:p>
          <w:pPr>
            <w:pStyle w:val="TOC2"/>
            <w:tabs>
              <w:tab w:val="right" w:leader="dot" w:pos="9072"/>
            </w:tabs>
          </w:pPr>
          <w:r>
            <w:t xml:space="preserve">Investment Summary</w:t>
          </w:r>
          <w:r>
            <w:tab/>
          </w:r>
          <w:r>
            <w:t xml:space="preserve">8</w:t>
          </w:r>
        </w:p>
        <w:p>
          <w:pPr>
            <w:pStyle w:val="TOC2"/>
            <w:tabs>
              <w:tab w:val="right" w:leader="dot" w:pos="9072"/>
            </w:tabs>
          </w:pPr>
          <w:r>
            <w:t xml:space="preserve">Licensing and Subscription Model</w:t>
          </w:r>
          <w:r>
            <w:tab/>
          </w:r>
          <w:r>
            <w:t xml:space="preserve">9</w:t>
          </w:r>
        </w:p>
        <w:p>
          <w:pPr>
            <w:pStyle w:val="TOC3"/>
            <w:tabs>
              <w:tab w:val="right" w:leader="dot" w:pos="9072"/>
            </w:tabs>
          </w:pPr>
          <w:r>
            <w:t xml:space="preserve">Philosophy</w:t>
          </w:r>
          <w:r>
            <w:tab/>
          </w:r>
          <w:r>
            <w:t xml:space="preserve">10</w:t>
          </w:r>
        </w:p>
        <w:p>
          <w:pPr>
            <w:pStyle w:val="TOC3"/>
            <w:tabs>
              <w:tab w:val="right" w:leader="dot" w:pos="9072"/>
            </w:tabs>
          </w:pPr>
          <w:r>
            <w:t xml:space="preserve">What Is Included</w:t>
          </w:r>
          <w:r>
            <w:tab/>
          </w:r>
          <w:r>
            <w:t xml:space="preserve">11</w:t>
          </w:r>
        </w:p>
        <w:p>
          <w:pPr>
            <w:pStyle w:val="TOC3"/>
            <w:tabs>
              <w:tab w:val="right" w:leader="dot" w:pos="9072"/>
            </w:tabs>
          </w:pPr>
          <w:r>
            <w:t xml:space="preserve">What Varies</w:t>
          </w:r>
          <w:r>
            <w:tab/>
          </w:r>
          <w:r>
            <w:t xml:space="preserve">12</w:t>
          </w:r>
        </w:p>
        <w:p>
          <w:pPr>
            <w:pStyle w:val="TOC3"/>
            <w:tabs>
              <w:tab w:val="right" w:leader="dot" w:pos="9072"/>
            </w:tabs>
          </w:pPr>
          <w:r>
            <w:t xml:space="preserve">Platform Tier Comparison</w:t>
          </w:r>
          <w:r>
            <w:tab/>
          </w:r>
          <w:r>
            <w:t xml:space="preserve">13</w:t>
          </w:r>
        </w:p>
        <w:p>
          <w:pPr>
            <w:pStyle w:val="TOC2"/>
            <w:tabs>
              <w:tab w:val="right" w:leader="dot" w:pos="9072"/>
            </w:tabs>
          </w:pPr>
          <w:r>
            <w:t xml:space="preserve">Implementation Investment</w:t>
          </w:r>
          <w:r>
            <w:tab/>
          </w:r>
          <w:r>
            <w:t xml:space="preserve">14</w:t>
          </w:r>
        </w:p>
        <w:p>
          <w:pPr>
            <w:pStyle w:val="TOC3"/>
            <w:tabs>
              <w:tab w:val="right" w:leader="dot" w:pos="9072"/>
            </w:tabs>
          </w:pPr>
          <w:r>
            <w:t xml:space="preserve">Implementation Phases</w:t>
          </w:r>
          <w:r>
            <w:tab/>
          </w:r>
          <w:r>
            <w:t xml:space="preserve">15</w:t>
          </w:r>
        </w:p>
        <w:p>
          <w:pPr>
            <w:pStyle w:val="TOC3"/>
            <w:tabs>
              <w:tab w:val="right" w:leader="dot" w:pos="9072"/>
            </w:tabs>
          </w:pPr>
          <w:r>
            <w:t xml:space="preserve">Accelerators</w:t>
          </w:r>
          <w:r>
            <w:tab/>
          </w:r>
          <w:r>
            <w:t xml:space="preserve">16</w:t>
          </w:r>
        </w:p>
        <w:p>
          <w:pPr>
            <w:pStyle w:val="TOC3"/>
            <w:tabs>
              <w:tab w:val="right" w:leader="dot" w:pos="9072"/>
            </w:tabs>
          </w:pPr>
          <w:r>
            <w:t xml:space="preserve">Risks to Timeline</w:t>
          </w:r>
          <w:r>
            <w:tab/>
          </w:r>
          <w:r>
            <w:t xml:space="preserve">17</w:t>
          </w:r>
        </w:p>
        <w:p>
          <w:pPr>
            <w:pStyle w:val="TOC3"/>
            <w:tabs>
              <w:tab w:val="right" w:leader="dot" w:pos="9072"/>
            </w:tabs>
          </w:pPr>
          <w:r>
            <w:t xml:space="preserve">Training</w:t>
          </w:r>
          <w:r>
            <w:tab/>
          </w:r>
          <w:r>
            <w:t xml:space="preserve">18</w:t>
          </w:r>
        </w:p>
        <w:p>
          <w:pPr>
            <w:pStyle w:val="TOC2"/>
            <w:tabs>
              <w:tab w:val="right" w:leader="dot" w:pos="9072"/>
            </w:tabs>
          </w:pPr>
          <w:r>
            <w:t xml:space="preserve">Support and Operational Costs</w:t>
          </w:r>
          <w:r>
            <w:tab/>
          </w:r>
          <w:r>
            <w:t xml:space="preserve">19</w:t>
          </w:r>
        </w:p>
        <w:p>
          <w:pPr>
            <w:pStyle w:val="TOC3"/>
            <w:tabs>
              <w:tab w:val="right" w:leader="dot" w:pos="9072"/>
            </w:tabs>
          </w:pPr>
          <w:r>
            <w:t xml:space="preserve">Support Recommendation</w:t>
          </w:r>
          <w:r>
            <w:tab/>
          </w:r>
          <w:r>
            <w:t xml:space="preserve">20</w:t>
          </w:r>
        </w:p>
        <w:p>
          <w:pPr>
            <w:pStyle w:val="TOC3"/>
            <w:tabs>
              <w:tab w:val="right" w:leader="dot" w:pos="9072"/>
            </w:tabs>
          </w:pPr>
          <w:r>
            <w:t xml:space="preserve">Support Tier Comparison</w:t>
          </w:r>
          <w:r>
            <w:tab/>
          </w:r>
          <w:r>
            <w:t xml:space="preserve">21</w:t>
          </w:r>
        </w:p>
        <w:p>
          <w:pPr>
            <w:pStyle w:val="TOC3"/>
            <w:tabs>
              <w:tab w:val="right" w:leader="dot" w:pos="9072"/>
            </w:tabs>
          </w:pPr>
          <w:r>
            <w:t xml:space="preserve">Severity Matrix</w:t>
          </w:r>
          <w:r>
            <w:tab/>
          </w:r>
          <w:r>
            <w:t xml:space="preserve">22</w:t>
          </w:r>
        </w:p>
        <w:p>
          <w:pPr>
            <w:pStyle w:val="TOC2"/>
            <w:tabs>
              <w:tab w:val="right" w:leader="dot" w:pos="9072"/>
            </w:tabs>
          </w:pPr>
          <w:r>
            <w:t xml:space="preserve">Total Cost of Ownership Analysis</w:t>
          </w:r>
          <w:r>
            <w:tab/>
          </w:r>
          <w:r>
            <w:t xml:space="preserve">23</w:t>
          </w:r>
        </w:p>
        <w:p>
          <w:pPr>
            <w:pStyle w:val="TOC3"/>
            <w:tabs>
              <w:tab w:val="right" w:leader="dot" w:pos="9072"/>
            </w:tabs>
          </w:pPr>
          <w:r>
            <w:t xml:space="preserve">3-Year TCO: DALP</w:t>
          </w:r>
          <w:r>
            <w:tab/>
          </w:r>
          <w:r>
            <w:t xml:space="preserve">24</w:t>
          </w:r>
        </w:p>
        <w:p>
          <w:pPr>
            <w:pStyle w:val="TOC3"/>
            <w:tabs>
              <w:tab w:val="right" w:leader="dot" w:pos="9072"/>
            </w:tabs>
          </w:pPr>
          <w:r>
            <w:t xml:space="preserve">Comparative Analysis</w:t>
          </w:r>
          <w:r>
            <w:tab/>
          </w:r>
          <w:r>
            <w:t xml:space="preserve">25</w:t>
          </w:r>
        </w:p>
        <w:p>
          <w:pPr>
            <w:pStyle w:val="TOC2"/>
            <w:tabs>
              <w:tab w:val="right" w:leader="dot" w:pos="9072"/>
            </w:tabs>
          </w:pPr>
          <w:r>
            <w:t xml:space="preserve">Payment Terms and Commercial Structure</w:t>
          </w:r>
          <w:r>
            <w:tab/>
          </w:r>
          <w:r>
            <w:t xml:space="preserve">26</w:t>
          </w:r>
        </w:p>
        <w:p>
          <w:pPr>
            <w:pStyle w:val="TOC3"/>
            <w:tabs>
              <w:tab w:val="right" w:leader="dot" w:pos="9072"/>
            </w:tabs>
          </w:pPr>
          <w:r>
            <w:t xml:space="preserve">Platform License</w:t>
          </w:r>
          <w:r>
            <w:tab/>
          </w:r>
          <w:r>
            <w:t xml:space="preserve">27</w:t>
          </w:r>
        </w:p>
        <w:p>
          <w:pPr>
            <w:pStyle w:val="TOC3"/>
            <w:tabs>
              <w:tab w:val="right" w:leader="dot" w:pos="9072"/>
            </w:tabs>
          </w:pPr>
          <w:r>
            <w:t xml:space="preserve">Implementation Payment Schedule</w:t>
          </w:r>
          <w:r>
            <w:tab/>
          </w:r>
          <w:r>
            <w:t xml:space="preserve">28</w:t>
          </w:r>
        </w:p>
        <w:p>
          <w:pPr>
            <w:pStyle w:val="TOC3"/>
            <w:tabs>
              <w:tab w:val="right" w:leader="dot" w:pos="9072"/>
            </w:tabs>
          </w:pPr>
          <w:r>
            <w:t xml:space="preserve">Payment Terms</w:t>
          </w:r>
          <w:r>
            <w:tab/>
          </w:r>
          <w:r>
            <w:t xml:space="preserve">29</w:t>
          </w:r>
        </w:p>
        <w:p>
          <w:pPr>
            <w:pStyle w:val="TOC3"/>
            <w:tabs>
              <w:tab w:val="right" w:leader="dot" w:pos="9072"/>
            </w:tabs>
          </w:pPr>
          <w:r>
            <w:t xml:space="preserve">Contract Duration</w:t>
          </w:r>
          <w:r>
            <w:tab/>
          </w:r>
          <w:r>
            <w:t xml:space="preserve">30</w:t>
          </w:r>
        </w:p>
        <w:p>
          <w:pPr>
            <w:pStyle w:val="TOC2"/>
            <w:tabs>
              <w:tab w:val="right" w:leader="dot" w:pos="9072"/>
            </w:tabs>
          </w:pPr>
          <w:r>
            <w:t xml:space="preserve">Value Realisation and ROI Analysis</w:t>
          </w:r>
          <w:r>
            <w:tab/>
          </w:r>
          <w:r>
            <w:t xml:space="preserve">31</w:t>
          </w:r>
        </w:p>
        <w:p>
          <w:pPr>
            <w:pStyle w:val="TOC3"/>
            <w:tabs>
              <w:tab w:val="right" w:leader="dot" w:pos="9072"/>
            </w:tabs>
          </w:pPr>
          <w:r>
            <w:t xml:space="preserve">Value Drivers</w:t>
          </w:r>
          <w:r>
            <w:tab/>
          </w:r>
          <w:r>
            <w:t xml:space="preserve">32</w:t>
          </w:r>
        </w:p>
        <w:p>
          <w:pPr>
            <w:pStyle w:val="TOC3"/>
            <w:tabs>
              <w:tab w:val="right" w:leader="dot" w:pos="9072"/>
            </w:tabs>
          </w:pPr>
          <w:r>
            <w:t xml:space="preserve">Payback Analysis</w:t>
          </w:r>
          <w:r>
            <w:tab/>
          </w:r>
          <w:r>
            <w:t xml:space="preserve">33</w:t>
          </w:r>
        </w:p>
        <w:p>
          <w:pPr>
            <w:pStyle w:val="TOC2"/>
            <w:tabs>
              <w:tab w:val="right" w:leader="dot" w:pos="9072"/>
            </w:tabs>
          </w:pPr>
          <w:r>
            <w:t xml:space="preserve">Commercial Assumptions and Dependencies</w:t>
          </w:r>
          <w:r>
            <w:tab/>
          </w:r>
          <w:r>
            <w:t xml:space="preserve">34</w:t>
          </w:r>
        </w:p>
        <w:p>
          <w:pPr>
            <w:pStyle w:val="TOC2"/>
            <w:tabs>
              <w:tab w:val="right" w:leader="dot" w:pos="9072"/>
            </w:tabs>
          </w:pPr>
          <w:r>
            <w:t xml:space="preserve">Contractual Framework Overview</w:t>
          </w:r>
          <w:r>
            <w:tab/>
          </w:r>
          <w:r>
            <w:t xml:space="preserve">35</w:t>
          </w:r>
        </w:p>
        <w:p>
          <w:pPr>
            <w:pStyle w:val="TOC3"/>
            <w:tabs>
              <w:tab w:val="right" w:leader="dot" w:pos="9072"/>
            </w:tabs>
          </w:pPr>
          <w:r>
            <w:t xml:space="preserve">Agreement Structure</w:t>
          </w:r>
          <w:r>
            <w:tab/>
          </w:r>
          <w:r>
            <w:t xml:space="preserve">36</w:t>
          </w:r>
        </w:p>
        <w:p>
          <w:pPr>
            <w:pStyle w:val="TOC3"/>
            <w:tabs>
              <w:tab w:val="right" w:leader="dot" w:pos="9072"/>
            </w:tabs>
          </w:pPr>
          <w:r>
            <w:t xml:space="preserve">Intellectual Property</w:t>
          </w:r>
          <w:r>
            <w:tab/>
          </w:r>
          <w:r>
            <w:t xml:space="preserve">37</w:t>
          </w:r>
        </w:p>
        <w:p>
          <w:pPr>
            <w:pStyle w:val="TOC3"/>
            <w:tabs>
              <w:tab w:val="right" w:leader="dot" w:pos="9072"/>
            </w:tabs>
          </w:pPr>
          <w:r>
            <w:t xml:space="preserve">Liability</w:t>
          </w:r>
          <w:r>
            <w:tab/>
          </w:r>
          <w:r>
            <w:t xml:space="preserve">38</w:t>
          </w:r>
        </w:p>
        <w:p>
          <w:pPr>
            <w:pStyle w:val="TOC3"/>
            <w:tabs>
              <w:tab w:val="right" w:leader="dot" w:pos="9072"/>
            </w:tabs>
          </w:pPr>
          <w:r>
            <w:t xml:space="preserve">Data Handling</w:t>
          </w:r>
          <w:r>
            <w:tab/>
          </w:r>
          <w:r>
            <w:t xml:space="preserve">39</w:t>
          </w:r>
        </w:p>
        <w:p>
          <w:pPr>
            <w:pStyle w:val="TOC2"/>
            <w:tabs>
              <w:tab w:val="right" w:leader="dot" w:pos="9072"/>
            </w:tabs>
          </w:pPr>
          <w:r>
            <w:t xml:space="preserve">Appendix A: Detailed Pricing Schedule</w:t>
          </w:r>
          <w:r>
            <w:tab/>
          </w:r>
          <w:r>
            <w:t xml:space="preserve">40</w:t>
          </w:r>
        </w:p>
        <w:p>
          <w:pPr>
            <w:pStyle w:val="TOC3"/>
            <w:tabs>
              <w:tab w:val="right" w:leader="dot" w:pos="9072"/>
            </w:tabs>
          </w:pPr>
          <w:r>
            <w:t xml:space="preserve">Annual Recurring</w:t>
          </w:r>
          <w:r>
            <w:tab/>
          </w:r>
          <w:r>
            <w:t xml:space="preserve">41</w:t>
          </w:r>
        </w:p>
        <w:p>
          <w:pPr>
            <w:pStyle w:val="TOC3"/>
            <w:tabs>
              <w:tab w:val="right" w:leader="dot" w:pos="9072"/>
            </w:tabs>
          </w:pPr>
          <w:r>
            <w:t xml:space="preserve">Implementation (One-Time)</w:t>
          </w:r>
          <w:r>
            <w:tab/>
          </w:r>
          <w:r>
            <w:t xml:space="preserve">42</w:t>
          </w:r>
        </w:p>
        <w:p>
          <w:pPr>
            <w:pStyle w:val="TOC2"/>
            <w:tabs>
              <w:tab w:val="right" w:leader="dot" w:pos="9072"/>
            </w:tabs>
          </w:pPr>
          <w:r>
            <w:t xml:space="preserve">Appendix B: Implementation Milestone and Payment Schedule</w:t>
          </w:r>
          <w:r>
            <w:tab/>
          </w:r>
          <w:r>
            <w:t xml:space="preserve">43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Interswitch (Nigeria)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INTERSWITCH-RFP-TOKENIZED-PAYMENT-SETTLEMENT-202603</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Investment Summary</w:t>
      </w:r>
    </w:p>
    <w:p>
      <w:pPr>
        <w:pStyle w:val="ListParagraph"/>
        <w:numPr>
          <w:ilvl w:val="0"/>
          <w:numId w:val="4"/>
        </w:numPr>
      </w:pPr>
      <w:r>
        <w:rPr>
          <w:rFonts w:ascii="Figtree" w:hAnsi="Figtree"/>
          <w:b w:val="0"/>
          <w:i w:val="0"/>
          <w:sz w:val="22"/>
        </w:rPr>
        <w:t>Licensing and Subscription Model</w:t>
      </w:r>
    </w:p>
    <w:p>
      <w:pPr>
        <w:pStyle w:val="ListParagraph"/>
        <w:numPr>
          <w:ilvl w:val="0"/>
          <w:numId w:val="4"/>
        </w:numPr>
      </w:pPr>
      <w:r>
        <w:rPr>
          <w:rFonts w:ascii="Figtree" w:hAnsi="Figtree"/>
          <w:b w:val="0"/>
          <w:i w:val="0"/>
          <w:sz w:val="22"/>
        </w:rPr>
        <w:t>Implementation Investment</w:t>
      </w:r>
    </w:p>
    <w:p>
      <w:pPr>
        <w:pStyle w:val="ListParagraph"/>
        <w:numPr>
          <w:ilvl w:val="0"/>
          <w:numId w:val="4"/>
        </w:numPr>
      </w:pPr>
      <w:r>
        <w:rPr>
          <w:rFonts w:ascii="Figtree" w:hAnsi="Figtree"/>
          <w:b w:val="0"/>
          <w:i w:val="0"/>
          <w:sz w:val="22"/>
        </w:rPr>
        <w:t>Support and Operational Costs</w:t>
      </w:r>
    </w:p>
    <w:p>
      <w:pPr>
        <w:pStyle w:val="ListParagraph"/>
        <w:numPr>
          <w:ilvl w:val="0"/>
          <w:numId w:val="4"/>
        </w:numPr>
      </w:pPr>
      <w:r>
        <w:rPr>
          <w:rFonts w:ascii="Figtree" w:hAnsi="Figtree"/>
          <w:b w:val="0"/>
          <w:i w:val="0"/>
          <w:sz w:val="22"/>
        </w:rPr>
        <w:t>Total Cost of Ownership Analysis</w:t>
      </w:r>
    </w:p>
    <w:p>
      <w:pPr>
        <w:pStyle w:val="ListParagraph"/>
        <w:numPr>
          <w:ilvl w:val="0"/>
          <w:numId w:val="4"/>
        </w:numPr>
      </w:pPr>
      <w:r>
        <w:rPr>
          <w:rFonts w:ascii="Figtree" w:hAnsi="Figtree"/>
          <w:b w:val="0"/>
          <w:i w:val="0"/>
          <w:sz w:val="22"/>
        </w:rPr>
        <w:t>Payment Terms and Commercial Structure</w:t>
      </w:r>
    </w:p>
    <w:p>
      <w:pPr>
        <w:pStyle w:val="ListParagraph"/>
        <w:numPr>
          <w:ilvl w:val="0"/>
          <w:numId w:val="4"/>
        </w:numPr>
      </w:pPr>
      <w:r>
        <w:rPr>
          <w:rFonts w:ascii="Figtree" w:hAnsi="Figtree"/>
          <w:b w:val="0"/>
          <w:i w:val="0"/>
          <w:sz w:val="22"/>
        </w:rPr>
        <w:t>Value Realisation and ROI Analysis</w:t>
      </w:r>
    </w:p>
    <w:p>
      <w:pPr>
        <w:pStyle w:val="ListParagraph"/>
        <w:numPr>
          <w:ilvl w:val="0"/>
          <w:numId w:val="4"/>
        </w:numPr>
      </w:pPr>
      <w:r>
        <w:rPr>
          <w:rFonts w:ascii="Figtree" w:hAnsi="Figtree"/>
          <w:b w:val="0"/>
          <w:i w:val="0"/>
          <w:sz w:val="22"/>
        </w:rPr>
        <w:t>Commercial Assumptions and Dependencies</w:t>
      </w:r>
    </w:p>
    <w:p>
      <w:pPr>
        <w:pStyle w:val="ListParagraph"/>
        <w:numPr>
          <w:ilvl w:val="0"/>
          <w:numId w:val="4"/>
        </w:numPr>
      </w:pPr>
      <w:r>
        <w:rPr>
          <w:rFonts w:ascii="Figtree" w:hAnsi="Figtree"/>
          <w:b w:val="0"/>
          <w:i w:val="0"/>
          <w:sz w:val="22"/>
        </w:rPr>
        <w:t>Contractual Framework Overview</w:t>
      </w:r>
    </w:p>
    <w:p>
      <w:pPr>
        <w:pStyle w:val="ListParagraph"/>
        <w:numPr>
          <w:ilvl w:val="0"/>
          <w:numId w:val="4"/>
        </w:numPr>
      </w:pPr>
      <w:r>
        <w:rPr>
          <w:rFonts w:ascii="Figtree" w:hAnsi="Figtree"/>
          <w:b w:val="0"/>
          <w:i w:val="0"/>
          <w:sz w:val="22"/>
        </w:rPr>
        <w:t>Appendix A: Detailed Pricing Schedule</w:t>
      </w:r>
    </w:p>
    <w:p>
      <w:pPr>
        <w:pStyle w:val="ListParagraph"/>
        <w:numPr>
          <w:ilvl w:val="0"/>
          <w:numId w:val="4"/>
        </w:numPr>
      </w:pPr>
      <w:r>
        <w:rPr>
          <w:rFonts w:ascii="Figtree" w:hAnsi="Figtree"/>
          <w:b w:val="0"/>
          <w:i w:val="0"/>
          <w:sz w:val="22"/>
        </w:rPr>
        <w:t>Appendix B: Implementation Milestone and Payment Schedule</w:t>
      </w:r>
    </w:p>
    <w:p>
      <w:r>
        <w:br w:type="page"/>
      </w:r>
    </w:p>
    <w:p>
      <w:pPr>
        <w:pStyle w:val="H2"/>
        <w:numPr>
          <w:ilvl w:val="1"/>
          <w:numId w:val="1"/>
        </w:numPr>
      </w:pPr>
      <w:r>
        <w:t>Executive Summary</w:t>
      </w:r>
    </w:p>
    <w:p>
      <w:pPr>
        <w:pStyle w:val="H3"/>
        <w:numPr>
          <w:ilvl w:val="2"/>
          <w:numId w:val="1"/>
        </w:numPr>
      </w:pPr>
      <w:r>
        <w:t>The Commercial Context</w:t>
      </w:r>
    </w:p>
    <w:p>
      <w:r>
        <w:rPr>
          <w:rFonts w:ascii="Figtree" w:hAnsi="Figtree"/>
          <w:b w:val="0"/>
          <w:i w:val="0"/>
          <w:sz w:val="22"/>
        </w:rPr>
        <w:t>Interswitch operates payment switching and settlement infrastructure that processes billions of naira in daily settlement flows across Nigeria's banking ecosystem. The company's role as a central payment infrastructure operator means that any platform investment must deliver against operational imperatives, not innovation experiments: settlement reliability, regulatory defensibility under CBN oversight, and reconciliation quality that participant banks and merchants can trust.</w:t>
      </w:r>
    </w:p>
    <w:p>
      <w:r>
        <w:rPr>
          <w:rFonts w:ascii="Figtree" w:hAnsi="Figtree"/>
          <w:b w:val="0"/>
          <w:i w:val="0"/>
          <w:sz w:val="22"/>
        </w:rPr>
        <w:t>The tokenized payment settlement programme is a focused infrastructure investment. It places a programmable, auditable settlement layer underneath existing switching flows to reduce reconciliation overhead, automate compliance evidence generation, and deliver settlement finality that is tamper-evident rather than message-based. The commercial case rests on operational efficiency gains and risk reduction, not on speculative technology adoption.</w:t>
      </w:r>
    </w:p>
    <w:p>
      <w:pPr>
        <w:pStyle w:val="H3"/>
        <w:numPr>
          <w:ilvl w:val="2"/>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39"/>
        <w:gridCol w:w="3258"/>
        <w:gridCol w:w="167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w:t>
            </w:r>
          </w:p>
        </w:tc>
        <w:tc>
          <w:tcPr>
            <w:tcW w:type="dxa" w:w="3249"/>
            <w:vAlign w:val="center"/>
          </w:tcPr>
          <w:p>
            <w:pPr>
              <w:spacing w:line="276" w:lineRule="auto" w:before="0" w:after="0"/>
            </w:pPr>
            <w:r/>
            <w:r>
              <w:rPr>
                <w:rFonts w:ascii="Figtree" w:hAnsi="Figtree"/>
                <w:b w:val="0"/>
                <w:i w:val="0"/>
                <w:sz w:val="20"/>
              </w:rPr>
              <w:t>Enterprise tier</w:t>
            </w:r>
          </w:p>
        </w:tc>
        <w:tc>
          <w:tcPr>
            <w:tcW w:type="dxa" w:w="3249"/>
            <w:vAlign w:val="center"/>
          </w:tcPr>
          <w:p>
            <w:pPr>
              <w:spacing w:line="276" w:lineRule="auto" w:before="0" w:after="0"/>
            </w:pPr>
            <w:r/>
            <w:r>
              <w:rPr>
                <w:rFonts w:ascii="Figtree" w:hAnsi="Figtree"/>
                <w:b w:val="0"/>
                <w:i w:val="0"/>
                <w:sz w:val="20"/>
              </w:rPr>
              <w:t>$240,000/year</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 (UAT + DR)</w:t>
            </w:r>
          </w:p>
        </w:tc>
        <w:tc>
          <w:tcPr>
            <w:tcW w:type="dxa" w:w="3249"/>
            <w:vAlign w:val="center"/>
          </w:tcPr>
          <w:p>
            <w:pPr>
              <w:spacing w:line="276" w:lineRule="auto" w:before="0" w:after="0"/>
            </w:pPr>
            <w:r/>
            <w:r>
              <w:rPr>
                <w:rFonts w:ascii="Figtree" w:hAnsi="Figtree"/>
                <w:b w:val="0"/>
                <w:i w:val="0"/>
                <w:sz w:val="20"/>
              </w:rPr>
              <w:t>2 x environments</w:t>
            </w:r>
          </w:p>
        </w:tc>
        <w:tc>
          <w:tcPr>
            <w:tcW w:type="dxa" w:w="3249"/>
            <w:vAlign w:val="center"/>
          </w:tcPr>
          <w:p>
            <w:pPr>
              <w:spacing w:line="276" w:lineRule="auto" w:before="0" w:after="0"/>
            </w:pPr>
            <w:r/>
            <w:r>
              <w:rPr>
                <w:rFonts w:ascii="Figtree" w:hAnsi="Figtree"/>
                <w:b w:val="0"/>
                <w:i w:val="0"/>
                <w:sz w:val="20"/>
              </w:rPr>
              <w:t>$50,000/year</w:t>
            </w:r>
          </w:p>
        </w:tc>
      </w:tr>
      <w:tr>
        <w:trPr>
          <w:trHeight w:val="425" w:hRule="atLeast"/>
        </w:trPr>
        <w:tc>
          <w:tcPr>
            <w:tcW w:type="dxa" w:w="3249"/>
            <w:vAlign w:val="center"/>
          </w:tcPr>
          <w:p>
            <w:pPr>
              <w:spacing w:line="276" w:lineRule="auto" w:before="0" w:after="0"/>
            </w:pPr>
            <w:r/>
            <w:r>
              <w:rPr>
                <w:rFonts w:ascii="Figtree" w:hAnsi="Figtree"/>
                <w:b w:val="0"/>
                <w:i w:val="0"/>
                <w:sz w:val="20"/>
              </w:rPr>
              <w:t>Premium support (24/7)</w:t>
            </w:r>
          </w:p>
        </w:tc>
        <w:tc>
          <w:tcPr>
            <w:tcW w:type="dxa" w:w="3249"/>
            <w:vAlign w:val="center"/>
          </w:tcPr>
          <w:p>
            <w:pPr>
              <w:spacing w:line="276" w:lineRule="auto" w:before="0" w:after="0"/>
            </w:pPr>
            <w:r/>
            <w:r>
              <w:rPr>
                <w:rFonts w:ascii="Figtree" w:hAnsi="Figtree"/>
                <w:b w:val="0"/>
                <w:i w:val="0"/>
                <w:sz w:val="20"/>
              </w:rPr>
              <w:t>Settlement infrastructure requirement</w:t>
            </w:r>
          </w:p>
        </w:tc>
        <w:tc>
          <w:tcPr>
            <w:tcW w:type="dxa" w:w="3249"/>
            <w:vAlign w:val="center"/>
          </w:tcPr>
          <w:p>
            <w:pPr>
              <w:spacing w:line="276" w:lineRule="auto" w:before="0" w:after="0"/>
            </w:pPr>
            <w:r/>
            <w:r>
              <w:rPr>
                <w:rFonts w:ascii="Figtree" w:hAnsi="Figtree"/>
                <w:b w:val="0"/>
                <w:i w:val="0"/>
                <w:sz w:val="20"/>
              </w:rPr>
              <w:t>$85,000/year</w:t>
            </w:r>
          </w:p>
        </w:tc>
      </w:tr>
      <w:tr>
        <w:trPr>
          <w:trHeight w:val="425" w:hRule="atLeast"/>
        </w:trPr>
        <w:tc>
          <w:tcPr>
            <w:tcW w:type="dxa" w:w="3249"/>
            <w:vAlign w:val="center"/>
          </w:tcPr>
          <w:p>
            <w:pPr>
              <w:spacing w:line="276" w:lineRule="auto" w:before="0" w:after="0"/>
            </w:pPr>
            <w:r/>
            <w:r>
              <w:rPr>
                <w:rFonts w:ascii="Figtree" w:hAnsi="Figtree"/>
                <w:b/>
                <w:i w:val="0"/>
                <w:sz w:val="20"/>
              </w:rPr>
              <w:t>Annual recurring</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$375,000/year</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Full programme delivery</w:t>
            </w:r>
          </w:p>
        </w:tc>
        <w:tc>
          <w:tcPr>
            <w:tcW w:type="dxa" w:w="3249"/>
            <w:vAlign w:val="center"/>
          </w:tcPr>
          <w:p>
            <w:pPr>
              <w:spacing w:line="276" w:lineRule="auto" w:before="0" w:after="0"/>
            </w:pPr>
            <w:r/>
            <w:r>
              <w:rPr>
                <w:rFonts w:ascii="Figtree" w:hAnsi="Figtree"/>
                <w:b w:val="0"/>
                <w:i w:val="0"/>
                <w:sz w:val="20"/>
              </w:rPr>
              <w:t>$360,000 (one-time)</w:t>
            </w:r>
          </w:p>
        </w:tc>
      </w:tr>
      <w:tr>
        <w:trPr>
          <w:trHeight w:val="425" w:hRule="atLeast"/>
        </w:trPr>
        <w:tc>
          <w:tcPr>
            <w:tcW w:type="dxa" w:w="3249"/>
            <w:vAlign w:val="center"/>
          </w:tcPr>
          <w:p>
            <w:pPr>
              <w:spacing w:line="276" w:lineRule="auto" w:before="0" w:after="0"/>
            </w:pPr>
            <w:r/>
            <w:r>
              <w:rPr>
                <w:rFonts w:ascii="Figtree" w:hAnsi="Figtree"/>
                <w:b/>
                <w:i w:val="0"/>
                <w:sz w:val="20"/>
              </w:rPr>
              <w:t>Year 1 total</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$735,000</w:t>
            </w:r>
          </w:p>
        </w:tc>
      </w:tr>
      <w:tr>
        <w:trPr>
          <w:trHeight w:val="425" w:hRule="atLeast"/>
        </w:trPr>
        <w:tc>
          <w:tcPr>
            <w:tcW w:type="dxa" w:w="3249"/>
            <w:vAlign w:val="center"/>
          </w:tcPr>
          <w:p>
            <w:pPr>
              <w:spacing w:line="276" w:lineRule="auto" w:before="0" w:after="0"/>
            </w:pPr>
            <w:r/>
            <w:r>
              <w:rPr>
                <w:rFonts w:ascii="Figtree" w:hAnsi="Figtree"/>
                <w:b/>
                <w:i w:val="0"/>
                <w:sz w:val="20"/>
              </w:rPr>
              <w:t>3-year TCO (base platform, excluding infra)</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$1,455,000</w:t>
            </w:r>
          </w:p>
        </w:tc>
      </w:tr>
    </w:tbl>
    <w:p>
      <w:pPr>
        <w:spacing w:before="0" w:after="0" w:line="120" w:lineRule="exact"/>
      </w:pPr>
    </w:p>
    <w:p>
      <w:r>
        <w:rPr>
          <w:rFonts w:ascii="Figtree" w:hAnsi="Figtree"/>
          <w:b w:val="0"/>
          <w:i w:val="0"/>
          <w:sz w:val="22"/>
        </w:rPr>
        <w:t>The Year 2 and Year 3 license reflects a 5% multi-year commitment discount applied at contract signature.</w:t>
      </w:r>
    </w:p>
    <w:p>
      <w:pPr>
        <w:pStyle w:val="H3"/>
        <w:numPr>
          <w:ilvl w:val="2"/>
          <w:numId w:val="1"/>
        </w:numPr>
      </w:pPr>
      <w:r>
        <w:t>Commercial Logic</w:t>
      </w:r>
    </w:p>
    <w:p>
      <w:r>
        <w:rPr>
          <w:rFonts w:ascii="Figtree" w:hAnsi="Figtree"/>
          <w:b w:val="0"/>
          <w:i w:val="0"/>
          <w:sz w:val="22"/>
        </w:rPr>
        <w:t>For Interswitch, the primary commercial justification for DALP is operational cost avoidance rather than net-new revenue. The settlement reconciliation process currently requires significant manual labour across Interswitch's treasury and operations teams: matching settlement cycle records against participant bank statements, resolving timing mismatches, assembling evidence for CBN regulatory requests, and managing exception queues when settlement fails. DALP automates the evidence generation side of this process and provides deterministic identifiers that reconciliation systems can match without manual intervention.</w:t>
      </w:r>
    </w:p>
    <w:p>
      <w:r>
        <w:rPr>
          <w:rFonts w:ascii="Figtree" w:hAnsi="Figtree"/>
          <w:b w:val="0"/>
          <w:i w:val="0"/>
          <w:sz w:val="22"/>
        </w:rPr>
        <w:t>A conservative estimate of three reconciliation analysts at N15 million loaded cost each (approximately $18,000 USD per analyst at current exchange rates) represents approximately $54,000 in annual labour cost. At scale, with higher analyst costs and broader scope, the operational efficiency value is clearer in the executive sponsorship conversation than in a simple cost model.</w:t>
      </w:r>
    </w:p>
    <w:p>
      <w:r>
        <w:rPr>
          <w:rFonts w:ascii="Figtree" w:hAnsi="Figtree"/>
          <w:b w:val="0"/>
          <w:i w:val="0"/>
          <w:sz w:val="22"/>
        </w:rPr>
        <w:t>The more compelling value driver for Interswitch is risk reduction: CBN supervisory requests that currently require days of log correlation can be fulfilled from the Chain Indexer API in minutes. Settlement disputes with participant banks can be resolved against an immutable on-chain record rather than competing internal ledger claims. These risk reduction benefits are harder to quantify but are the primary driver of procurement urgency.</w:t>
      </w:r>
    </w:p>
    <w:p>
      <w:r>
        <w:br w:type="page"/>
      </w:r>
    </w:p>
    <w:p>
      <w:pPr>
        <w:pStyle w:val="H2"/>
        <w:numPr>
          <w:ilvl w:val="1"/>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3"/>
        <w:gridCol w:w="610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Decision 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Platform</w:t>
            </w:r>
          </w:p>
        </w:tc>
        <w:tc>
          <w:tcPr>
            <w:tcW w:type="dxa" w:w="4873"/>
            <w:vAlign w:val="center"/>
          </w:tcPr>
          <w:p>
            <w:pPr>
              <w:spacing w:line="276" w:lineRule="auto" w:before="0" w:after="0"/>
            </w:pPr>
            <w:r/>
            <w:r>
              <w:rPr>
                <w:rFonts w:ascii="Figtree" w:hAnsi="Figtree"/>
                <w:b w:val="0"/>
                <w:i w:val="0"/>
                <w:sz w:val="20"/>
              </w:rPr>
              <w:t>DALP 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On-premises (Interswitch data centres) or private cloud</w:t>
            </w:r>
          </w:p>
        </w:tc>
      </w:tr>
      <w:tr>
        <w:trPr>
          <w:trHeight w:val="425" w:hRule="atLeast"/>
        </w:trPr>
        <w:tc>
          <w:tcPr>
            <w:tcW w:type="dxa" w:w="4873"/>
            <w:vAlign w:val="center"/>
          </w:tcPr>
          <w:p>
            <w:pPr>
              <w:spacing w:line="276" w:lineRule="auto" w:before="0" w:after="0"/>
            </w:pPr>
            <w:r/>
            <w:r>
              <w:rPr>
                <w:rFonts w:ascii="Figtree" w:hAnsi="Figtree"/>
                <w:b w:val="0"/>
                <w:i w:val="0"/>
                <w:sz w:val="20"/>
              </w:rPr>
              <w:t>Participant scope</w:t>
            </w:r>
          </w:p>
        </w:tc>
        <w:tc>
          <w:tcPr>
            <w:tcW w:type="dxa" w:w="4873"/>
            <w:vAlign w:val="center"/>
          </w:tcPr>
          <w:p>
            <w:pPr>
              <w:spacing w:line="276" w:lineRule="auto" w:before="0" w:after="0"/>
            </w:pPr>
            <w:r/>
            <w:r>
              <w:rPr>
                <w:rFonts w:ascii="Figtree" w:hAnsi="Figtree"/>
                <w:b w:val="0"/>
                <w:i w:val="0"/>
                <w:sz w:val="20"/>
              </w:rPr>
              <w:t>All CBN-licensed participant banks in settlement network</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Production + UAT + DR + Dev + Test (5 total)</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Premium (24/7/365)</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duration</w:t>
            </w:r>
          </w:p>
        </w:tc>
        <w:tc>
          <w:tcPr>
            <w:tcW w:type="dxa" w:w="4873"/>
            <w:vAlign w:val="center"/>
          </w:tcPr>
          <w:p>
            <w:pPr>
              <w:spacing w:line="276" w:lineRule="auto" w:before="0" w:after="0"/>
            </w:pPr>
            <w:r/>
            <w:r>
              <w:rPr>
                <w:rFonts w:ascii="Figtree" w:hAnsi="Figtree"/>
                <w:b w:val="0"/>
                <w:i w:val="0"/>
                <w:sz w:val="20"/>
              </w:rPr>
              <w:t>20 weeks to first pilot settlement cycle</w:t>
            </w:r>
          </w:p>
        </w:tc>
      </w:tr>
      <w:tr>
        <w:trPr>
          <w:trHeight w:val="425" w:hRule="atLeast"/>
        </w:trPr>
        <w:tc>
          <w:tcPr>
            <w:tcW w:type="dxa" w:w="4873"/>
            <w:vAlign w:val="center"/>
          </w:tcPr>
          <w:p>
            <w:pPr>
              <w:spacing w:line="276" w:lineRule="auto" w:before="0" w:after="0"/>
            </w:pPr>
            <w:r/>
            <w:r>
              <w:rPr>
                <w:rFonts w:ascii="Figtree" w:hAnsi="Figtree"/>
                <w:b w:val="0"/>
                <w:i w:val="0"/>
                <w:sz w:val="20"/>
              </w:rPr>
              <w:t>Year 1 total</w:t>
            </w:r>
          </w:p>
        </w:tc>
        <w:tc>
          <w:tcPr>
            <w:tcW w:type="dxa" w:w="4873"/>
            <w:vAlign w:val="center"/>
          </w:tcPr>
          <w:p>
            <w:pPr>
              <w:spacing w:line="276" w:lineRule="auto" w:before="0" w:after="0"/>
            </w:pPr>
            <w:r/>
            <w:r>
              <w:rPr>
                <w:rFonts w:ascii="Figtree" w:hAnsi="Figtree"/>
                <w:b w:val="0"/>
                <w:i w:val="0"/>
                <w:sz w:val="20"/>
              </w:rPr>
              <w:t>$735,000</w:t>
            </w:r>
          </w:p>
        </w:tc>
      </w:tr>
      <w:tr>
        <w:trPr>
          <w:trHeight w:val="425" w:hRule="atLeast"/>
        </w:trPr>
        <w:tc>
          <w:tcPr>
            <w:tcW w:type="dxa" w:w="4873"/>
            <w:vAlign w:val="center"/>
          </w:tcPr>
          <w:p>
            <w:pPr>
              <w:spacing w:line="276" w:lineRule="auto" w:before="0" w:after="0"/>
            </w:pPr>
            <w:r/>
            <w:r>
              <w:rPr>
                <w:rFonts w:ascii="Figtree" w:hAnsi="Figtree"/>
                <w:b w:val="0"/>
                <w:i w:val="0"/>
                <w:sz w:val="20"/>
              </w:rPr>
              <w:t>3-year TCO (base)</w:t>
            </w:r>
          </w:p>
        </w:tc>
        <w:tc>
          <w:tcPr>
            <w:tcW w:type="dxa" w:w="4873"/>
            <w:vAlign w:val="center"/>
          </w:tcPr>
          <w:p>
            <w:pPr>
              <w:spacing w:line="276" w:lineRule="auto" w:before="0" w:after="0"/>
            </w:pPr>
            <w:r/>
            <w:r>
              <w:rPr>
                <w:rFonts w:ascii="Figtree" w:hAnsi="Figtree"/>
                <w:b w:val="0"/>
                <w:i w:val="0"/>
                <w:sz w:val="20"/>
              </w:rPr>
              <w:t>$1,455,000</w:t>
            </w:r>
          </w:p>
        </w:tc>
      </w:tr>
      <w:tr>
        <w:trPr>
          <w:trHeight w:val="425" w:hRule="atLeast"/>
        </w:trPr>
        <w:tc>
          <w:tcPr>
            <w:tcW w:type="dxa" w:w="4873"/>
            <w:vAlign w:val="center"/>
          </w:tcPr>
          <w:p>
            <w:pPr>
              <w:spacing w:line="276" w:lineRule="auto" w:before="0" w:after="0"/>
            </w:pPr>
            <w:r/>
            <w:r>
              <w:rPr>
                <w:rFonts w:ascii="Figtree" w:hAnsi="Figtree"/>
                <w:b w:val="0"/>
                <w:i w:val="0"/>
                <w:sz w:val="20"/>
              </w:rPr>
              <w:t>Key commercial terms</w:t>
            </w:r>
          </w:p>
        </w:tc>
        <w:tc>
          <w:tcPr>
            <w:tcW w:type="dxa" w:w="4873"/>
            <w:vAlign w:val="center"/>
          </w:tcPr>
          <w:p>
            <w:pPr>
              <w:spacing w:line="276" w:lineRule="auto" w:before="0" w:after="0"/>
            </w:pPr>
            <w:r/>
            <w:r>
              <w:rPr>
                <w:rFonts w:ascii="Figtree" w:hAnsi="Figtree"/>
                <w:b w:val="0"/>
                <w:i w:val="0"/>
                <w:sz w:val="20"/>
              </w:rPr>
              <w:t>Annual subscription, milestone-based implementation</w:t>
            </w:r>
          </w:p>
        </w:tc>
      </w:tr>
    </w:tbl>
    <w:p>
      <w:pPr>
        <w:spacing w:before="0" w:after="0" w:line="120" w:lineRule="exact"/>
      </w:pPr>
    </w:p>
    <w:p>
      <w:r>
        <w:br w:type="page"/>
      </w:r>
    </w:p>
    <w:p>
      <w:pPr>
        <w:pStyle w:val="H2"/>
        <w:numPr>
          <w:ilvl w:val="1"/>
          <w:numId w:val="1"/>
        </w:numPr>
      </w:pPr>
      <w:r>
        <w:t>Licensing and Subscription Model</w:t>
      </w:r>
    </w:p>
    <w:p>
      <w:pPr>
        <w:pStyle w:val="H3"/>
        <w:numPr>
          <w:ilvl w:val="2"/>
          <w:numId w:val="1"/>
        </w:numPr>
      </w:pPr>
      <w:r>
        <w:t>Philosophy</w:t>
      </w:r>
    </w:p>
    <w:p>
      <w:r>
        <w:rPr>
          <w:rFonts w:ascii="Figtree" w:hAnsi="Figtree"/>
          <w:b w:val="0"/>
          <w:i w:val="0"/>
          <w:sz w:val="22"/>
        </w:rPr>
        <w:t>DALP licensing charges for platform access, not for settlement volume. As Interswitch processes more settlement cycles, adds more participant banks, and expands to new settlement use cases, the platform subscription does not increase. This model is appropriate for infrastructure operators who need cost predictability as volumes grow.</w:t>
      </w:r>
    </w:p>
    <w:p>
      <w:pPr>
        <w:pStyle w:val="H3"/>
        <w:numPr>
          <w:ilvl w:val="2"/>
          <w:numId w:val="1"/>
        </w:numPr>
      </w:pPr>
      <w:r>
        <w:t>What Is Included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37"/>
        <w:gridCol w:w="14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asset contract types (StableCoin, Deposit, Bond and others)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 (atomic multi-party settlement)</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token features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Vault multi-sig treasury addon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operations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REST API (OpenAPI 3.1) and TypeScript 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Webhooks and SSE event streams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(queryable event projection)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Observability stack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 and security patches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One production environment</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What Varies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2208"/>
        <w:gridCol w:w="50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Variable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Selection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w:t>
            </w:r>
          </w:p>
        </w:tc>
        <w:tc>
          <w:tcPr>
            <w:tcW w:type="dxa" w:w="3249"/>
            <w:vAlign w:val="center"/>
          </w:tcPr>
          <w:p>
            <w:pPr>
              <w:spacing w:line="276" w:lineRule="auto" w:before="0" w:after="0"/>
            </w:pPr>
            <w:r/>
            <w:r>
              <w:rPr>
                <w:rFonts w:ascii="Figtree" w:hAnsi="Figtree"/>
                <w:b w:val="0"/>
                <w:i w:val="0"/>
                <w:sz w:val="20"/>
              </w:rPr>
              <w:t>UAT + DR = 2 additional</w:t>
            </w:r>
          </w:p>
        </w:tc>
        <w:tc>
          <w:tcPr>
            <w:tcW w:type="dxa" w:w="3249"/>
            <w:vAlign w:val="center"/>
          </w:tcPr>
          <w:p>
            <w:pPr>
              <w:spacing w:line="276" w:lineRule="auto" w:before="0" w:after="0"/>
            </w:pPr>
            <w:r/>
            <w:r>
              <w:rPr>
                <w:rFonts w:ascii="Figtree" w:hAnsi="Figtree"/>
                <w:b w:val="0"/>
                <w:i w:val="0"/>
                <w:sz w:val="20"/>
              </w:rPr>
              <w:t>$25,000/year each</w:t>
            </w:r>
          </w:p>
        </w:tc>
      </w:tr>
      <w:tr>
        <w:trPr>
          <w:trHeight w:val="425" w:hRule="atLeast"/>
        </w:trPr>
        <w:tc>
          <w:tcPr>
            <w:tcW w:type="dxa" w:w="3249"/>
            <w:vAlign w:val="center"/>
          </w:tcPr>
          <w:p>
            <w:pPr>
              <w:spacing w:line="276" w:lineRule="auto" w:before="0" w:after="0"/>
            </w:pPr>
            <w:r/>
            <w:r>
              <w:rPr>
                <w:rFonts w:ascii="Figtree" w:hAnsi="Figtree"/>
                <w:b w:val="0"/>
                <w:i w:val="0"/>
                <w:sz w:val="20"/>
              </w:rPr>
              <w:t>Deployment</w:t>
            </w:r>
          </w:p>
        </w:tc>
        <w:tc>
          <w:tcPr>
            <w:tcW w:type="dxa" w:w="3249"/>
            <w:vAlign w:val="center"/>
          </w:tcPr>
          <w:p>
            <w:pPr>
              <w:spacing w:line="276" w:lineRule="auto" w:before="0" w:after="0"/>
            </w:pPr>
            <w:r/>
            <w:r>
              <w:rPr>
                <w:rFonts w:ascii="Figtree" w:hAnsi="Figtree"/>
                <w:b w:val="0"/>
                <w:i w:val="0"/>
                <w:sz w:val="20"/>
              </w:rPr>
              <w:t>On-premises or private cloud</w:t>
            </w:r>
          </w:p>
        </w:tc>
        <w:tc>
          <w:tcPr>
            <w:tcW w:type="dxa" w:w="3249"/>
            <w:vAlign w:val="center"/>
          </w:tcPr>
          <w:p>
            <w:pPr>
              <w:spacing w:line="276" w:lineRule="auto" w:before="0" w:after="0"/>
            </w:pPr>
            <w:r/>
            <w:r>
              <w:rPr>
                <w:rFonts w:ascii="Figtree" w:hAnsi="Figtree"/>
                <w:b w:val="0"/>
                <w:i w:val="0"/>
                <w:sz w:val="20"/>
              </w:rPr>
              <w:t>Infrastructure costs are Interswitch-borne</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Private Hyperledger Besu</w:t>
            </w:r>
          </w:p>
        </w:tc>
        <w:tc>
          <w:tcPr>
            <w:tcW w:type="dxa" w:w="3249"/>
            <w:vAlign w:val="center"/>
          </w:tcPr>
          <w:p>
            <w:pPr>
              <w:spacing w:line="276" w:lineRule="auto" w:before="0" w:after="0"/>
            </w:pPr>
            <w:r/>
            <w:r>
              <w:rPr>
                <w:rFonts w:ascii="Figtree" w:hAnsi="Figtree"/>
                <w:b w:val="0"/>
                <w:i w:val="0"/>
                <w:sz w:val="20"/>
              </w:rPr>
              <w:t>Interswitch-operated; infrastructure costs are Interswitch-borne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HSM tier for treasury</w:t>
            </w:r>
          </w:p>
        </w:tc>
        <w:tc>
          <w:tcPr>
            <w:tcW w:type="dxa" w:w="3249"/>
            <w:vAlign w:val="center"/>
          </w:tcPr>
          <w:p>
            <w:pPr>
              <w:spacing w:line="276" w:lineRule="auto" w:before="0" w:after="0"/>
            </w:pPr>
            <w:r/>
            <w:r>
              <w:rPr>
                <w:rFonts w:ascii="Figtree" w:hAnsi="Figtree"/>
                <w:b w:val="0"/>
                <w:i w:val="0"/>
                <w:sz w:val="20"/>
              </w:rPr>
              <w:t>HSM hardware is Interswitch-procured</w:t>
            </w:r>
          </w:p>
        </w:tc>
      </w:tr>
      <w:tr>
        <w:trPr>
          <w:trHeight w:val="425" w:hRule="atLeast"/>
        </w:trPr>
        <w:tc>
          <w:tcPr>
            <w:tcW w:type="dxa" w:w="3249"/>
            <w:vAlign w:val="center"/>
          </w:tcPr>
          <w:p>
            <w:pPr>
              <w:spacing w:line="276" w:lineRule="auto" w:before="0" w:after="0"/>
            </w:pPr>
            <w:r/>
            <w:r>
              <w:rPr>
                <w:rFonts w:ascii="Figtree" w:hAnsi="Figtree"/>
                <w:b w:val="0"/>
                <w:i w:val="0"/>
                <w:sz w:val="20"/>
              </w:rPr>
              <w:t>Support</w:t>
            </w:r>
          </w:p>
        </w:tc>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$85,000/year</w:t>
            </w:r>
          </w:p>
        </w:tc>
      </w:tr>
    </w:tbl>
    <w:p>
      <w:pPr>
        <w:spacing w:before="0" w:after="0" w:line="120" w:lineRule="exact"/>
      </w:pPr>
    </w:p>
    <w:p>
      <w:pPr>
        <w:pStyle w:val="H3"/>
        <w:numPr>
          <w:ilvl w:val="2"/>
          <w:numId w:val="1"/>
        </w:numPr>
      </w:pPr>
      <w:r>
        <w:t>Platform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87"/>
        <w:gridCol w:w="1512"/>
        <w:gridCol w:w="1512"/>
        <w:gridCol w:w="13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Environments included</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3</w:t>
            </w:r>
          </w:p>
        </w:tc>
      </w:tr>
      <w:tr>
        <w:trPr>
          <w:trHeight w:val="425" w:hRule="atLeast"/>
        </w:trPr>
        <w:tc>
          <w:tcPr>
            <w:tcW w:type="dxa" w:w="2436"/>
            <w:vAlign w:val="center"/>
          </w:tcPr>
          <w:p>
            <w:pPr>
              <w:spacing w:line="276" w:lineRule="auto" w:before="0" w:after="0"/>
            </w:pPr>
            <w:r/>
            <w:r>
              <w:rPr>
                <w:rFonts w:ascii="Figtree" w:hAnsi="Figtree"/>
                <w:b w:val="0"/>
                <w:i w:val="0"/>
                <w:sz w:val="20"/>
              </w:rPr>
              <w:t>Dedicated deployment</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Multi-region HA</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w:t>
            </w:r>
          </w:p>
        </w:tc>
        <w:tc>
          <w:tcPr>
            <w:tcW w:type="dxa" w:w="2436"/>
            <w:vAlign w:val="center"/>
          </w:tcPr>
          <w:p>
            <w:pPr>
              <w:spacing w:line="276" w:lineRule="auto" w:before="0" w:after="0"/>
            </w:pPr>
            <w:r/>
            <w:r>
              <w:rPr>
                <w:rFonts w:ascii="Figtree" w:hAnsi="Figtree"/>
                <w:b w:val="0"/>
                <w:i w:val="0"/>
                <w:sz w:val="20"/>
              </w:rPr>
              <w:t>$180,000</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$280,000</w:t>
            </w:r>
          </w:p>
        </w:tc>
      </w:tr>
      <w:tr>
        <w:trPr>
          <w:trHeight w:val="425" w:hRule="atLeast"/>
        </w:trPr>
        <w:tc>
          <w:tcPr>
            <w:tcW w:type="dxa" w:w="2436"/>
            <w:vAlign w:val="center"/>
          </w:tcPr>
          <w:p>
            <w:pPr>
              <w:spacing w:line="276" w:lineRule="auto" w:before="0" w:after="0"/>
            </w:pPr>
            <w:r/>
            <w:r>
              <w:rPr>
                <w:rFonts w:ascii="Figtree" w:hAnsi="Figtree"/>
                <w:b/>
                <w:i w:val="0"/>
                <w:sz w:val="20"/>
              </w:rPr>
              <w:t>Recommended for Interswitch</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Yes</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Implementation Investment</w:t>
      </w:r>
    </w:p>
    <w:p>
      <w:pPr>
        <w:pStyle w:val="H3"/>
        <w:numPr>
          <w:ilvl w:val="2"/>
          <w:numId w:val="1"/>
        </w:numPr>
      </w:pPr>
      <w:r>
        <w:t>Implementation Phases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930"/>
        <w:gridCol w:w="5195"/>
        <w:gridCol w:w="93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Requirements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Architecture design, CBN ring-fencing design, integration landscape</w:t>
            </w:r>
          </w:p>
        </w:tc>
        <w:tc>
          <w:tcPr>
            <w:tcW w:type="dxa" w:w="2436"/>
            <w:vAlign w:val="center"/>
          </w:tcPr>
          <w:p>
            <w:pPr>
              <w:spacing w:line="276" w:lineRule="auto" w:before="0" w:after="0"/>
            </w:pPr>
            <w:r/>
            <w:r>
              <w:rPr>
                <w:rFonts w:ascii="Figtree" w:hAnsi="Figtree"/>
                <w:b w:val="0"/>
                <w:i w:val="0"/>
                <w:sz w:val="20"/>
              </w:rPr>
              <w:t>$50,000</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Setup</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Infrastructure, blockchain network, base platform</w:t>
            </w:r>
          </w:p>
        </w:tc>
        <w:tc>
          <w:tcPr>
            <w:tcW w:type="dxa" w:w="2436"/>
            <w:vAlign w:val="center"/>
          </w:tcPr>
          <w:p>
            <w:pPr>
              <w:spacing w:line="276" w:lineRule="auto" w:before="0" w:after="0"/>
            </w:pPr>
            <w:r/>
            <w:r>
              <w:rPr>
                <w:rFonts w:ascii="Figtree" w:hAnsi="Figtree"/>
                <w:b w:val="0"/>
                <w:i w:val="0"/>
                <w:sz w:val="20"/>
              </w:rPr>
              <w:t>$60,000</w:t>
            </w:r>
          </w:p>
        </w:tc>
      </w:tr>
      <w:tr>
        <w:trPr>
          <w:trHeight w:val="425" w:hRule="atLeast"/>
        </w:trPr>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Settlement tokens, compliance modules, participant onboarding</w:t>
            </w:r>
          </w:p>
        </w:tc>
        <w:tc>
          <w:tcPr>
            <w:tcW w:type="dxa" w:w="2436"/>
            <w:vAlign w:val="center"/>
          </w:tcPr>
          <w:p>
            <w:pPr>
              <w:spacing w:line="276" w:lineRule="auto" w:before="0" w:after="0"/>
            </w:pPr>
            <w:r/>
            <w:r>
              <w:rPr>
                <w:rFonts w:ascii="Figtree" w:hAnsi="Figtree"/>
                <w:b w:val="0"/>
                <w:i w:val="0"/>
                <w:sz w:val="20"/>
              </w:rPr>
              <w:t>$70,000</w:t>
            </w:r>
          </w:p>
        </w:tc>
      </w:tr>
      <w:tr>
        <w:trPr>
          <w:trHeight w:val="425" w:hRule="atLeast"/>
        </w:trPr>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Settlement engine, reconciliation feeds, AML, SIEM</w:t>
            </w:r>
          </w:p>
        </w:tc>
        <w:tc>
          <w:tcPr>
            <w:tcW w:type="dxa" w:w="2436"/>
            <w:vAlign w:val="center"/>
          </w:tcPr>
          <w:p>
            <w:pPr>
              <w:spacing w:line="276" w:lineRule="auto" w:before="0" w:after="0"/>
            </w:pPr>
            <w:r/>
            <w:r>
              <w:rPr>
                <w:rFonts w:ascii="Figtree" w:hAnsi="Figtree"/>
                <w:b w:val="0"/>
                <w:i w:val="0"/>
                <w:sz w:val="20"/>
              </w:rPr>
              <w:t>$80,000</w:t>
            </w:r>
          </w:p>
        </w:tc>
      </w:tr>
      <w:tr>
        <w:trPr>
          <w:trHeight w:val="425" w:hRule="atLeast"/>
        </w:trPr>
        <w:tc>
          <w:tcPr>
            <w:tcW w:type="dxa" w:w="2436"/>
            <w:vAlign w:val="center"/>
          </w:tcPr>
          <w:p>
            <w:pPr>
              <w:spacing w:line="276" w:lineRule="auto" w:before="0" w:after="0"/>
            </w:pPr>
            <w:r/>
            <w:r>
              <w:rPr>
                <w:rFonts w:ascii="Figtree" w:hAnsi="Figtree"/>
                <w:b w:val="0"/>
                <w:i w:val="0"/>
                <w:sz w:val="20"/>
              </w:rPr>
              <w:t>Testing and UAT</w:t>
            </w:r>
          </w:p>
        </w:tc>
        <w:tc>
          <w:tcPr>
            <w:tcW w:type="dxa" w:w="2436"/>
            <w:vAlign w:val="center"/>
          </w:tcPr>
          <w:p>
            <w:pPr>
              <w:spacing w:line="276" w:lineRule="auto" w:before="0" w:after="0"/>
            </w:pPr>
            <w:r/>
            <w:r>
              <w:rPr>
                <w:rFonts w:ascii="Figtree" w:hAnsi="Figtree"/>
                <w:b w:val="0"/>
                <w:i w:val="0"/>
                <w:sz w:val="20"/>
              </w:rPr>
              <w:t>8 weeks</w:t>
            </w:r>
          </w:p>
        </w:tc>
        <w:tc>
          <w:tcPr>
            <w:tcW w:type="dxa" w:w="2436"/>
            <w:vAlign w:val="center"/>
          </w:tcPr>
          <w:p>
            <w:pPr>
              <w:spacing w:line="276" w:lineRule="auto" w:before="0" w:after="0"/>
            </w:pPr>
            <w:r/>
            <w:r>
              <w:rPr>
                <w:rFonts w:ascii="Figtree" w:hAnsi="Figtree"/>
                <w:b w:val="0"/>
                <w:i w:val="0"/>
                <w:sz w:val="20"/>
              </w:rPr>
              <w:t>Full testing programme, settlement cycle simulation, UAT</w:t>
            </w:r>
          </w:p>
        </w:tc>
        <w:tc>
          <w:tcPr>
            <w:tcW w:type="dxa" w:w="2436"/>
            <w:vAlign w:val="center"/>
          </w:tcPr>
          <w:p>
            <w:pPr>
              <w:spacing w:line="276" w:lineRule="auto" w:before="0" w:after="0"/>
            </w:pPr>
            <w:r/>
            <w:r>
              <w:rPr>
                <w:rFonts w:ascii="Figtree" w:hAnsi="Figtree"/>
                <w:b w:val="0"/>
                <w:i w:val="0"/>
                <w:sz w:val="20"/>
              </w:rPr>
              <w:t>$65,000</w:t>
            </w:r>
          </w:p>
        </w:tc>
      </w:tr>
      <w:tr>
        <w:trPr>
          <w:trHeight w:val="425" w:hRule="atLeast"/>
        </w:trPr>
        <w:tc>
          <w:tcPr>
            <w:tcW w:type="dxa" w:w="2436"/>
            <w:vAlign w:val="center"/>
          </w:tcPr>
          <w:p>
            <w:pPr>
              <w:spacing w:line="276" w:lineRule="auto" w:before="0" w:after="0"/>
            </w:pPr>
            <w:r/>
            <w:r>
              <w:rPr>
                <w:rFonts w:ascii="Figtree" w:hAnsi="Figtree"/>
                <w:b w:val="0"/>
                <w:i w:val="0"/>
                <w:sz w:val="20"/>
              </w:rPr>
              <w:t>Go-Live and Hypercare</w:t>
            </w:r>
          </w:p>
        </w:tc>
        <w:tc>
          <w:tcPr>
            <w:tcW w:type="dxa" w:w="2436"/>
            <w:vAlign w:val="center"/>
          </w:tcPr>
          <w:p>
            <w:pPr>
              <w:spacing w:line="276" w:lineRule="auto" w:before="0" w:after="0"/>
            </w:pPr>
            <w:r/>
            <w:r>
              <w:rPr>
                <w:rFonts w:ascii="Figtree" w:hAnsi="Figtree"/>
                <w:b w:val="0"/>
                <w:i w:val="0"/>
                <w:sz w:val="20"/>
              </w:rPr>
              <w:t>8 weeks</w:t>
            </w:r>
          </w:p>
        </w:tc>
        <w:tc>
          <w:tcPr>
            <w:tcW w:type="dxa" w:w="2436"/>
            <w:vAlign w:val="center"/>
          </w:tcPr>
          <w:p>
            <w:pPr>
              <w:spacing w:line="276" w:lineRule="auto" w:before="0" w:after="0"/>
            </w:pPr>
            <w:r/>
            <w:r>
              <w:rPr>
                <w:rFonts w:ascii="Figtree" w:hAnsi="Figtree"/>
                <w:b w:val="0"/>
                <w:i w:val="0"/>
                <w:sz w:val="20"/>
              </w:rPr>
              <w:t>Pilot cycle, production launch, hypercare</w:t>
            </w:r>
          </w:p>
        </w:tc>
        <w:tc>
          <w:tcPr>
            <w:tcW w:type="dxa" w:w="2436"/>
            <w:vAlign w:val="center"/>
          </w:tcPr>
          <w:p>
            <w:pPr>
              <w:spacing w:line="276" w:lineRule="auto" w:before="0" w:after="0"/>
            </w:pPr>
            <w:r/>
            <w:r>
              <w:rPr>
                <w:rFonts w:ascii="Figtree" w:hAnsi="Figtree"/>
                <w:b w:val="0"/>
                <w:i w:val="0"/>
                <w:sz w:val="20"/>
              </w:rPr>
              <w:t>$35,000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38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$360,000</w:t>
            </w:r>
          </w:p>
        </w:tc>
      </w:tr>
    </w:tbl>
    <w:p>
      <w:pPr>
        <w:spacing w:before="0" w:after="0" w:line="120" w:lineRule="exact"/>
      </w:pPr>
    </w:p>
    <w:p>
      <w:pPr>
        <w:pStyle w:val="H3"/>
        <w:numPr>
          <w:ilvl w:val="2"/>
          <w:numId w:val="1"/>
        </w:numPr>
      </w:pPr>
      <w:r>
        <w:t>Accelerators</w:t>
      </w:r>
    </w:p>
    <w:p>
      <w:pPr>
        <w:pStyle w:val="ListParagraph"/>
        <w:numPr>
          <w:ilvl w:val="0"/>
          <w:numId w:val="4"/>
        </w:numPr>
      </w:pPr>
      <w:r>
        <w:rPr>
          <w:rFonts w:ascii="Figtree" w:hAnsi="Figtree"/>
          <w:b w:val="0"/>
          <w:i w:val="0"/>
          <w:sz w:val="22"/>
        </w:rPr>
        <w:t>Pre-built settlement position token templates for Nigerian payment infrastructure</w:t>
      </w:r>
    </w:p>
    <w:p>
      <w:pPr>
        <w:pStyle w:val="ListParagraph"/>
        <w:numPr>
          <w:ilvl w:val="0"/>
          <w:numId w:val="4"/>
        </w:numPr>
      </w:pPr>
      <w:r>
        <w:rPr>
          <w:rFonts w:ascii="Figtree" w:hAnsi="Figtree"/>
          <w:b w:val="0"/>
          <w:i w:val="0"/>
          <w:sz w:val="22"/>
        </w:rPr>
        <w:t>Reference IBFT 2.0 blockchain configuration for on-premises deployment</w:t>
      </w:r>
    </w:p>
    <w:p>
      <w:pPr>
        <w:pStyle w:val="ListParagraph"/>
        <w:numPr>
          <w:ilvl w:val="0"/>
          <w:numId w:val="4"/>
        </w:numPr>
      </w:pPr>
      <w:r>
        <w:rPr>
          <w:rFonts w:ascii="Figtree" w:hAnsi="Figtree"/>
          <w:b w:val="0"/>
          <w:i w:val="0"/>
          <w:sz w:val="22"/>
        </w:rPr>
        <w:t>TypeScript SDK enabling Interswitch engineering team to build settlement engine integration in parallel</w:t>
      </w:r>
    </w:p>
    <w:p>
      <w:pPr>
        <w:pStyle w:val="ListParagraph"/>
        <w:numPr>
          <w:ilvl w:val="0"/>
          <w:numId w:val="4"/>
        </w:numPr>
      </w:pPr>
      <w:r>
        <w:rPr>
          <w:rFonts w:ascii="Figtree" w:hAnsi="Figtree"/>
          <w:b w:val="0"/>
          <w:i w:val="0"/>
          <w:sz w:val="22"/>
        </w:rPr>
        <w:t>Pre-built CBN ring-fencing compliance module configuration (country allow list + identity registry)</w:t>
      </w:r>
    </w:p>
    <w:p>
      <w:pPr>
        <w:pStyle w:val="H3"/>
        <w:numPr>
          <w:ilvl w:val="2"/>
          <w:numId w:val="1"/>
        </w:numPr>
      </w:pPr>
      <w:r>
        <w:t>Risks to Timeline</w:t>
      </w:r>
    </w:p>
    <w:p>
      <w:pPr>
        <w:pStyle w:val="ListParagraph"/>
        <w:numPr>
          <w:ilvl w:val="0"/>
          <w:numId w:val="4"/>
        </w:numPr>
      </w:pPr>
      <w:r>
        <w:rPr>
          <w:rFonts w:ascii="Figtree" w:hAnsi="Figtree"/>
          <w:b w:val="0"/>
          <w:i w:val="0"/>
          <w:sz w:val="22"/>
        </w:rPr>
        <w:t>On-premises infrastructure procurement and installation adds 3-5 weeks if HSM hardware not already available</w:t>
      </w:r>
    </w:p>
    <w:p>
      <w:pPr>
        <w:pStyle w:val="ListParagraph"/>
        <w:numPr>
          <w:ilvl w:val="0"/>
          <w:numId w:val="4"/>
        </w:numPr>
      </w:pPr>
      <w:r>
        <w:rPr>
          <w:rFonts w:ascii="Figtree" w:hAnsi="Figtree"/>
          <w:b w:val="0"/>
          <w:i w:val="0"/>
          <w:sz w:val="22"/>
        </w:rPr>
        <w:t>CBN regulatory engagement or approval process if required before production launch</w:t>
      </w:r>
    </w:p>
    <w:p>
      <w:pPr>
        <w:pStyle w:val="ListParagraph"/>
        <w:numPr>
          <w:ilvl w:val="0"/>
          <w:numId w:val="4"/>
        </w:numPr>
      </w:pPr>
      <w:r>
        <w:rPr>
          <w:rFonts w:ascii="Figtree" w:hAnsi="Figtree"/>
          <w:b w:val="0"/>
          <w:i w:val="0"/>
          <w:sz w:val="22"/>
        </w:rPr>
        <w:t>Participant bank readiness and onboarding data quality (identity documentation for all participant banks)</w:t>
      </w:r>
    </w:p>
    <w:p>
      <w:pPr>
        <w:pStyle w:val="ListParagraph"/>
        <w:numPr>
          <w:ilvl w:val="0"/>
          <w:numId w:val="4"/>
        </w:numPr>
      </w:pPr>
      <w:r>
        <w:rPr>
          <w:rFonts w:ascii="Figtree" w:hAnsi="Figtree"/>
          <w:b w:val="0"/>
          <w:i w:val="0"/>
          <w:sz w:val="22"/>
        </w:rPr>
        <w:t>Settlement engine integration complexity if existing settlement engine has non-standard API contract</w:t>
      </w:r>
    </w:p>
    <w:p>
      <w:pPr>
        <w:pStyle w:val="H3"/>
        <w:numPr>
          <w:ilvl w:val="2"/>
          <w:numId w:val="1"/>
        </w:numPr>
      </w:pPr>
      <w:r>
        <w:t>Training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42"/>
        <w:gridCol w:w="6025"/>
        <w:gridCol w:w="8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System configuration, environment management, blockchain node management</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Settlement operations</w:t>
            </w:r>
          </w:p>
        </w:tc>
        <w:tc>
          <w:tcPr>
            <w:tcW w:type="dxa" w:w="3249"/>
            <w:vAlign w:val="center"/>
          </w:tcPr>
          <w:p>
            <w:pPr>
              <w:spacing w:line="276" w:lineRule="auto" w:before="0" w:after="0"/>
            </w:pPr>
            <w:r/>
            <w:r>
              <w:rPr>
                <w:rFonts w:ascii="Figtree" w:hAnsi="Figtree"/>
                <w:b w:val="0"/>
                <w:i w:val="0"/>
                <w:sz w:val="20"/>
              </w:rPr>
              <w:t>Settlement cycle management, exception handling, approval workflows</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engineers</w:t>
            </w:r>
          </w:p>
        </w:tc>
        <w:tc>
          <w:tcPr>
            <w:tcW w:type="dxa" w:w="3249"/>
            <w:vAlign w:val="center"/>
          </w:tcPr>
          <w:p>
            <w:pPr>
              <w:spacing w:line="276" w:lineRule="auto" w:before="0" w:after="0"/>
            </w:pPr>
            <w:r/>
            <w:r>
              <w:rPr>
                <w:rFonts w:ascii="Figtree" w:hAnsi="Figtree"/>
                <w:b w:val="0"/>
                <w:i w:val="0"/>
                <w:sz w:val="20"/>
              </w:rPr>
              <w:t>API integration, webhook consumption, Chain Indexer queries</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Compliance team</w:t>
            </w:r>
          </w:p>
        </w:tc>
        <w:tc>
          <w:tcPr>
            <w:tcW w:type="dxa" w:w="3249"/>
            <w:vAlign w:val="center"/>
          </w:tcPr>
          <w:p>
            <w:pPr>
              <w:spacing w:line="276" w:lineRule="auto" w:before="0" w:after="0"/>
            </w:pPr>
            <w:r/>
            <w:r>
              <w:rPr>
                <w:rFonts w:ascii="Figtree" w:hAnsi="Figtree"/>
                <w:b w:val="0"/>
                <w:i w:val="0"/>
                <w:sz w:val="20"/>
              </w:rPr>
              <w:t>Compliance module management, block list operations, audit log access</w:t>
            </w:r>
          </w:p>
        </w:tc>
        <w:tc>
          <w:tcPr>
            <w:tcW w:type="dxa" w:w="3249"/>
            <w:vAlign w:val="center"/>
          </w:tcPr>
          <w:p>
            <w:pPr>
              <w:spacing w:line="276" w:lineRule="auto" w:before="0" w:after="0"/>
            </w:pPr>
            <w:r/>
            <w:r>
              <w:rPr>
                <w:rFonts w:ascii="Figtree" w:hAnsi="Figtree"/>
                <w:b w:val="0"/>
                <w:i w:val="0"/>
                <w:sz w:val="20"/>
              </w:rPr>
              <w:t>1 day</w:t>
            </w:r>
          </w:p>
        </w:tc>
      </w:tr>
    </w:tbl>
    <w:p>
      <w:pPr>
        <w:spacing w:before="0" w:after="0" w:line="120" w:lineRule="exact"/>
      </w:pPr>
    </w:p>
    <w:p>
      <w:r>
        <w:br w:type="page"/>
      </w:r>
    </w:p>
    <w:p>
      <w:pPr>
        <w:pStyle w:val="H2"/>
        <w:numPr>
          <w:ilvl w:val="1"/>
          <w:numId w:val="1"/>
        </w:numPr>
      </w:pPr>
      <w:r>
        <w:t>Support and Operational Costs</w:t>
      </w:r>
    </w:p>
    <w:p>
      <w:pPr>
        <w:pStyle w:val="H3"/>
        <w:numPr>
          <w:ilvl w:val="2"/>
          <w:numId w:val="1"/>
        </w:numPr>
      </w:pPr>
      <w:r>
        <w:t>Support Recommendation</w:t>
      </w:r>
    </w:p>
    <w:p>
      <w:r>
        <w:rPr>
          <w:rFonts w:ascii="Figtree" w:hAnsi="Figtree"/>
          <w:b w:val="0"/>
          <w:i w:val="0"/>
          <w:sz w:val="22"/>
        </w:rPr>
        <w:t>Premium support is required for a production settlement infrastructure platform. Settlement cycle failures require immediate response, and the 24/7 coverage of Premium support is not discretionary for a core payment infrastructure operator.</w:t>
      </w:r>
    </w:p>
    <w:p>
      <w:pPr>
        <w:pStyle w:val="H3"/>
        <w:numPr>
          <w:ilvl w:val="2"/>
          <w:numId w:val="1"/>
        </w:numPr>
      </w:pPr>
      <w:r>
        <w:t>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25"/>
        <w:gridCol w:w="2702"/>
        <w:gridCol w:w="15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3249"/>
            <w:vAlign w:val="center"/>
          </w:tcPr>
          <w:p>
            <w:pPr>
              <w:spacing w:line="276" w:lineRule="auto" w:before="0" w:after="0"/>
            </w:pPr>
            <w:r/>
            <w:r>
              <w:rPr>
                <w:rFonts w:ascii="Figtree" w:hAnsi="Figtree"/>
                <w:b w:val="0"/>
                <w:i w:val="0"/>
                <w:sz w:val="20"/>
              </w:rPr>
              <w:t>Annual cost</w:t>
            </w:r>
          </w:p>
        </w:tc>
        <w:tc>
          <w:tcPr>
            <w:tcW w:type="dxa" w:w="3249"/>
            <w:vAlign w:val="center"/>
          </w:tcPr>
          <w:p>
            <w:pPr>
              <w:spacing w:line="276" w:lineRule="auto" w:before="0" w:after="0"/>
            </w:pPr>
            <w:r/>
            <w:r>
              <w:rPr>
                <w:rFonts w:ascii="Figtree" w:hAnsi="Figtree"/>
                <w:b w:val="0"/>
                <w:i w:val="0"/>
                <w:sz w:val="20"/>
              </w:rPr>
              <w:t>$45,000</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Coverage</w:t>
            </w:r>
          </w:p>
        </w:tc>
        <w:tc>
          <w:tcPr>
            <w:tcW w:type="dxa" w:w="3249"/>
            <w:vAlign w:val="center"/>
          </w:tcPr>
          <w:p>
            <w:pPr>
              <w:spacing w:line="276" w:lineRule="auto" w:before="0" w:after="0"/>
            </w:pPr>
            <w:r/>
            <w:r>
              <w:rPr>
                <w:rFonts w:ascii="Figtree" w:hAnsi="Figtree"/>
                <w:b w:val="0"/>
                <w:i w:val="0"/>
                <w:sz w:val="20"/>
              </w:rPr>
              <w:t>Business hours</w:t>
            </w:r>
          </w:p>
        </w:tc>
        <w:tc>
          <w:tcPr>
            <w:tcW w:type="dxa" w:w="3249"/>
            <w:vAlign w:val="center"/>
          </w:tcPr>
          <w:p>
            <w:pPr>
              <w:spacing w:line="276" w:lineRule="auto" w:before="0" w:after="0"/>
            </w:pPr>
            <w:r/>
            <w:r>
              <w:rPr>
                <w:rFonts w:ascii="Figtree" w:hAnsi="Figtree"/>
                <w:b w:val="0"/>
                <w:i w:val="0"/>
                <w:sz w:val="20"/>
              </w:rPr>
              <w:t>24/7/365</w:t>
            </w:r>
          </w:p>
        </w:tc>
      </w:tr>
      <w:tr>
        <w:trPr>
          <w:trHeight w:val="425" w:hRule="atLeast"/>
        </w:trPr>
        <w:tc>
          <w:tcPr>
            <w:tcW w:type="dxa" w:w="3249"/>
            <w:vAlign w:val="center"/>
          </w:tcPr>
          <w:p>
            <w:pPr>
              <w:spacing w:line="276" w:lineRule="auto" w:before="0" w:after="0"/>
            </w:pPr>
            <w:r/>
            <w:r>
              <w:rPr>
                <w:rFonts w:ascii="Figtree" w:hAnsi="Figtree"/>
                <w:b w:val="0"/>
                <w:i w:val="0"/>
                <w:sz w:val="20"/>
              </w:rPr>
              <w:t>P1 response</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1 hour</w:t>
            </w:r>
          </w:p>
        </w:tc>
      </w:tr>
      <w:tr>
        <w:trPr>
          <w:trHeight w:val="425" w:hRule="atLeast"/>
        </w:trPr>
        <w:tc>
          <w:tcPr>
            <w:tcW w:type="dxa" w:w="3249"/>
            <w:vAlign w:val="center"/>
          </w:tcPr>
          <w:p>
            <w:pPr>
              <w:spacing w:line="276" w:lineRule="auto" w:before="0" w:after="0"/>
            </w:pPr>
            <w:r/>
            <w:r>
              <w:rPr>
                <w:rFonts w:ascii="Figtree" w:hAnsi="Figtree"/>
                <w:b w:val="0"/>
                <w:i w:val="0"/>
                <w:sz w:val="20"/>
              </w:rPr>
              <w:t>P2 response</w:t>
            </w:r>
          </w:p>
        </w:tc>
        <w:tc>
          <w:tcPr>
            <w:tcW w:type="dxa" w:w="3249"/>
            <w:vAlign w:val="center"/>
          </w:tcPr>
          <w:p>
            <w:pPr>
              <w:spacing w:line="276" w:lineRule="auto" w:before="0" w:after="0"/>
            </w:pPr>
            <w:r/>
            <w:r>
              <w:rPr>
                <w:rFonts w:ascii="Figtree" w:hAnsi="Figtree"/>
                <w:b w:val="0"/>
                <w:i w:val="0"/>
                <w:sz w:val="20"/>
              </w:rPr>
              <w:t>8 hours</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lead</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Quarterly service reviews</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Severity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85"/>
        <w:gridCol w:w="5199"/>
        <w:gridCol w:w="1880"/>
        <w:gridCol w:w="110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Settlement cycle failure, production outage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Settlement delayed, compliance workflow blocked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 issue,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72 hours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Enhancement, documentation</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Roadmap</w:t>
            </w:r>
          </w:p>
        </w:tc>
      </w:tr>
    </w:tbl>
    <w:p>
      <w:pPr>
        <w:spacing w:before="0" w:after="0" w:line="120" w:lineRule="exact"/>
      </w:pPr>
    </w:p>
    <w:p>
      <w:r>
        <w:br w:type="page"/>
      </w:r>
    </w:p>
    <w:p>
      <w:pPr>
        <w:pStyle w:val="H2"/>
        <w:numPr>
          <w:ilvl w:val="1"/>
          <w:numId w:val="1"/>
        </w:numPr>
      </w:pPr>
      <w:r>
        <w:t>Total Cost of Ownership Analysis</w:t>
      </w:r>
    </w:p>
    <w:p>
      <w:pPr>
        <w:pStyle w:val="H3"/>
        <w:numPr>
          <w:ilvl w:val="2"/>
          <w:numId w:val="1"/>
        </w:numPr>
      </w:pPr>
      <w:r>
        <w:t>3-Year TCO: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81"/>
        <w:gridCol w:w="1413"/>
        <w:gridCol w:w="1413"/>
        <w:gridCol w:w="1413"/>
        <w:gridCol w:w="164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$240,000</w:t>
            </w:r>
          </w:p>
        </w:tc>
        <w:tc>
          <w:tcPr>
            <w:tcW w:type="dxa" w:w="1949"/>
            <w:vAlign w:val="center"/>
          </w:tcPr>
          <w:p>
            <w:pPr>
              <w:spacing w:line="276" w:lineRule="auto" w:before="0" w:after="0"/>
            </w:pPr>
            <w:r/>
            <w:r>
              <w:rPr>
                <w:rFonts w:ascii="Figtree" w:hAnsi="Figtree"/>
                <w:b w:val="0"/>
                <w:i w:val="0"/>
                <w:sz w:val="20"/>
              </w:rPr>
              <w:t>$228,000</w:t>
            </w:r>
          </w:p>
        </w:tc>
        <w:tc>
          <w:tcPr>
            <w:tcW w:type="dxa" w:w="1949"/>
            <w:vAlign w:val="center"/>
          </w:tcPr>
          <w:p>
            <w:pPr>
              <w:spacing w:line="276" w:lineRule="auto" w:before="0" w:after="0"/>
            </w:pPr>
            <w:r/>
            <w:r>
              <w:rPr>
                <w:rFonts w:ascii="Figtree" w:hAnsi="Figtree"/>
                <w:b w:val="0"/>
                <w:i w:val="0"/>
                <w:sz w:val="20"/>
              </w:rPr>
              <w:t>$228,000</w:t>
            </w:r>
          </w:p>
        </w:tc>
        <w:tc>
          <w:tcPr>
            <w:tcW w:type="dxa" w:w="1949"/>
            <w:vAlign w:val="center"/>
          </w:tcPr>
          <w:p>
            <w:pPr>
              <w:spacing w:line="276" w:lineRule="auto" w:before="0" w:after="0"/>
            </w:pPr>
            <w:r/>
            <w:r>
              <w:rPr>
                <w:rFonts w:ascii="Figtree" w:hAnsi="Figtree"/>
                <w:b w:val="0"/>
                <w:i w:val="0"/>
                <w:sz w:val="20"/>
              </w:rPr>
              <w:t>$696,000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environments (2)</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$150,000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$255,000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$360,000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Post-launch training</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$24,000</w:t>
            </w:r>
          </w:p>
        </w:tc>
      </w:tr>
      <w:tr>
        <w:trPr>
          <w:trHeight w:val="425" w:hRule="atLeast"/>
        </w:trPr>
        <w:tc>
          <w:tcPr>
            <w:tcW w:type="dxa" w:w="1949"/>
            <w:vAlign w:val="center"/>
          </w:tcPr>
          <w:p>
            <w:pPr>
              <w:spacing w:line="276" w:lineRule="auto" w:before="0" w:after="0"/>
            </w:pPr>
            <w:r/>
            <w:r>
              <w:rPr>
                <w:rFonts w:ascii="Figtree" w:hAnsi="Figtree"/>
                <w:b/>
                <w:i w:val="0"/>
                <w:sz w:val="20"/>
              </w:rPr>
              <w:t>Subtotal</w:t>
            </w:r>
          </w:p>
        </w:tc>
        <w:tc>
          <w:tcPr>
            <w:tcW w:type="dxa" w:w="1949"/>
            <w:vAlign w:val="center"/>
          </w:tcPr>
          <w:p>
            <w:pPr>
              <w:spacing w:line="276" w:lineRule="auto" w:before="0" w:after="0"/>
            </w:pPr>
            <w:r/>
            <w:r>
              <w:rPr>
                <w:rFonts w:ascii="Figtree" w:hAnsi="Figtree"/>
                <w:b/>
                <w:i w:val="0"/>
                <w:sz w:val="20"/>
              </w:rPr>
              <w:t>$735,000</w:t>
            </w:r>
          </w:p>
        </w:tc>
        <w:tc>
          <w:tcPr>
            <w:tcW w:type="dxa" w:w="1949"/>
            <w:vAlign w:val="center"/>
          </w:tcPr>
          <w:p>
            <w:pPr>
              <w:spacing w:line="276" w:lineRule="auto" w:before="0" w:after="0"/>
            </w:pPr>
            <w:r/>
            <w:r>
              <w:rPr>
                <w:rFonts w:ascii="Figtree" w:hAnsi="Figtree"/>
                <w:b/>
                <w:i w:val="0"/>
                <w:sz w:val="20"/>
              </w:rPr>
              <w:t>$375,000</w:t>
            </w:r>
          </w:p>
        </w:tc>
        <w:tc>
          <w:tcPr>
            <w:tcW w:type="dxa" w:w="1949"/>
            <w:vAlign w:val="center"/>
          </w:tcPr>
          <w:p>
            <w:pPr>
              <w:spacing w:line="276" w:lineRule="auto" w:before="0" w:after="0"/>
            </w:pPr>
            <w:r/>
            <w:r>
              <w:rPr>
                <w:rFonts w:ascii="Figtree" w:hAnsi="Figtree"/>
                <w:b/>
                <w:i w:val="0"/>
                <w:sz w:val="20"/>
              </w:rPr>
              <w:t>$375,000</w:t>
            </w:r>
          </w:p>
        </w:tc>
        <w:tc>
          <w:tcPr>
            <w:tcW w:type="dxa" w:w="1949"/>
            <w:vAlign w:val="center"/>
          </w:tcPr>
          <w:p>
            <w:pPr>
              <w:spacing w:line="276" w:lineRule="auto" w:before="0" w:after="0"/>
            </w:pPr>
            <w:r/>
            <w:r>
              <w:rPr>
                <w:rFonts w:ascii="Figtree" w:hAnsi="Figtree"/>
                <w:b/>
                <w:i w:val="0"/>
                <w:sz w:val="20"/>
              </w:rPr>
              <w:t>$1,485,000</w:t>
            </w:r>
          </w:p>
        </w:tc>
      </w:tr>
    </w:tbl>
    <w:p>
      <w:pPr>
        <w:spacing w:before="0" w:after="0" w:line="120" w:lineRule="exact"/>
      </w:pPr>
    </w:p>
    <w:p>
      <w:r>
        <w:rPr>
          <w:rFonts w:ascii="Figtree" w:hAnsi="Figtree"/>
          <w:b w:val="0"/>
          <w:i/>
          <w:sz w:val="22"/>
        </w:rPr>
        <w:t>Year 2-3 license reflects 5% multi-year discount. Infrastructure (blockchain nodes, Kubernetes, HSM) are Interswitch-borne. Estimated at $80,000-120,000/year for on-premises production grade.</w:t>
      </w:r>
    </w:p>
    <w:p>
      <w:r>
        <w:rPr>
          <w:rFonts w:ascii="Figtree" w:hAnsi="Figtree"/>
          <w:b/>
          <w:i w:val="0"/>
          <w:sz w:val="22"/>
        </w:rPr>
        <w:t>3-year TCO including infrastructure: approximately $1,725,000-$1,845,000</w:t>
      </w:r>
    </w:p>
    <w:p>
      <w:pPr>
        <w:pStyle w:val="H3"/>
        <w:numPr>
          <w:ilvl w:val="2"/>
          <w:numId w:val="1"/>
        </w:numPr>
      </w:pPr>
      <w:r>
        <w:t>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1"/>
        <w:gridCol w:w="2043"/>
        <w:gridCol w:w="2206"/>
        <w:gridCol w:w="237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3-year base cost</w:t>
            </w:r>
          </w:p>
        </w:tc>
        <w:tc>
          <w:tcPr>
            <w:tcW w:type="dxa" w:w="2436"/>
            <w:vAlign w:val="center"/>
          </w:tcPr>
          <w:p>
            <w:pPr>
              <w:spacing w:line="276" w:lineRule="auto" w:before="0" w:after="0"/>
            </w:pPr>
            <w:r/>
            <w:r>
              <w:rPr>
                <w:rFonts w:ascii="Figtree" w:hAnsi="Figtree"/>
                <w:b w:val="0"/>
                <w:i w:val="0"/>
                <w:sz w:val="20"/>
              </w:rPr>
              <w:t>~$1.5M</w:t>
            </w:r>
          </w:p>
        </w:tc>
        <w:tc>
          <w:tcPr>
            <w:tcW w:type="dxa" w:w="2436"/>
            <w:vAlign w:val="center"/>
          </w:tcPr>
          <w:p>
            <w:pPr>
              <w:spacing w:line="276" w:lineRule="auto" w:before="0" w:after="0"/>
            </w:pPr>
            <w:r/>
            <w:r>
              <w:rPr>
                <w:rFonts w:ascii="Figtree" w:hAnsi="Figtree"/>
                <w:b w:val="0"/>
                <w:i w:val="0"/>
                <w:sz w:val="20"/>
              </w:rPr>
              <w:t>~$3.5-4M</w:t>
            </w:r>
          </w:p>
        </w:tc>
        <w:tc>
          <w:tcPr>
            <w:tcW w:type="dxa" w:w="2436"/>
            <w:vAlign w:val="center"/>
          </w:tcPr>
          <w:p>
            <w:pPr>
              <w:spacing w:line="276" w:lineRule="auto" w:before="0" w:after="0"/>
            </w:pPr>
            <w:r/>
            <w:r>
              <w:rPr>
                <w:rFonts w:ascii="Figtree" w:hAnsi="Figtree"/>
                <w:b w:val="0"/>
                <w:i w:val="0"/>
                <w:sz w:val="20"/>
              </w:rPr>
              <w:t>~$2.5M (estimated)</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pilot settlement</w:t>
            </w:r>
          </w:p>
        </w:tc>
        <w:tc>
          <w:tcPr>
            <w:tcW w:type="dxa" w:w="2436"/>
            <w:vAlign w:val="center"/>
          </w:tcPr>
          <w:p>
            <w:pPr>
              <w:spacing w:line="276" w:lineRule="auto" w:before="0" w:after="0"/>
            </w:pPr>
            <w:r/>
            <w:r>
              <w:rPr>
                <w:rFonts w:ascii="Figtree" w:hAnsi="Figtree"/>
                <w:b w:val="0"/>
                <w:i w:val="0"/>
                <w:sz w:val="20"/>
              </w:rPr>
              <w:t>20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CBN regulatory defensibility</w:t>
            </w:r>
          </w:p>
        </w:tc>
        <w:tc>
          <w:tcPr>
            <w:tcW w:type="dxa" w:w="2436"/>
            <w:vAlign w:val="center"/>
          </w:tcPr>
          <w:p>
            <w:pPr>
              <w:spacing w:line="276" w:lineRule="auto" w:before="0" w:after="0"/>
            </w:pPr>
            <w:r/>
            <w:r>
              <w:rPr>
                <w:rFonts w:ascii="Figtree" w:hAnsi="Figtree"/>
                <w:b w:val="0"/>
                <w:i w:val="0"/>
                <w:sz w:val="20"/>
              </w:rPr>
              <w:t>ISO 27001 + SOC 2 Type II</w:t>
            </w:r>
          </w:p>
        </w:tc>
        <w:tc>
          <w:tcPr>
            <w:tcW w:type="dxa" w:w="2436"/>
            <w:vAlign w:val="center"/>
          </w:tcPr>
          <w:p>
            <w:pPr>
              <w:spacing w:line="276" w:lineRule="auto" w:before="0" w:after="0"/>
            </w:pPr>
            <w:r/>
            <w:r>
              <w:rPr>
                <w:rFonts w:ascii="Figtree" w:hAnsi="Figtree"/>
                <w:b w:val="0"/>
                <w:i w:val="0"/>
                <w:sz w:val="20"/>
              </w:rPr>
              <w:t>Build cost + separate audit</w:t>
            </w:r>
          </w:p>
        </w:tc>
        <w:tc>
          <w:tcPr>
            <w:tcW w:type="dxa" w:w="2436"/>
            <w:vAlign w:val="center"/>
          </w:tcPr>
          <w:p>
            <w:pPr>
              <w:spacing w:line="276" w:lineRule="auto" w:before="0" w:after="0"/>
            </w:pPr>
            <w:r/>
            <w:r>
              <w:rPr>
                <w:rFonts w:ascii="Figtree" w:hAnsi="Figtree"/>
                <w:b w:val="0"/>
                <w:i w:val="0"/>
                <w:sz w:val="20"/>
              </w:rPr>
              <w:t>Gap analysis required</w:t>
            </w:r>
          </w:p>
        </w:tc>
      </w:tr>
      <w:tr>
        <w:trPr>
          <w:trHeight w:val="425" w:hRule="atLeast"/>
        </w:trPr>
        <w:tc>
          <w:tcPr>
            <w:tcW w:type="dxa" w:w="2436"/>
            <w:vAlign w:val="center"/>
          </w:tcPr>
          <w:p>
            <w:pPr>
              <w:spacing w:line="276" w:lineRule="auto" w:before="0" w:after="0"/>
            </w:pPr>
            <w:r/>
            <w:r>
              <w:rPr>
                <w:rFonts w:ascii="Figtree" w:hAnsi="Figtree"/>
                <w:b w:val="0"/>
                <w:i w:val="0"/>
                <w:sz w:val="20"/>
              </w:rPr>
              <w:t>Settlement atomicity</w:t>
            </w:r>
          </w:p>
        </w:tc>
        <w:tc>
          <w:tcPr>
            <w:tcW w:type="dxa" w:w="2436"/>
            <w:vAlign w:val="center"/>
          </w:tcPr>
          <w:p>
            <w:pPr>
              <w:spacing w:line="276" w:lineRule="auto" w:before="0" w:after="0"/>
            </w:pPr>
            <w:r/>
            <w:r>
              <w:rPr>
                <w:rFonts w:ascii="Figtree" w:hAnsi="Figtree"/>
                <w:b w:val="0"/>
                <w:i w:val="0"/>
                <w:sz w:val="20"/>
              </w:rPr>
              <w:t>Native (XvP)</w:t>
            </w:r>
          </w:p>
        </w:tc>
        <w:tc>
          <w:tcPr>
            <w:tcW w:type="dxa" w:w="2436"/>
            <w:vAlign w:val="center"/>
          </w:tcPr>
          <w:p>
            <w:pPr>
              <w:spacing w:line="276" w:lineRule="auto" w:before="0" w:after="0"/>
            </w:pPr>
            <w:r/>
            <w:r>
              <w:rPr>
                <w:rFonts w:ascii="Figtree" w:hAnsi="Figtree"/>
                <w:b w:val="0"/>
                <w:i w:val="0"/>
                <w:sz w:val="20"/>
              </w:rPr>
              <w:t>Must be built</w:t>
            </w:r>
          </w:p>
        </w:tc>
        <w:tc>
          <w:tcPr>
            <w:tcW w:type="dxa" w:w="2436"/>
            <w:vAlign w:val="center"/>
          </w:tcPr>
          <w:p>
            <w:pPr>
              <w:spacing w:line="276" w:lineRule="auto" w:before="0" w:after="0"/>
            </w:pPr>
            <w:r/>
            <w:r>
              <w:rPr>
                <w:rFonts w:ascii="Figtree" w:hAnsi="Figtree"/>
                <w:b w:val="0"/>
                <w:i w:val="0"/>
                <w:sz w:val="20"/>
              </w:rPr>
              <w:t>Depends on vendor combination</w:t>
            </w:r>
          </w:p>
        </w:tc>
      </w:tr>
      <w:tr>
        <w:trPr>
          <w:trHeight w:val="425" w:hRule="atLeast"/>
        </w:trPr>
        <w:tc>
          <w:tcPr>
            <w:tcW w:type="dxa" w:w="2436"/>
            <w:vAlign w:val="center"/>
          </w:tcPr>
          <w:p>
            <w:pPr>
              <w:spacing w:line="276" w:lineRule="auto" w:before="0" w:after="0"/>
            </w:pPr>
            <w:r/>
            <w:r>
              <w:rPr>
                <w:rFonts w:ascii="Figtree" w:hAnsi="Figtree"/>
                <w:b w:val="0"/>
                <w:i w:val="0"/>
                <w:sz w:val="20"/>
              </w:rPr>
              <w:t>Audit trail quality</w:t>
            </w:r>
          </w:p>
        </w:tc>
        <w:tc>
          <w:tcPr>
            <w:tcW w:type="dxa" w:w="2436"/>
            <w:vAlign w:val="center"/>
          </w:tcPr>
          <w:p>
            <w:pPr>
              <w:spacing w:line="276" w:lineRule="auto" w:before="0" w:after="0"/>
            </w:pPr>
            <w:r/>
            <w:r>
              <w:rPr>
                <w:rFonts w:ascii="Figtree" w:hAnsi="Figtree"/>
                <w:b w:val="0"/>
                <w:i w:val="0"/>
                <w:sz w:val="20"/>
              </w:rPr>
              <w:t>Immutable on-chain</w:t>
            </w:r>
          </w:p>
        </w:tc>
        <w:tc>
          <w:tcPr>
            <w:tcW w:type="dxa" w:w="2436"/>
            <w:vAlign w:val="center"/>
          </w:tcPr>
          <w:p>
            <w:pPr>
              <w:spacing w:line="276" w:lineRule="auto" w:before="0" w:after="0"/>
            </w:pPr>
            <w:r/>
            <w:r>
              <w:rPr>
                <w:rFonts w:ascii="Figtree" w:hAnsi="Figtree"/>
                <w:b w:val="0"/>
                <w:i w:val="0"/>
                <w:sz w:val="20"/>
              </w:rPr>
              <w:t>Build quality dependent</w:t>
            </w:r>
          </w:p>
        </w:tc>
        <w:tc>
          <w:tcPr>
            <w:tcW w:type="dxa" w:w="2436"/>
            <w:vAlign w:val="center"/>
          </w:tcPr>
          <w:p>
            <w:pPr>
              <w:spacing w:line="276" w:lineRule="auto" w:before="0" w:after="0"/>
            </w:pPr>
            <w:r/>
            <w:r>
              <w:rPr>
                <w:rFonts w:ascii="Figtree" w:hAnsi="Figtree"/>
                <w:b w:val="0"/>
                <w:i w:val="0"/>
                <w:sz w:val="20"/>
              </w:rPr>
              <w:t>Multi-vendor correlation</w:t>
            </w:r>
          </w:p>
        </w:tc>
      </w:tr>
    </w:tbl>
    <w:p>
      <w:pPr>
        <w:spacing w:before="0" w:after="0" w:line="120" w:lineRule="exact"/>
      </w:pPr>
    </w:p>
    <w:p>
      <w:r>
        <w:br w:type="page"/>
      </w:r>
    </w:p>
    <w:p>
      <w:pPr>
        <w:pStyle w:val="H2"/>
        <w:numPr>
          <w:ilvl w:val="1"/>
          <w:numId w:val="1"/>
        </w:numPr>
      </w:pPr>
      <w:r>
        <w:t>Payment Terms and Commercial Structure</w:t>
      </w:r>
    </w:p>
    <w:p>
      <w:pPr>
        <w:pStyle w:val="H3"/>
        <w:numPr>
          <w:ilvl w:val="2"/>
          <w:numId w:val="1"/>
        </w:numPr>
      </w:pPr>
      <w:r>
        <w:t>Platform License</w:t>
      </w:r>
    </w:p>
    <w:p>
      <w:r>
        <w:rPr>
          <w:rFonts w:ascii="Figtree" w:hAnsi="Figtree"/>
          <w:b w:val="0"/>
          <w:i w:val="0"/>
          <w:sz w:val="22"/>
        </w:rPr>
        <w:t>Annual subscription, invoiced in advance. Year 1 from contract execution. Years 2-3 at 5% discount if committed at contract signature.</w:t>
      </w:r>
    </w:p>
    <w:p>
      <w:pPr>
        <w:pStyle w:val="H3"/>
        <w:numPr>
          <w:ilvl w:val="2"/>
          <w:numId w:val="1"/>
        </w:numPr>
      </w:pPr>
      <w:r>
        <w:t>Implementation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86"/>
        <w:gridCol w:w="1354"/>
        <w:gridCol w:w="20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$90,000</w:t>
            </w:r>
          </w:p>
        </w:tc>
      </w:tr>
      <w:tr>
        <w:trPr>
          <w:trHeight w:val="425" w:hRule="atLeast"/>
        </w:trPr>
        <w:tc>
          <w:tcPr>
            <w:tcW w:type="dxa" w:w="3249"/>
            <w:vAlign w:val="center"/>
          </w:tcPr>
          <w:p>
            <w:pPr>
              <w:spacing w:line="276" w:lineRule="auto" w:before="0" w:after="0"/>
            </w:pPr>
            <w:r/>
            <w:r>
              <w:rPr>
                <w:rFonts w:ascii="Figtree" w:hAnsi="Figtree"/>
                <w:b w:val="0"/>
                <w:i w:val="0"/>
                <w:sz w:val="20"/>
              </w:rPr>
              <w:t>Phase 2 gate (infrastructure ready)</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$72,000</w:t>
            </w:r>
          </w:p>
        </w:tc>
      </w:tr>
      <w:tr>
        <w:trPr>
          <w:trHeight w:val="425" w:hRule="atLeast"/>
        </w:trPr>
        <w:tc>
          <w:tcPr>
            <w:tcW w:type="dxa" w:w="3249"/>
            <w:vAlign w:val="center"/>
          </w:tcPr>
          <w:p>
            <w:pPr>
              <w:spacing w:line="276" w:lineRule="auto" w:before="0" w:after="0"/>
            </w:pPr>
            <w:r/>
            <w:r>
              <w:rPr>
                <w:rFonts w:ascii="Figtree" w:hAnsi="Figtree"/>
                <w:b w:val="0"/>
                <w:i w:val="0"/>
                <w:sz w:val="20"/>
              </w:rPr>
              <w:t>Phase 4 gate (integrations complete)</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$108,000</w:t>
            </w:r>
          </w:p>
        </w:tc>
      </w:tr>
      <w:tr>
        <w:trPr>
          <w:trHeight w:val="425" w:hRule="atLeast"/>
        </w:trPr>
        <w:tc>
          <w:tcPr>
            <w:tcW w:type="dxa" w:w="3249"/>
            <w:vAlign w:val="center"/>
          </w:tcPr>
          <w:p>
            <w:pPr>
              <w:spacing w:line="276" w:lineRule="auto" w:before="0" w:after="0"/>
            </w:pPr>
            <w:r/>
            <w:r>
              <w:rPr>
                <w:rFonts w:ascii="Figtree" w:hAnsi="Figtree"/>
                <w:b w:val="0"/>
                <w:i w:val="0"/>
                <w:sz w:val="20"/>
              </w:rPr>
              <w:t>Phase 6 gate (production go-live)</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$90,000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100%</w:t>
            </w:r>
          </w:p>
        </w:tc>
        <w:tc>
          <w:tcPr>
            <w:tcW w:type="dxa" w:w="3249"/>
            <w:vAlign w:val="center"/>
          </w:tcPr>
          <w:p>
            <w:pPr>
              <w:spacing w:line="276" w:lineRule="auto" w:before="0" w:after="0"/>
            </w:pPr>
            <w:r/>
            <w:r>
              <w:rPr>
                <w:rFonts w:ascii="Figtree" w:hAnsi="Figtree"/>
                <w:b/>
                <w:i w:val="0"/>
                <w:sz w:val="20"/>
              </w:rPr>
              <w:t>$360,000</w:t>
            </w:r>
          </w:p>
        </w:tc>
      </w:tr>
    </w:tbl>
    <w:p>
      <w:pPr>
        <w:spacing w:before="0" w:after="0" w:line="120" w:lineRule="exact"/>
      </w:pPr>
    </w:p>
    <w:p>
      <w:pPr>
        <w:pStyle w:val="H3"/>
        <w:numPr>
          <w:ilvl w:val="2"/>
          <w:numId w:val="1"/>
        </w:numPr>
      </w:pPr>
      <w:r>
        <w:t>Payment Terms</w:t>
      </w:r>
    </w:p>
    <w:p>
      <w:r>
        <w:rPr>
          <w:rFonts w:ascii="Figtree" w:hAnsi="Figtree"/>
          <w:b w:val="0"/>
          <w:i w:val="0"/>
          <w:sz w:val="22"/>
        </w:rPr>
        <w:t>Net 30 days from invoice. USD denomination. Late payment interest at 1.5% per month after 45-day grace period.</w:t>
      </w:r>
    </w:p>
    <w:p>
      <w:pPr>
        <w:pStyle w:val="H3"/>
        <w:numPr>
          <w:ilvl w:val="2"/>
          <w:numId w:val="1"/>
        </w:numPr>
      </w:pPr>
      <w:r>
        <w:t>Contract Duration</w:t>
      </w:r>
    </w:p>
    <w:p>
      <w:r>
        <w:rPr>
          <w:rFonts w:ascii="Figtree" w:hAnsi="Figtree"/>
          <w:b w:val="0"/>
          <w:i w:val="0"/>
          <w:sz w:val="22"/>
        </w:rPr>
        <w:t>3-year initial term from production go-live. Automatic annual renewal unless 90-day notice. Early termination for cause: immediate with pro-rata refund. Early termination for convenience: 6-month notice, no refund of prepaid fees.</w:t>
      </w:r>
    </w:p>
    <w:p>
      <w:r>
        <w:br w:type="page"/>
      </w:r>
    </w:p>
    <w:p>
      <w:pPr>
        <w:pStyle w:val="H2"/>
        <w:numPr>
          <w:ilvl w:val="1"/>
          <w:numId w:val="1"/>
        </w:numPr>
      </w:pPr>
      <w:r>
        <w:t>Value Realisation and ROI Analysis</w:t>
      </w:r>
    </w:p>
    <w:p>
      <w:pPr>
        <w:pStyle w:val="H3"/>
        <w:numPr>
          <w:ilvl w:val="2"/>
          <w:numId w:val="1"/>
        </w:numPr>
      </w:pPr>
      <w:r>
        <w:t>Value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7"/>
        <w:gridCol w:w="4413"/>
        <w:gridCol w:w="19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Annual Benefit</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automation</w:t>
            </w:r>
          </w:p>
        </w:tc>
        <w:tc>
          <w:tcPr>
            <w:tcW w:type="dxa" w:w="3249"/>
            <w:vAlign w:val="center"/>
          </w:tcPr>
          <w:p>
            <w:pPr>
              <w:spacing w:line="276" w:lineRule="auto" w:before="0" w:after="0"/>
            </w:pPr>
            <w:r/>
            <w:r>
              <w:rPr>
                <w:rFonts w:ascii="Figtree" w:hAnsi="Figtree"/>
                <w:b w:val="0"/>
                <w:i w:val="0"/>
                <w:sz w:val="20"/>
              </w:rPr>
              <w:t>On-chain event feeds replace manual statement matching</w:t>
            </w:r>
          </w:p>
        </w:tc>
        <w:tc>
          <w:tcPr>
            <w:tcW w:type="dxa" w:w="3249"/>
            <w:vAlign w:val="center"/>
          </w:tcPr>
          <w:p>
            <w:pPr>
              <w:spacing w:line="276" w:lineRule="auto" w:before="0" w:after="0"/>
            </w:pPr>
            <w:r/>
            <w:r>
              <w:rPr>
                <w:rFonts w:ascii="Figtree" w:hAnsi="Figtree"/>
                <w:b w:val="0"/>
                <w:i w:val="0"/>
                <w:sz w:val="20"/>
              </w:rPr>
              <w:t>$80,000-$200,000</w:t>
            </w:r>
          </w:p>
        </w:tc>
      </w:tr>
      <w:tr>
        <w:trPr>
          <w:trHeight w:val="425" w:hRule="atLeast"/>
        </w:trPr>
        <w:tc>
          <w:tcPr>
            <w:tcW w:type="dxa" w:w="3249"/>
            <w:vAlign w:val="center"/>
          </w:tcPr>
          <w:p>
            <w:pPr>
              <w:spacing w:line="276" w:lineRule="auto" w:before="0" w:after="0"/>
            </w:pPr>
            <w:r/>
            <w:r>
              <w:rPr>
                <w:rFonts w:ascii="Figtree" w:hAnsi="Figtree"/>
                <w:b w:val="0"/>
                <w:i w:val="0"/>
                <w:sz w:val="20"/>
              </w:rPr>
              <w:t>Regulatory evidence</w:t>
            </w:r>
          </w:p>
        </w:tc>
        <w:tc>
          <w:tcPr>
            <w:tcW w:type="dxa" w:w="3249"/>
            <w:vAlign w:val="center"/>
          </w:tcPr>
          <w:p>
            <w:pPr>
              <w:spacing w:line="276" w:lineRule="auto" w:before="0" w:after="0"/>
            </w:pPr>
            <w:r/>
            <w:r>
              <w:rPr>
                <w:rFonts w:ascii="Figtree" w:hAnsi="Figtree"/>
                <w:b w:val="0"/>
                <w:i w:val="0"/>
                <w:sz w:val="20"/>
              </w:rPr>
              <w:t>On-demand API export replaces manual log correlation</w:t>
            </w:r>
          </w:p>
        </w:tc>
        <w:tc>
          <w:tcPr>
            <w:tcW w:type="dxa" w:w="3249"/>
            <w:vAlign w:val="center"/>
          </w:tcPr>
          <w:p>
            <w:pPr>
              <w:spacing w:line="276" w:lineRule="auto" w:before="0" w:after="0"/>
            </w:pPr>
            <w:r/>
            <w:r>
              <w:rPr>
                <w:rFonts w:ascii="Figtree" w:hAnsi="Figtree"/>
                <w:b w:val="0"/>
                <w:i w:val="0"/>
                <w:sz w:val="20"/>
              </w:rPr>
              <w:t>$40,000-$100,000</w:t>
            </w:r>
          </w:p>
        </w:tc>
      </w:tr>
      <w:tr>
        <w:trPr>
          <w:trHeight w:val="425" w:hRule="atLeast"/>
        </w:trPr>
        <w:tc>
          <w:tcPr>
            <w:tcW w:type="dxa" w:w="3249"/>
            <w:vAlign w:val="center"/>
          </w:tcPr>
          <w:p>
            <w:pPr>
              <w:spacing w:line="276" w:lineRule="auto" w:before="0" w:after="0"/>
            </w:pPr>
            <w:r/>
            <w:r>
              <w:rPr>
                <w:rFonts w:ascii="Figtree" w:hAnsi="Figtree"/>
                <w:b w:val="0"/>
                <w:i w:val="0"/>
                <w:sz w:val="20"/>
              </w:rPr>
              <w:t>Settlement dispute resolution</w:t>
            </w:r>
          </w:p>
        </w:tc>
        <w:tc>
          <w:tcPr>
            <w:tcW w:type="dxa" w:w="3249"/>
            <w:vAlign w:val="center"/>
          </w:tcPr>
          <w:p>
            <w:pPr>
              <w:spacing w:line="276" w:lineRule="auto" w:before="0" w:after="0"/>
            </w:pPr>
            <w:r/>
            <w:r>
              <w:rPr>
                <w:rFonts w:ascii="Figtree" w:hAnsi="Figtree"/>
                <w:b w:val="0"/>
                <w:i w:val="0"/>
                <w:sz w:val="20"/>
              </w:rPr>
              <w:t>Immutable record resolves participant disputes faster</w:t>
            </w:r>
          </w:p>
        </w:tc>
        <w:tc>
          <w:tcPr>
            <w:tcW w:type="dxa" w:w="3249"/>
            <w:vAlign w:val="center"/>
          </w:tcPr>
          <w:p>
            <w:pPr>
              <w:spacing w:line="276" w:lineRule="auto" w:before="0" w:after="0"/>
            </w:pPr>
            <w:r/>
            <w:r>
              <w:rPr>
                <w:rFonts w:ascii="Figtree" w:hAnsi="Figtree"/>
                <w:b w:val="0"/>
                <w:i w:val="0"/>
                <w:sz w:val="20"/>
              </w:rPr>
              <w:t>$30,000-$80,000</w:t>
            </w:r>
          </w:p>
        </w:tc>
      </w:tr>
      <w:tr>
        <w:trPr>
          <w:trHeight w:val="425" w:hRule="atLeast"/>
        </w:trPr>
        <w:tc>
          <w:tcPr>
            <w:tcW w:type="dxa" w:w="3249"/>
            <w:vAlign w:val="center"/>
          </w:tcPr>
          <w:p>
            <w:pPr>
              <w:spacing w:line="276" w:lineRule="auto" w:before="0" w:after="0"/>
            </w:pPr>
            <w:r/>
            <w:r>
              <w:rPr>
                <w:rFonts w:ascii="Figtree" w:hAnsi="Figtree"/>
                <w:b w:val="0"/>
                <w:i w:val="0"/>
                <w:sz w:val="20"/>
              </w:rPr>
              <w:t>Settlement failure rate reduction</w:t>
            </w:r>
          </w:p>
        </w:tc>
        <w:tc>
          <w:tcPr>
            <w:tcW w:type="dxa" w:w="3249"/>
            <w:vAlign w:val="center"/>
          </w:tcPr>
          <w:p>
            <w:pPr>
              <w:spacing w:line="276" w:lineRule="auto" w:before="0" w:after="0"/>
            </w:pPr>
            <w:r/>
            <w:r>
              <w:rPr>
                <w:rFonts w:ascii="Figtree" w:hAnsi="Figtree"/>
                <w:b w:val="0"/>
                <w:i w:val="0"/>
                <w:sz w:val="20"/>
              </w:rPr>
              <w:t>Durable execution reduces failed cycles</w:t>
            </w:r>
          </w:p>
        </w:tc>
        <w:tc>
          <w:tcPr>
            <w:tcW w:type="dxa" w:w="3249"/>
            <w:vAlign w:val="center"/>
          </w:tcPr>
          <w:p>
            <w:pPr>
              <w:spacing w:line="276" w:lineRule="auto" w:before="0" w:after="0"/>
            </w:pPr>
            <w:r/>
            <w:r>
              <w:rPr>
                <w:rFonts w:ascii="Figtree" w:hAnsi="Figtree"/>
                <w:b w:val="0"/>
                <w:i w:val="0"/>
                <w:sz w:val="20"/>
              </w:rPr>
              <w:t>$50,000-$150,000</w:t>
            </w:r>
          </w:p>
        </w:tc>
      </w:tr>
      <w:tr>
        <w:trPr>
          <w:trHeight w:val="425" w:hRule="atLeast"/>
        </w:trPr>
        <w:tc>
          <w:tcPr>
            <w:tcW w:type="dxa" w:w="3249"/>
            <w:vAlign w:val="center"/>
          </w:tcPr>
          <w:p>
            <w:pPr>
              <w:spacing w:line="276" w:lineRule="auto" w:before="0" w:after="0"/>
            </w:pPr>
            <w:r/>
            <w:r>
              <w:rPr>
                <w:rFonts w:ascii="Figtree" w:hAnsi="Figtree"/>
                <w:b w:val="0"/>
                <w:i w:val="0"/>
                <w:sz w:val="20"/>
              </w:rPr>
              <w:t>Participant bank onboarding</w:t>
            </w:r>
          </w:p>
        </w:tc>
        <w:tc>
          <w:tcPr>
            <w:tcW w:type="dxa" w:w="3249"/>
            <w:vAlign w:val="center"/>
          </w:tcPr>
          <w:p>
            <w:pPr>
              <w:spacing w:line="276" w:lineRule="auto" w:before="0" w:after="0"/>
            </w:pPr>
            <w:r/>
            <w:r>
              <w:rPr>
                <w:rFonts w:ascii="Figtree" w:hAnsi="Figtree"/>
                <w:b w:val="0"/>
                <w:i w:val="0"/>
                <w:sz w:val="20"/>
              </w:rPr>
              <w:t>Identity reuse reduces per-bank integration overhead</w:t>
            </w:r>
          </w:p>
        </w:tc>
        <w:tc>
          <w:tcPr>
            <w:tcW w:type="dxa" w:w="3249"/>
            <w:vAlign w:val="center"/>
          </w:tcPr>
          <w:p>
            <w:pPr>
              <w:spacing w:line="276" w:lineRule="auto" w:before="0" w:after="0"/>
            </w:pPr>
            <w:r/>
            <w:r>
              <w:rPr>
                <w:rFonts w:ascii="Figtree" w:hAnsi="Figtree"/>
                <w:b w:val="0"/>
                <w:i w:val="0"/>
                <w:sz w:val="20"/>
              </w:rPr>
              <w:t>$20,000-$60,000</w:t>
            </w:r>
          </w:p>
        </w:tc>
      </w:tr>
    </w:tbl>
    <w:p>
      <w:pPr>
        <w:spacing w:before="0" w:after="0" w:line="120" w:lineRule="exact"/>
      </w:pPr>
    </w:p>
    <w:p>
      <w:r>
        <w:rPr>
          <w:rFonts w:ascii="Figtree" w:hAnsi="Figtree"/>
          <w:b/>
          <w:i w:val="0"/>
          <w:sz w:val="22"/>
        </w:rPr>
        <w:t>Conservative annual benefit: $220,000-$590,000</w:t>
      </w:r>
    </w:p>
    <w:p>
      <w:pPr>
        <w:pStyle w:val="H3"/>
        <w:numPr>
          <w:ilvl w:val="2"/>
          <w:numId w:val="1"/>
        </w:numPr>
      </w:pPr>
      <w:r>
        <w:t>Payback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7"/>
        <w:gridCol w:w="2540"/>
        <w:gridCol w:w="1814"/>
        <w:gridCol w:w="254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Benefit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3-Year Net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Payback</w:t>
            </w:r>
          </w:p>
        </w:tc>
      </w:tr>
      <w:tr>
        <w:trPr>
          <w:trHeight w:val="425" w:hRule="atLeast"/>
        </w:trPr>
        <w:tc>
          <w:tcPr>
            <w:tcW w:type="dxa" w:w="2436"/>
            <w:vAlign w:val="center"/>
          </w:tcPr>
          <w:p>
            <w:pPr>
              <w:spacing w:line="276" w:lineRule="auto" w:before="0" w:after="0"/>
            </w:pPr>
            <w:r/>
            <w:r>
              <w:rPr>
                <w:rFonts w:ascii="Figtree" w:hAnsi="Figtree"/>
                <w:b w:val="0"/>
                <w:i w:val="0"/>
                <w:sz w:val="20"/>
              </w:rPr>
              <w:t>Conservative</w:t>
            </w:r>
          </w:p>
        </w:tc>
        <w:tc>
          <w:tcPr>
            <w:tcW w:type="dxa" w:w="2436"/>
            <w:vAlign w:val="center"/>
          </w:tcPr>
          <w:p>
            <w:pPr>
              <w:spacing w:line="276" w:lineRule="auto" w:before="0" w:after="0"/>
            </w:pPr>
            <w:r/>
            <w:r>
              <w:rPr>
                <w:rFonts w:ascii="Figtree" w:hAnsi="Figtree"/>
                <w:b w:val="0"/>
                <w:i w:val="0"/>
                <w:sz w:val="20"/>
              </w:rPr>
              <w:t>$220,000</w:t>
            </w:r>
          </w:p>
        </w:tc>
        <w:tc>
          <w:tcPr>
            <w:tcW w:type="dxa" w:w="2436"/>
            <w:vAlign w:val="center"/>
          </w:tcPr>
          <w:p>
            <w:pPr>
              <w:spacing w:line="276" w:lineRule="auto" w:before="0" w:after="0"/>
            </w:pPr>
            <w:r/>
            <w:r>
              <w:rPr>
                <w:rFonts w:ascii="Figtree" w:hAnsi="Figtree"/>
                <w:b w:val="0"/>
                <w:i w:val="0"/>
                <w:sz w:val="20"/>
              </w:rPr>
              <w:t>-$825,000</w:t>
            </w:r>
          </w:p>
        </w:tc>
        <w:tc>
          <w:tcPr>
            <w:tcW w:type="dxa" w:w="2436"/>
            <w:vAlign w:val="center"/>
          </w:tcPr>
          <w:p>
            <w:pPr>
              <w:spacing w:line="276" w:lineRule="auto" w:before="0" w:after="0"/>
            </w:pPr>
            <w:r/>
            <w:r>
              <w:rPr>
                <w:rFonts w:ascii="Figtree" w:hAnsi="Figtree"/>
                <w:b w:val="0"/>
                <w:i w:val="0"/>
                <w:sz w:val="20"/>
              </w:rPr>
              <w:t>Beyond 3 years</w:t>
            </w:r>
          </w:p>
        </w:tc>
      </w:tr>
      <w:tr>
        <w:trPr>
          <w:trHeight w:val="425" w:hRule="atLeast"/>
        </w:trPr>
        <w:tc>
          <w:tcPr>
            <w:tcW w:type="dxa" w:w="2436"/>
            <w:vAlign w:val="center"/>
          </w:tcPr>
          <w:p>
            <w:pPr>
              <w:spacing w:line="276" w:lineRule="auto" w:before="0" w:after="0"/>
            </w:pPr>
            <w:r/>
            <w:r>
              <w:rPr>
                <w:rFonts w:ascii="Figtree" w:hAnsi="Figtree"/>
                <w:b w:val="0"/>
                <w:i w:val="0"/>
                <w:sz w:val="20"/>
              </w:rPr>
              <w:t>Expected</w:t>
            </w:r>
          </w:p>
        </w:tc>
        <w:tc>
          <w:tcPr>
            <w:tcW w:type="dxa" w:w="2436"/>
            <w:vAlign w:val="center"/>
          </w:tcPr>
          <w:p>
            <w:pPr>
              <w:spacing w:line="276" w:lineRule="auto" w:before="0" w:after="0"/>
            </w:pPr>
            <w:r/>
            <w:r>
              <w:rPr>
                <w:rFonts w:ascii="Figtree" w:hAnsi="Figtree"/>
                <w:b w:val="0"/>
                <w:i w:val="0"/>
                <w:sz w:val="20"/>
              </w:rPr>
              <w:t>$400,000</w:t>
            </w:r>
          </w:p>
        </w:tc>
        <w:tc>
          <w:tcPr>
            <w:tcW w:type="dxa" w:w="2436"/>
            <w:vAlign w:val="center"/>
          </w:tcPr>
          <w:p>
            <w:pPr>
              <w:spacing w:line="276" w:lineRule="auto" w:before="0" w:after="0"/>
            </w:pPr>
            <w:r/>
            <w:r>
              <w:rPr>
                <w:rFonts w:ascii="Figtree" w:hAnsi="Figtree"/>
                <w:b w:val="0"/>
                <w:i w:val="0"/>
                <w:sz w:val="20"/>
              </w:rPr>
              <w:t>-$285,000</w:t>
            </w:r>
          </w:p>
        </w:tc>
        <w:tc>
          <w:tcPr>
            <w:tcW w:type="dxa" w:w="2436"/>
            <w:vAlign w:val="center"/>
          </w:tcPr>
          <w:p>
            <w:pPr>
              <w:spacing w:line="276" w:lineRule="auto" w:before="0" w:after="0"/>
            </w:pPr>
            <w:r/>
            <w:r>
              <w:rPr>
                <w:rFonts w:ascii="Figtree" w:hAnsi="Figtree"/>
                <w:b w:val="0"/>
                <w:i w:val="0"/>
                <w:sz w:val="20"/>
              </w:rPr>
              <w:t>3.7 years</w:t>
            </w:r>
          </w:p>
        </w:tc>
      </w:tr>
      <w:tr>
        <w:trPr>
          <w:trHeight w:val="425" w:hRule="atLeast"/>
        </w:trPr>
        <w:tc>
          <w:tcPr>
            <w:tcW w:type="dxa" w:w="2436"/>
            <w:vAlign w:val="center"/>
          </w:tcPr>
          <w:p>
            <w:pPr>
              <w:spacing w:line="276" w:lineRule="auto" w:before="0" w:after="0"/>
            </w:pPr>
            <w:r/>
            <w:r>
              <w:rPr>
                <w:rFonts w:ascii="Figtree" w:hAnsi="Figtree"/>
                <w:b w:val="0"/>
                <w:i w:val="0"/>
                <w:sz w:val="20"/>
              </w:rPr>
              <w:t>Upside</w:t>
            </w:r>
          </w:p>
        </w:tc>
        <w:tc>
          <w:tcPr>
            <w:tcW w:type="dxa" w:w="2436"/>
            <w:vAlign w:val="center"/>
          </w:tcPr>
          <w:p>
            <w:pPr>
              <w:spacing w:line="276" w:lineRule="auto" w:before="0" w:after="0"/>
            </w:pPr>
            <w:r/>
            <w:r>
              <w:rPr>
                <w:rFonts w:ascii="Figtree" w:hAnsi="Figtree"/>
                <w:b w:val="0"/>
                <w:i w:val="0"/>
                <w:sz w:val="20"/>
              </w:rPr>
              <w:t>$590,000</w:t>
            </w:r>
          </w:p>
        </w:tc>
        <w:tc>
          <w:tcPr>
            <w:tcW w:type="dxa" w:w="2436"/>
            <w:vAlign w:val="center"/>
          </w:tcPr>
          <w:p>
            <w:pPr>
              <w:spacing w:line="276" w:lineRule="auto" w:before="0" w:after="0"/>
            </w:pPr>
            <w:r/>
            <w:r>
              <w:rPr>
                <w:rFonts w:ascii="Figtree" w:hAnsi="Figtree"/>
                <w:b w:val="0"/>
                <w:i w:val="0"/>
                <w:sz w:val="20"/>
              </w:rPr>
              <w:t>+$285,000</w:t>
            </w:r>
          </w:p>
        </w:tc>
        <w:tc>
          <w:tcPr>
            <w:tcW w:type="dxa" w:w="2436"/>
            <w:vAlign w:val="center"/>
          </w:tcPr>
          <w:p>
            <w:pPr>
              <w:spacing w:line="276" w:lineRule="auto" w:before="0" w:after="0"/>
            </w:pPr>
            <w:r/>
            <w:r>
              <w:rPr>
                <w:rFonts w:ascii="Figtree" w:hAnsi="Figtree"/>
                <w:b w:val="0"/>
                <w:i w:val="0"/>
                <w:sz w:val="20"/>
              </w:rPr>
              <w:t>2.5 years</w:t>
            </w:r>
          </w:p>
        </w:tc>
      </w:tr>
    </w:tbl>
    <w:p>
      <w:pPr>
        <w:spacing w:before="0" w:after="0" w:line="120" w:lineRule="exact"/>
      </w:pPr>
    </w:p>
    <w:p>
      <w:r>
        <w:rPr>
          <w:rFonts w:ascii="Figtree" w:hAnsi="Figtree"/>
          <w:b w:val="0"/>
          <w:i w:val="0"/>
          <w:sz w:val="22"/>
        </w:rPr>
        <w:t>The ROI case for Interswitch is primarily risk reduction and regulatory defensibility, which are difficult to quantify precisely at proposal stage. A value workshop using Interswitch's actual reconciliation team costs, CBN supervisory request frequency, and settlement dispute rates would provide a more precise payback model.</w:t>
      </w:r>
    </w:p>
    <w:p>
      <w:r>
        <w:br w:type="page"/>
      </w:r>
    </w:p>
    <w:p>
      <w:pPr>
        <w:pStyle w:val="H2"/>
        <w:numPr>
          <w:ilvl w:val="1"/>
          <w:numId w:val="1"/>
        </w:numPr>
      </w:pPr>
      <w:r>
        <w:t>Commercial Assumptions and Dependencies</w:t>
      </w:r>
    </w:p>
    <w:p>
      <w:pPr>
        <w:pStyle w:val="ListParagraph"/>
        <w:numPr>
          <w:ilvl w:val="0"/>
          <w:numId w:val="4"/>
        </w:numPr>
      </w:pPr>
      <w:r>
        <w:rPr>
          <w:rFonts w:ascii="Figtree" w:hAnsi="Figtree"/>
          <w:b w:val="0"/>
          <w:i w:val="0"/>
          <w:sz w:val="22"/>
        </w:rPr>
        <w:t>Deployment on Interswitch-managed infrastructure (on-premises or private cloud). Cloud-managed deployment reduces implementation cost by approximately $30,000.</w:t>
      </w:r>
    </w:p>
    <w:p>
      <w:pPr>
        <w:pStyle w:val="ListParagraph"/>
        <w:numPr>
          <w:ilvl w:val="0"/>
          <w:numId w:val="4"/>
        </w:numPr>
      </w:pPr>
      <w:r>
        <w:rPr>
          <w:rFonts w:ascii="Figtree" w:hAnsi="Figtree"/>
          <w:b w:val="0"/>
          <w:i w:val="0"/>
          <w:sz w:val="22"/>
        </w:rPr>
        <w:t>Interswitch provides 2 dedicated integration engineers during Phases 3 and 4. External integration support available at $1,500/day.</w:t>
      </w:r>
    </w:p>
    <w:p>
      <w:pPr>
        <w:pStyle w:val="ListParagraph"/>
        <w:numPr>
          <w:ilvl w:val="0"/>
          <w:numId w:val="4"/>
        </w:numPr>
      </w:pPr>
      <w:r>
        <w:rPr>
          <w:rFonts w:ascii="Figtree" w:hAnsi="Figtree"/>
          <w:b w:val="0"/>
          <w:i w:val="0"/>
          <w:sz w:val="22"/>
        </w:rPr>
        <w:t>CBN engagement and any required regulatory notification or approval is Interswitch's responsibility. Unexpected regulatory delays extend timeline without affecting fixed-price implementation.</w:t>
      </w:r>
    </w:p>
    <w:p>
      <w:pPr>
        <w:pStyle w:val="ListParagraph"/>
        <w:numPr>
          <w:ilvl w:val="0"/>
          <w:numId w:val="4"/>
        </w:numPr>
      </w:pPr>
      <w:r>
        <w:rPr>
          <w:rFonts w:ascii="Figtree" w:hAnsi="Figtree"/>
          <w:b w:val="0"/>
          <w:i w:val="0"/>
          <w:sz w:val="22"/>
        </w:rPr>
        <w:t>HSM hardware procurement is Interswitch's responsibility. SettleMint provides specifications and integration support.</w:t>
      </w:r>
    </w:p>
    <w:p>
      <w:pPr>
        <w:pStyle w:val="ListParagraph"/>
        <w:numPr>
          <w:ilvl w:val="0"/>
          <w:numId w:val="4"/>
        </w:numPr>
      </w:pPr>
      <w:r>
        <w:rPr>
          <w:rFonts w:ascii="Figtree" w:hAnsi="Figtree"/>
          <w:b w:val="0"/>
          <w:i w:val="0"/>
          <w:sz w:val="22"/>
        </w:rPr>
        <w:t>Participant bank identity documentation is available and accurate. Data quality issues extend Phase 3 onboarding timeline.</w:t>
      </w:r>
    </w:p>
    <w:p>
      <w:pPr>
        <w:pStyle w:val="ListParagraph"/>
        <w:numPr>
          <w:ilvl w:val="0"/>
          <w:numId w:val="4"/>
        </w:numPr>
      </w:pPr>
      <w:r>
        <w:rPr>
          <w:rFonts w:ascii="Figtree" w:hAnsi="Figtree"/>
          <w:b w:val="0"/>
          <w:i w:val="0"/>
          <w:sz w:val="22"/>
        </w:rPr>
        <w:t>Settlement engine has documented API or can expose settlement instructions in structured format. Non-standard settlement engine integration may increase Phase 4 effort.</w:t>
      </w:r>
    </w:p>
    <w:p>
      <w:r>
        <w:br w:type="page"/>
      </w:r>
    </w:p>
    <w:p>
      <w:pPr>
        <w:pStyle w:val="H2"/>
        <w:numPr>
          <w:ilvl w:val="1"/>
          <w:numId w:val="1"/>
        </w:numPr>
      </w:pPr>
      <w:r>
        <w:t>Contractual Framework Overview</w:t>
      </w:r>
    </w:p>
    <w:p>
      <w:pPr>
        <w:pStyle w:val="H3"/>
        <w:numPr>
          <w:ilvl w:val="2"/>
          <w:numId w:val="1"/>
        </w:numPr>
      </w:pPr>
      <w:r>
        <w:t>Agreement Structure</w:t>
      </w:r>
    </w:p>
    <w:p>
      <w:r>
        <w:rPr>
          <w:rFonts w:ascii="Figtree" w:hAnsi="Figtree"/>
          <w:b w:val="0"/>
          <w:i w:val="0"/>
          <w:sz w:val="22"/>
        </w:rPr>
        <w:t>Two agreements: Master Subscription Agreement (platform license, IP ownership, data handling, liability, confidentiality) and Statement of Work (implementation scope, deliverables, milestones, acceptance criteria).</w:t>
      </w:r>
    </w:p>
    <w:p>
      <w:pPr>
        <w:pStyle w:val="H3"/>
        <w:numPr>
          <w:ilvl w:val="2"/>
          <w:numId w:val="1"/>
        </w:numPr>
      </w:pPr>
      <w:r>
        <w:t>Intellectual Property</w:t>
      </w:r>
    </w:p>
    <w:p>
      <w:r>
        <w:rPr>
          <w:rFonts w:ascii="Figtree" w:hAnsi="Figtree"/>
          <w:b w:val="0"/>
          <w:i w:val="0"/>
          <w:sz w:val="22"/>
        </w:rPr>
        <w:t>DALP platform IP remains SettleMint's. All Interswitch data, settlement records, on-chain token state, and custom integration code remain Interswitch's.</w:t>
      </w:r>
    </w:p>
    <w:p>
      <w:pPr>
        <w:pStyle w:val="H3"/>
        <w:numPr>
          <w:ilvl w:val="2"/>
          <w:numId w:val="1"/>
        </w:numPr>
      </w:pPr>
      <w:r>
        <w:t>Liability</w:t>
      </w:r>
    </w:p>
    <w:p>
      <w:r>
        <w:rPr>
          <w:rFonts w:ascii="Figtree" w:hAnsi="Figtree"/>
          <w:b w:val="0"/>
          <w:i w:val="0"/>
          <w:sz w:val="22"/>
        </w:rPr>
        <w:t>Cap: 12 months of preceding subscription fees. Mutual exclusion of consequential damages. Exceptions: gross negligence, wilful misconduct, data breach from SettleMint failure.</w:t>
      </w:r>
    </w:p>
    <w:p>
      <w:pPr>
        <w:pStyle w:val="H3"/>
        <w:numPr>
          <w:ilvl w:val="2"/>
          <w:numId w:val="1"/>
        </w:numPr>
      </w:pPr>
      <w:r>
        <w:t>Data Handling</w:t>
      </w:r>
    </w:p>
    <w:p>
      <w:r>
        <w:rPr>
          <w:rFonts w:ascii="Figtree" w:hAnsi="Figtree"/>
          <w:b w:val="0"/>
          <w:i w:val="0"/>
          <w:sz w:val="22"/>
        </w:rPr>
        <w:t>SettleMint acts as data processor under a Data Processing Agreement (DPA). All data residency requirements under NDPC Act 2023 are configurable. SettleMint does not access production data without explicit Interswitch authorisation.</w:t>
      </w:r>
    </w:p>
    <w:p>
      <w:r>
        <w:br w:type="page"/>
      </w:r>
    </w:p>
    <w:p>
      <w:pPr>
        <w:pStyle w:val="H2"/>
        <w:numPr>
          <w:ilvl w:val="1"/>
          <w:numId w:val="1"/>
        </w:numPr>
      </w:pPr>
      <w:r>
        <w:t>Appendix A: Detailed Pricing Schedule</w:t>
      </w:r>
    </w:p>
    <w:p>
      <w:pPr>
        <w:pStyle w:val="H3"/>
        <w:numPr>
          <w:ilvl w:val="2"/>
          <w:numId w:val="1"/>
        </w:numPr>
      </w:pPr>
      <w:r>
        <w:t>Annual Recurring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0"/>
        <w:gridCol w:w="1727"/>
        <w:gridCol w:w="701"/>
        <w:gridCol w:w="1328"/>
        <w:gridCol w:w="159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Line Item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Unit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Qty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Unit Price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Total</w:t>
            </w:r>
          </w:p>
        </w:tc>
      </w:tr>
      <w:tr>
        <w:trPr>
          <w:trHeight w:val="425" w:hRule="atLeast"/>
        </w:trPr>
        <w:tc>
          <w:tcPr>
            <w:tcW w:type="dxa" w:w="1949"/>
            <w:vAlign w:val="center"/>
          </w:tcPr>
          <w:p>
            <w:pPr>
              <w:spacing w:line="276" w:lineRule="auto" w:before="0" w:after="0"/>
            </w:pPr>
            <w:r/>
            <w:r>
              <w:rPr>
                <w:rFonts w:ascii="Figtree" w:hAnsi="Figtree"/>
                <w:b w:val="0"/>
                <w:i w:val="0"/>
                <w:sz w:val="20"/>
              </w:rPr>
              <w:t>DALP Enterprise License</w:t>
            </w:r>
          </w:p>
        </w:tc>
        <w:tc>
          <w:tcPr>
            <w:tcW w:type="dxa" w:w="1949"/>
            <w:vAlign w:val="center"/>
          </w:tcPr>
          <w:p>
            <w:pPr>
              <w:spacing w:line="276" w:lineRule="auto" w:before="0" w:after="0"/>
            </w:pPr>
            <w:r/>
            <w:r>
              <w:rPr>
                <w:rFonts w:ascii="Figtree" w:hAnsi="Figtree"/>
                <w:b w:val="0"/>
                <w:i w:val="0"/>
                <w:sz w:val="20"/>
              </w:rPr>
              <w:t>Platform/year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$240,000</w:t>
            </w:r>
          </w:p>
        </w:tc>
        <w:tc>
          <w:tcPr>
            <w:tcW w:type="dxa" w:w="1949"/>
            <w:vAlign w:val="center"/>
          </w:tcPr>
          <w:p>
            <w:pPr>
              <w:spacing w:line="276" w:lineRule="auto" w:before="0" w:after="0"/>
            </w:pPr>
            <w:r/>
            <w:r>
              <w:rPr>
                <w:rFonts w:ascii="Figtree" w:hAnsi="Figtree"/>
                <w:b w:val="0"/>
                <w:i w:val="0"/>
                <w:sz w:val="20"/>
              </w:rPr>
              <w:t>$240,000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 (UAT)</w:t>
            </w:r>
          </w:p>
        </w:tc>
        <w:tc>
          <w:tcPr>
            <w:tcW w:type="dxa" w:w="1949"/>
            <w:vAlign w:val="center"/>
          </w:tcPr>
          <w:p>
            <w:pPr>
              <w:spacing w:line="276" w:lineRule="auto" w:before="0" w:after="0"/>
            </w:pPr>
            <w:r/>
            <w:r>
              <w:rPr>
                <w:rFonts w:ascii="Figtree" w:hAnsi="Figtree"/>
                <w:b w:val="0"/>
                <w:i w:val="0"/>
                <w:sz w:val="20"/>
              </w:rPr>
              <w:t>Env/year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$25,000</w:t>
            </w:r>
          </w:p>
        </w:tc>
        <w:tc>
          <w:tcPr>
            <w:tcW w:type="dxa" w:w="1949"/>
            <w:vAlign w:val="center"/>
          </w:tcPr>
          <w:p>
            <w:pPr>
              <w:spacing w:line="276" w:lineRule="auto" w:before="0" w:after="0"/>
            </w:pPr>
            <w:r/>
            <w:r>
              <w:rPr>
                <w:rFonts w:ascii="Figtree" w:hAnsi="Figtree"/>
                <w:b w:val="0"/>
                <w:i w:val="0"/>
                <w:sz w:val="20"/>
              </w:rPr>
              <w:t>$25,000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 (DR)</w:t>
            </w:r>
          </w:p>
        </w:tc>
        <w:tc>
          <w:tcPr>
            <w:tcW w:type="dxa" w:w="1949"/>
            <w:vAlign w:val="center"/>
          </w:tcPr>
          <w:p>
            <w:pPr>
              <w:spacing w:line="276" w:lineRule="auto" w:before="0" w:after="0"/>
            </w:pPr>
            <w:r/>
            <w:r>
              <w:rPr>
                <w:rFonts w:ascii="Figtree" w:hAnsi="Figtree"/>
                <w:b w:val="0"/>
                <w:i w:val="0"/>
                <w:sz w:val="20"/>
              </w:rPr>
              <w:t>Env/year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$25,000</w:t>
            </w:r>
          </w:p>
        </w:tc>
        <w:tc>
          <w:tcPr>
            <w:tcW w:type="dxa" w:w="1949"/>
            <w:vAlign w:val="center"/>
          </w:tcPr>
          <w:p>
            <w:pPr>
              <w:spacing w:line="276" w:lineRule="auto" w:before="0" w:after="0"/>
            </w:pPr>
            <w:r/>
            <w:r>
              <w:rPr>
                <w:rFonts w:ascii="Figtree" w:hAnsi="Figtree"/>
                <w:b w:val="0"/>
                <w:i w:val="0"/>
                <w:sz w:val="20"/>
              </w:rPr>
              <w:t>$25,000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Tier/year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r>
      <w:tr>
        <w:trPr>
          <w:trHeight w:val="425" w:hRule="atLeast"/>
        </w:trPr>
        <w:tc>
          <w:tcPr>
            <w:tcW w:type="dxa" w:w="1949"/>
            <w:vAlign w:val="center"/>
          </w:tcPr>
          <w:p>
            <w:pPr>
              <w:spacing w:line="276" w:lineRule="auto" w:before="0" w:after="0"/>
            </w:pPr>
            <w:r/>
            <w:r>
              <w:rPr>
                <w:rFonts w:ascii="Figtree" w:hAnsi="Figtree"/>
                <w:b/>
                <w:i w:val="0"/>
                <w:sz w:val="20"/>
              </w:rPr>
              <w:t>Total Annual Recurring</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$375,000</w:t>
            </w:r>
          </w:p>
        </w:tc>
      </w:tr>
    </w:tbl>
    <w:p>
      <w:pPr>
        <w:spacing w:before="0" w:after="0" w:line="120" w:lineRule="exact"/>
      </w:pPr>
    </w:p>
    <w:p>
      <w:pPr>
        <w:pStyle w:val="H3"/>
        <w:numPr>
          <w:ilvl w:val="2"/>
          <w:numId w:val="1"/>
        </w:numPr>
      </w:pPr>
      <w:r>
        <w:t>Implementation (One-Time)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37"/>
        <w:gridCol w:w="5018"/>
        <w:gridCol w:w="23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$50,000</w:t>
            </w:r>
          </w:p>
        </w:tc>
      </w:tr>
      <w:tr>
        <w:trPr>
          <w:trHeight w:val="425" w:hRule="atLeast"/>
        </w:trPr>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Configuration</w:t>
            </w:r>
          </w:p>
        </w:tc>
        <w:tc>
          <w:tcPr>
            <w:tcW w:type="dxa" w:w="3249"/>
            <w:vAlign w:val="center"/>
          </w:tcPr>
          <w:p>
            <w:pPr>
              <w:spacing w:line="276" w:lineRule="auto" w:before="0" w:after="0"/>
            </w:pPr>
            <w:r/>
            <w:r>
              <w:rPr>
                <w:rFonts w:ascii="Figtree" w:hAnsi="Figtree"/>
                <w:b w:val="0"/>
                <w:i w:val="0"/>
                <w:sz w:val="20"/>
              </w:rPr>
              <w:t>$70,000</w:t>
            </w:r>
          </w:p>
        </w:tc>
      </w:tr>
      <w:tr>
        <w:trPr>
          <w:trHeight w:val="425" w:hRule="atLeast"/>
        </w:trPr>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$80,000</w:t>
            </w:r>
          </w:p>
        </w:tc>
      </w:tr>
      <w:tr>
        <w:trPr>
          <w:trHeight w:val="425" w:hRule="atLeast"/>
        </w:trPr>
        <w:tc>
          <w:tcPr>
            <w:tcW w:type="dxa" w:w="3249"/>
            <w:vAlign w:val="center"/>
          </w:tcPr>
          <w:p>
            <w:pPr>
              <w:spacing w:line="276" w:lineRule="auto" w:before="0" w:after="0"/>
            </w:pPr>
            <w:r/>
            <w:r>
              <w:rPr>
                <w:rFonts w:ascii="Figtree" w:hAnsi="Figtree"/>
                <w:b w:val="0"/>
                <w:i w:val="0"/>
                <w:sz w:val="20"/>
              </w:rPr>
              <w:t>Phase 5</w:t>
            </w:r>
          </w:p>
        </w:tc>
        <w:tc>
          <w:tcPr>
            <w:tcW w:type="dxa" w:w="3249"/>
            <w:vAlign w:val="center"/>
          </w:tcPr>
          <w:p>
            <w:pPr>
              <w:spacing w:line="276" w:lineRule="auto" w:before="0" w:after="0"/>
            </w:pPr>
            <w:r/>
            <w:r>
              <w:rPr>
                <w:rFonts w:ascii="Figtree" w:hAnsi="Figtree"/>
                <w:b w:val="0"/>
                <w:i w:val="0"/>
                <w:sz w:val="20"/>
              </w:rPr>
              <w:t>Testing and UAT</w:t>
            </w:r>
          </w:p>
        </w:tc>
        <w:tc>
          <w:tcPr>
            <w:tcW w:type="dxa" w:w="3249"/>
            <w:vAlign w:val="center"/>
          </w:tcPr>
          <w:p>
            <w:pPr>
              <w:spacing w:line="276" w:lineRule="auto" w:before="0" w:after="0"/>
            </w:pPr>
            <w:r/>
            <w:r>
              <w:rPr>
                <w:rFonts w:ascii="Figtree" w:hAnsi="Figtree"/>
                <w:b w:val="0"/>
                <w:i w:val="0"/>
                <w:sz w:val="20"/>
              </w:rPr>
              <w:t>$65,000</w:t>
            </w:r>
          </w:p>
        </w:tc>
      </w:tr>
      <w:tr>
        <w:trPr>
          <w:trHeight w:val="425" w:hRule="atLeast"/>
        </w:trPr>
        <w:tc>
          <w:tcPr>
            <w:tcW w:type="dxa" w:w="3249"/>
            <w:vAlign w:val="center"/>
          </w:tcPr>
          <w:p>
            <w:pPr>
              <w:spacing w:line="276" w:lineRule="auto" w:before="0" w:after="0"/>
            </w:pPr>
            <w:r/>
            <w:r>
              <w:rPr>
                <w:rFonts w:ascii="Figtree" w:hAnsi="Figtree"/>
                <w:b w:val="0"/>
                <w:i w:val="0"/>
                <w:sz w:val="20"/>
              </w:rPr>
              <w:t>Phase 6</w:t>
            </w:r>
          </w:p>
        </w:tc>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$35,000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$360,000</w:t>
            </w:r>
          </w:p>
        </w:tc>
      </w:tr>
    </w:tbl>
    <w:p>
      <w:pPr>
        <w:spacing w:before="0" w:after="0" w:line="120" w:lineRule="exact"/>
      </w:pPr>
    </w:p>
    <w:p>
      <w:r>
        <w:br w:type="page"/>
      </w:r>
    </w:p>
    <w:p>
      <w:pPr>
        <w:pStyle w:val="H2"/>
        <w:numPr>
          <w:ilvl w:val="1"/>
          <w:numId w:val="1"/>
        </w:numPr>
      </w:pPr>
      <w:r>
        <w:t>Appendix B: Implementation Milestone and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4"/>
        <w:gridCol w:w="4212"/>
        <w:gridCol w:w="864"/>
        <w:gridCol w:w="1296"/>
        <w:gridCol w:w="75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Deliverable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1949"/>
            <w:vAlign w:val="center"/>
          </w:tcPr>
          <w:p>
            <w:pPr>
              <w:spacing w:line="276" w:lineRule="auto" w:before="0" w:after="0"/>
            </w:pPr>
            <w:r/>
            <w:r>
              <w:rPr>
                <w:rFonts w:ascii="Figtree" w:hAnsi="Figtree"/>
                <w:b w:val="0"/>
                <w:i w:val="0"/>
                <w:sz w:val="20"/>
              </w:rPr>
              <w:t>Contract execution</w:t>
            </w:r>
          </w:p>
        </w:tc>
        <w:tc>
          <w:tcPr>
            <w:tcW w:type="dxa" w:w="1949"/>
            <w:vAlign w:val="center"/>
          </w:tcPr>
          <w:p>
            <w:pPr>
              <w:spacing w:line="276" w:lineRule="auto" w:before="0" w:after="0"/>
            </w:pPr>
            <w:r/>
            <w:r>
              <w:rPr>
                <w:rFonts w:ascii="Figtree" w:hAnsi="Figtree"/>
                <w:b w:val="0"/>
                <w:i w:val="0"/>
                <w:sz w:val="20"/>
              </w:rPr>
              <w:t>Signed MSA + SoW</w:t>
            </w:r>
          </w:p>
        </w:tc>
        <w:tc>
          <w:tcPr>
            <w:tcW w:type="dxa" w:w="1949"/>
            <w:vAlign w:val="center"/>
          </w:tcPr>
          <w:p>
            <w:pPr>
              <w:spacing w:line="276" w:lineRule="auto" w:before="0" w:after="0"/>
            </w:pPr>
            <w:r/>
            <w:r>
              <w:rPr>
                <w:rFonts w:ascii="Figtree" w:hAnsi="Figtree"/>
                <w:b w:val="0"/>
                <w:i w:val="0"/>
                <w:sz w:val="20"/>
              </w:rPr>
              <w:t>25%</w:t>
            </w:r>
          </w:p>
        </w:tc>
        <w:tc>
          <w:tcPr>
            <w:tcW w:type="dxa" w:w="1949"/>
            <w:vAlign w:val="center"/>
          </w:tcPr>
          <w:p>
            <w:pPr>
              <w:spacing w:line="276" w:lineRule="auto" w:before="0" w:after="0"/>
            </w:pPr>
            <w:r/>
            <w:r>
              <w:rPr>
                <w:rFonts w:ascii="Figtree" w:hAnsi="Figtree"/>
                <w:b w:val="0"/>
                <w:i w:val="0"/>
                <w:sz w:val="20"/>
              </w:rPr>
              <w:t>$90,000</w:t>
            </w:r>
          </w:p>
        </w:tc>
        <w:tc>
          <w:tcPr>
            <w:tcW w:type="dxa" w:w="1949"/>
            <w:vAlign w:val="center"/>
          </w:tcPr>
          <w:p>
            <w:pPr>
              <w:spacing w:line="276" w:lineRule="auto" w:before="0" w:after="0"/>
            </w:pPr>
            <w:r/>
            <w:r>
              <w:rPr>
                <w:rFonts w:ascii="Figtree" w:hAnsi="Figtree"/>
                <w:b w:val="0"/>
                <w:i w:val="0"/>
                <w:sz w:val="20"/>
              </w:rPr>
              <w:t>Week 0</w:t>
            </w:r>
          </w:p>
        </w:tc>
      </w:tr>
      <w:tr>
        <w:trPr>
          <w:trHeight w:val="425" w:hRule="atLeast"/>
        </w:trPr>
        <w:tc>
          <w:tcPr>
            <w:tcW w:type="dxa" w:w="1949"/>
            <w:vAlign w:val="center"/>
          </w:tcPr>
          <w:p>
            <w:pPr>
              <w:spacing w:line="276" w:lineRule="auto" w:before="0" w:after="0"/>
            </w:pPr>
            <w:r/>
            <w:r>
              <w:rPr>
                <w:rFonts w:ascii="Figtree" w:hAnsi="Figtree"/>
                <w:b w:val="0"/>
                <w:i w:val="0"/>
                <w:sz w:val="20"/>
              </w:rPr>
              <w:t>Phase 2 gate</w:t>
            </w:r>
          </w:p>
        </w:tc>
        <w:tc>
          <w:tcPr>
            <w:tcW w:type="dxa" w:w="1949"/>
            <w:vAlign w:val="center"/>
          </w:tcPr>
          <w:p>
            <w:pPr>
              <w:spacing w:line="276" w:lineRule="auto" w:before="0" w:after="0"/>
            </w:pPr>
            <w:r/>
            <w:r>
              <w:rPr>
                <w:rFonts w:ascii="Figtree" w:hAnsi="Figtree"/>
                <w:b w:val="0"/>
                <w:i w:val="0"/>
                <w:sz w:val="20"/>
              </w:rPr>
              <w:t>Infrastructure and platform operational</w:t>
            </w:r>
          </w:p>
        </w:tc>
        <w:tc>
          <w:tcPr>
            <w:tcW w:type="dxa" w:w="1949"/>
            <w:vAlign w:val="center"/>
          </w:tcPr>
          <w:p>
            <w:pPr>
              <w:spacing w:line="276" w:lineRule="auto" w:before="0" w:after="0"/>
            </w:pPr>
            <w:r/>
            <w:r>
              <w:rPr>
                <w:rFonts w:ascii="Figtree" w:hAnsi="Figtree"/>
                <w:b w:val="0"/>
                <w:i w:val="0"/>
                <w:sz w:val="20"/>
              </w:rPr>
              <w:t>20%</w:t>
            </w:r>
          </w:p>
        </w:tc>
        <w:tc>
          <w:tcPr>
            <w:tcW w:type="dxa" w:w="1949"/>
            <w:vAlign w:val="center"/>
          </w:tcPr>
          <w:p>
            <w:pPr>
              <w:spacing w:line="276" w:lineRule="auto" w:before="0" w:after="0"/>
            </w:pPr>
            <w:r/>
            <w:r>
              <w:rPr>
                <w:rFonts w:ascii="Figtree" w:hAnsi="Figtree"/>
                <w:b w:val="0"/>
                <w:i w:val="0"/>
                <w:sz w:val="20"/>
              </w:rPr>
              <w:t>$72,000</w:t>
            </w:r>
          </w:p>
        </w:tc>
        <w:tc>
          <w:tcPr>
            <w:tcW w:type="dxa" w:w="1949"/>
            <w:vAlign w:val="center"/>
          </w:tcPr>
          <w:p>
            <w:pPr>
              <w:spacing w:line="276" w:lineRule="auto" w:before="0" w:after="0"/>
            </w:pPr>
            <w:r/>
            <w:r>
              <w:rPr>
                <w:rFonts w:ascii="Figtree" w:hAnsi="Figtree"/>
                <w:b w:val="0"/>
                <w:i w:val="0"/>
                <w:sz w:val="20"/>
              </w:rPr>
              <w:t>Week 10</w:t>
            </w:r>
          </w:p>
        </w:tc>
      </w:tr>
      <w:tr>
        <w:trPr>
          <w:trHeight w:val="425" w:hRule="atLeast"/>
        </w:trPr>
        <w:tc>
          <w:tcPr>
            <w:tcW w:type="dxa" w:w="1949"/>
            <w:vAlign w:val="center"/>
          </w:tcPr>
          <w:p>
            <w:pPr>
              <w:spacing w:line="276" w:lineRule="auto" w:before="0" w:after="0"/>
            </w:pPr>
            <w:r/>
            <w:r>
              <w:rPr>
                <w:rFonts w:ascii="Figtree" w:hAnsi="Figtree"/>
                <w:b w:val="0"/>
                <w:i w:val="0"/>
                <w:sz w:val="20"/>
              </w:rPr>
              <w:t>Phase 4 gate</w:t>
            </w:r>
          </w:p>
        </w:tc>
        <w:tc>
          <w:tcPr>
            <w:tcW w:type="dxa" w:w="1949"/>
            <w:vAlign w:val="center"/>
          </w:tcPr>
          <w:p>
            <w:pPr>
              <w:spacing w:line="276" w:lineRule="auto" w:before="0" w:after="0"/>
            </w:pPr>
            <w:r/>
            <w:r>
              <w:rPr>
                <w:rFonts w:ascii="Figtree" w:hAnsi="Figtree"/>
                <w:b w:val="0"/>
                <w:i w:val="0"/>
                <w:sz w:val="20"/>
              </w:rPr>
              <w:t>All integrations complete and tested</w:t>
            </w:r>
          </w:p>
        </w:tc>
        <w:tc>
          <w:tcPr>
            <w:tcW w:type="dxa" w:w="1949"/>
            <w:vAlign w:val="center"/>
          </w:tcPr>
          <w:p>
            <w:pPr>
              <w:spacing w:line="276" w:lineRule="auto" w:before="0" w:after="0"/>
            </w:pPr>
            <w:r/>
            <w:r>
              <w:rPr>
                <w:rFonts w:ascii="Figtree" w:hAnsi="Figtree"/>
                <w:b w:val="0"/>
                <w:i w:val="0"/>
                <w:sz w:val="20"/>
              </w:rPr>
              <w:t>30%</w:t>
            </w:r>
          </w:p>
        </w:tc>
        <w:tc>
          <w:tcPr>
            <w:tcW w:type="dxa" w:w="1949"/>
            <w:vAlign w:val="center"/>
          </w:tcPr>
          <w:p>
            <w:pPr>
              <w:spacing w:line="276" w:lineRule="auto" w:before="0" w:after="0"/>
            </w:pPr>
            <w:r/>
            <w:r>
              <w:rPr>
                <w:rFonts w:ascii="Figtree" w:hAnsi="Figtree"/>
                <w:b w:val="0"/>
                <w:i w:val="0"/>
                <w:sz w:val="20"/>
              </w:rPr>
              <w:t>$108,000</w:t>
            </w:r>
          </w:p>
        </w:tc>
        <w:tc>
          <w:tcPr>
            <w:tcW w:type="dxa" w:w="1949"/>
            <w:vAlign w:val="center"/>
          </w:tcPr>
          <w:p>
            <w:pPr>
              <w:spacing w:line="276" w:lineRule="auto" w:before="0" w:after="0"/>
            </w:pPr>
            <w:r/>
            <w:r>
              <w:rPr>
                <w:rFonts w:ascii="Figtree" w:hAnsi="Figtree"/>
                <w:b w:val="0"/>
                <w:i w:val="0"/>
                <w:sz w:val="20"/>
              </w:rPr>
              <w:t>Week 22</w:t>
            </w:r>
          </w:p>
        </w:tc>
      </w:tr>
      <w:tr>
        <w:trPr>
          <w:trHeight w:val="425" w:hRule="atLeast"/>
        </w:trPr>
        <w:tc>
          <w:tcPr>
            <w:tcW w:type="dxa" w:w="1949"/>
            <w:vAlign w:val="center"/>
          </w:tcPr>
          <w:p>
            <w:pPr>
              <w:spacing w:line="276" w:lineRule="auto" w:before="0" w:after="0"/>
            </w:pPr>
            <w:r/>
            <w:r>
              <w:rPr>
                <w:rFonts w:ascii="Figtree" w:hAnsi="Figtree"/>
                <w:b w:val="0"/>
                <w:i w:val="0"/>
                <w:sz w:val="20"/>
              </w:rPr>
              <w:t>Phase 6 gate</w:t>
            </w:r>
          </w:p>
        </w:tc>
        <w:tc>
          <w:tcPr>
            <w:tcW w:type="dxa" w:w="1949"/>
            <w:vAlign w:val="center"/>
          </w:tcPr>
          <w:p>
            <w:pPr>
              <w:spacing w:line="276" w:lineRule="auto" w:before="0" w:after="0"/>
            </w:pPr>
            <w:r/>
            <w:r>
              <w:rPr>
                <w:rFonts w:ascii="Figtree" w:hAnsi="Figtree"/>
                <w:b w:val="0"/>
                <w:i w:val="0"/>
                <w:sz w:val="20"/>
              </w:rPr>
              <w:t>Production go-live achieved</w:t>
            </w:r>
          </w:p>
        </w:tc>
        <w:tc>
          <w:tcPr>
            <w:tcW w:type="dxa" w:w="1949"/>
            <w:vAlign w:val="center"/>
          </w:tcPr>
          <w:p>
            <w:pPr>
              <w:spacing w:line="276" w:lineRule="auto" w:before="0" w:after="0"/>
            </w:pPr>
            <w:r/>
            <w:r>
              <w:rPr>
                <w:rFonts w:ascii="Figtree" w:hAnsi="Figtree"/>
                <w:b w:val="0"/>
                <w:i w:val="0"/>
                <w:sz w:val="20"/>
              </w:rPr>
              <w:t>25%</w:t>
            </w:r>
          </w:p>
        </w:tc>
        <w:tc>
          <w:tcPr>
            <w:tcW w:type="dxa" w:w="1949"/>
            <w:vAlign w:val="center"/>
          </w:tcPr>
          <w:p>
            <w:pPr>
              <w:spacing w:line="276" w:lineRule="auto" w:before="0" w:after="0"/>
            </w:pPr>
            <w:r/>
            <w:r>
              <w:rPr>
                <w:rFonts w:ascii="Figtree" w:hAnsi="Figtree"/>
                <w:b w:val="0"/>
                <w:i w:val="0"/>
                <w:sz w:val="20"/>
              </w:rPr>
              <w:t>$90,000</w:t>
            </w:r>
          </w:p>
        </w:tc>
        <w:tc>
          <w:tcPr>
            <w:tcW w:type="dxa" w:w="1949"/>
            <w:vAlign w:val="center"/>
          </w:tcPr>
          <w:p>
            <w:pPr>
              <w:spacing w:line="276" w:lineRule="auto" w:before="0" w:after="0"/>
            </w:pPr>
            <w:r/>
            <w:r>
              <w:rPr>
                <w:rFonts w:ascii="Figtree" w:hAnsi="Figtree"/>
                <w:b w:val="0"/>
                <w:i w:val="0"/>
                <w:sz w:val="20"/>
              </w:rPr>
              <w:t>Week 38</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100%</w:t>
            </w:r>
          </w:p>
        </w:tc>
        <w:tc>
          <w:tcPr>
            <w:tcW w:type="dxa" w:w="1949"/>
            <w:vAlign w:val="center"/>
          </w:tcPr>
          <w:p>
            <w:pPr>
              <w:spacing w:line="276" w:lineRule="auto" w:before="0" w:after="0"/>
            </w:pPr>
            <w:r/>
            <w:r>
              <w:rPr>
                <w:rFonts w:ascii="Figtree" w:hAnsi="Figtree"/>
                <w:b/>
                <w:i w:val="0"/>
                <w:sz w:val="20"/>
              </w:rPr>
              <w:t>$360,000</w:t>
            </w:r>
          </w:p>
        </w:tc>
        <w:tc>
          <w:tcPr>
            <w:tcW w:type="dxa" w:w="1949"/>
            <w:vAlign w:val="center"/>
          </w:tcPr>
          <w:p>
            <w:pPr>
              <w:spacing w:line="276" w:lineRule="auto" w:before="0" w:after="0"/>
            </w:pPr>
            <w:r/>
          </w:p>
        </w:tc>
      </w:tr>
    </w:tbl>
    <w:p>
      <w:pPr>
        <w:spacing w:before="0" w:after="0" w:line="120" w:lineRule="exact"/>
      </w:pPr>
    </w:p>
    <w:p>
      <w:r>
        <w:br w:type="page"/>
      </w:r>
    </w:p>
    <w:p>
      <w:r>
        <w:rPr>
          <w:rFonts w:ascii="Figtree" w:hAnsi="Figtree"/>
          <w:b w:val="0"/>
          <w:i/>
          <w:sz w:val="22"/>
        </w:rPr>
        <w:t>This document is classified SettleMint Confidential. Distribution is restricted to authorised Interswitch procurement personnel.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