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The Commercial Context</w:t>
          </w:r>
          <w:r>
            <w:tab/>
          </w:r>
          <w:r>
            <w:t xml:space="preserve">5</w:t>
          </w:r>
        </w:p>
        <w:p>
          <w:pPr>
            <w:pStyle w:val="TOC3"/>
            <w:tabs>
              <w:tab w:val="right" w:leader="dot" w:pos="9072"/>
            </w:tabs>
          </w:pPr>
          <w:r>
            <w:t xml:space="preserve">Recommended Structure</w:t>
          </w:r>
          <w:r>
            <w:tab/>
          </w:r>
          <w:r>
            <w:t xml:space="preserve">6</w:t>
          </w:r>
        </w:p>
        <w:p>
          <w:pPr>
            <w:pStyle w:val="TOC3"/>
            <w:tabs>
              <w:tab w:val="right" w:leader="dot" w:pos="9072"/>
            </w:tabs>
          </w:pPr>
          <w:r>
            <w:t xml:space="preserve">Commercial Logic</w:t>
          </w:r>
          <w:r>
            <w:tab/>
          </w:r>
          <w:r>
            <w:t xml:space="preserve">7</w:t>
          </w:r>
        </w:p>
        <w:p>
          <w:pPr>
            <w:pStyle w:val="TOC2"/>
            <w:tabs>
              <w:tab w:val="right" w:leader="dot" w:pos="9072"/>
            </w:tabs>
          </w:pPr>
          <w:r>
            <w:t xml:space="preserve">Investment Summary</w:t>
          </w:r>
          <w:r>
            <w:tab/>
          </w:r>
          <w:r>
            <w:t xml:space="preserve">8</w:t>
          </w:r>
        </w:p>
        <w:p>
          <w:pPr>
            <w:pStyle w:val="TOC2"/>
            <w:tabs>
              <w:tab w:val="right" w:leader="dot" w:pos="9072"/>
            </w:tabs>
          </w:pPr>
          <w:r>
            <w:t xml:space="preserve">Licensing and Subscription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What Is Included</w:t>
          </w:r>
          <w:r>
            <w:tab/>
          </w:r>
          <w:r>
            <w:t xml:space="preserve">11</w:t>
          </w:r>
        </w:p>
        <w:p>
          <w:pPr>
            <w:pStyle w:val="TOC3"/>
            <w:tabs>
              <w:tab w:val="right" w:leader="dot" w:pos="9072"/>
            </w:tabs>
          </w:pPr>
          <w:r>
            <w:t xml:space="preserve">What Varies</w:t>
          </w:r>
          <w:r>
            <w:tab/>
          </w:r>
          <w:r>
            <w:t xml:space="preserve">12</w:t>
          </w:r>
        </w:p>
        <w:p>
          <w:pPr>
            <w:pStyle w:val="TOC3"/>
            <w:tabs>
              <w:tab w:val="right" w:leader="dot" w:pos="9072"/>
            </w:tabs>
          </w:pPr>
          <w:r>
            <w:t xml:space="preserve">Platform Tier Comparison</w:t>
          </w:r>
          <w:r>
            <w:tab/>
          </w:r>
          <w:r>
            <w:t xml:space="preserve">13</w:t>
          </w:r>
        </w:p>
        <w:p>
          <w:pPr>
            <w:pStyle w:val="TOC2"/>
            <w:tabs>
              <w:tab w:val="right" w:leader="dot" w:pos="9072"/>
            </w:tabs>
          </w:pPr>
          <w:r>
            <w:t xml:space="preserve">Implementation Investment</w:t>
          </w:r>
          <w:r>
            <w:tab/>
          </w:r>
          <w:r>
            <w:t xml:space="preserve">14</w:t>
          </w:r>
        </w:p>
        <w:p>
          <w:pPr>
            <w:pStyle w:val="TOC3"/>
            <w:tabs>
              <w:tab w:val="right" w:leader="dot" w:pos="9072"/>
            </w:tabs>
          </w:pPr>
          <w:r>
            <w:t xml:space="preserve">Phase Summary</w:t>
          </w:r>
          <w:r>
            <w:tab/>
          </w:r>
          <w:r>
            <w:t xml:space="preserve">15</w:t>
          </w:r>
        </w:p>
        <w:p>
          <w:pPr>
            <w:pStyle w:val="TOC3"/>
            <w:tabs>
              <w:tab w:val="right" w:leader="dot" w:pos="9072"/>
            </w:tabs>
          </w:pPr>
          <w:r>
            <w:t xml:space="preserve">Implementation Accelerators</w:t>
          </w:r>
          <w:r>
            <w:tab/>
          </w:r>
          <w:r>
            <w:t xml:space="preserve">16</w:t>
          </w:r>
        </w:p>
        <w:p>
          <w:pPr>
            <w:pStyle w:val="TOC3"/>
            <w:tabs>
              <w:tab w:val="right" w:leader="dot" w:pos="9072"/>
            </w:tabs>
          </w:pPr>
          <w:r>
            <w:t xml:space="preserve">Risk Factors</w:t>
          </w:r>
          <w:r>
            <w:tab/>
          </w:r>
          <w:r>
            <w:t xml:space="preserve">17</w:t>
          </w:r>
        </w:p>
        <w:p>
          <w:pPr>
            <w:pStyle w:val="TOC3"/>
            <w:tabs>
              <w:tab w:val="right" w:leader="dot" w:pos="9072"/>
            </w:tabs>
          </w:pPr>
          <w:r>
            <w:t xml:space="preserve">Training</w:t>
          </w:r>
          <w:r>
            <w:tab/>
          </w:r>
          <w:r>
            <w:t xml:space="preserve">18</w:t>
          </w:r>
        </w:p>
        <w:p>
          <w:pPr>
            <w:pStyle w:val="TOC2"/>
            <w:tabs>
              <w:tab w:val="right" w:leader="dot" w:pos="9072"/>
            </w:tabs>
          </w:pPr>
          <w:r>
            <w:t xml:space="preserve">Support and Operational Costs</w:t>
          </w:r>
          <w:r>
            <w:tab/>
          </w:r>
          <w:r>
            <w:t xml:space="preserve">19</w:t>
          </w:r>
        </w:p>
        <w:p>
          <w:pPr>
            <w:pStyle w:val="TOC3"/>
            <w:tabs>
              <w:tab w:val="right" w:leader="dot" w:pos="9072"/>
            </w:tabs>
          </w:pPr>
          <w:r>
            <w:t xml:space="preserve">Support Recommendation</w:t>
          </w:r>
          <w:r>
            <w:tab/>
          </w:r>
          <w:r>
            <w:t xml:space="preserve">20</w:t>
          </w:r>
        </w:p>
        <w:p>
          <w:pPr>
            <w:pStyle w:val="TOC3"/>
            <w:tabs>
              <w:tab w:val="right" w:leader="dot" w:pos="9072"/>
            </w:tabs>
          </w:pPr>
          <w:r>
            <w:t xml:space="preserve">Severity Matrix</w:t>
          </w:r>
          <w:r>
            <w:tab/>
          </w:r>
          <w:r>
            <w:t xml:space="preserve">21</w:t>
          </w:r>
        </w:p>
        <w:p>
          <w:pPr>
            <w:pStyle w:val="TOC2"/>
            <w:tabs>
              <w:tab w:val="right" w:leader="dot" w:pos="9072"/>
            </w:tabs>
          </w:pPr>
          <w:r>
            <w:t xml:space="preserve">Total Cost of Ownership Analysis</w:t>
          </w:r>
          <w:r>
            <w:tab/>
          </w:r>
          <w:r>
            <w:t xml:space="preserve">22</w:t>
          </w:r>
        </w:p>
        <w:p>
          <w:pPr>
            <w:pStyle w:val="TOC3"/>
            <w:tabs>
              <w:tab w:val="right" w:leader="dot" w:pos="9072"/>
            </w:tabs>
          </w:pPr>
          <w:r>
            <w:t xml:space="preserve">3-Year TCO: DALP</w:t>
          </w:r>
          <w:r>
            <w:tab/>
          </w:r>
          <w:r>
            <w:t xml:space="preserve">23</w:t>
          </w:r>
        </w:p>
        <w:p>
          <w:pPr>
            <w:pStyle w:val="TOC3"/>
            <w:tabs>
              <w:tab w:val="right" w:leader="dot" w:pos="9072"/>
            </w:tabs>
          </w:pPr>
          <w:r>
            <w:t xml:space="preserve">Comparative Analysis</w:t>
          </w:r>
          <w:r>
            <w:tab/>
          </w:r>
          <w:r>
            <w:t xml:space="preserve">24</w:t>
          </w:r>
        </w:p>
        <w:p>
          <w:pPr>
            <w:pStyle w:val="TOC2"/>
            <w:tabs>
              <w:tab w:val="right" w:leader="dot" w:pos="9072"/>
            </w:tabs>
          </w:pPr>
          <w:r>
            <w:t xml:space="preserve">Payment Terms and Commercial Structure</w:t>
          </w:r>
          <w:r>
            <w:tab/>
          </w:r>
          <w:r>
            <w:t xml:space="preserve">25</w:t>
          </w:r>
        </w:p>
        <w:p>
          <w:pPr>
            <w:pStyle w:val="TOC3"/>
            <w:tabs>
              <w:tab w:val="right" w:leader="dot" w:pos="9072"/>
            </w:tabs>
          </w:pPr>
          <w:r>
            <w:t xml:space="preserve">Platform License</w:t>
          </w:r>
          <w:r>
            <w:tab/>
          </w:r>
          <w:r>
            <w:t xml:space="preserve">26</w:t>
          </w:r>
        </w:p>
        <w:p>
          <w:pPr>
            <w:pStyle w:val="TOC3"/>
            <w:tabs>
              <w:tab w:val="right" w:leader="dot" w:pos="9072"/>
            </w:tabs>
          </w:pPr>
          <w:r>
            <w:t xml:space="preserve">Implementation Payment Schedule</w:t>
          </w:r>
          <w:r>
            <w:tab/>
          </w:r>
          <w:r>
            <w:t xml:space="preserve">27</w:t>
          </w:r>
        </w:p>
        <w:p>
          <w:pPr>
            <w:pStyle w:val="TOC3"/>
            <w:tabs>
              <w:tab w:val="right" w:leader="dot" w:pos="9072"/>
            </w:tabs>
          </w:pPr>
          <w:r>
            <w:t xml:space="preserve">Terms</w:t>
          </w:r>
          <w:r>
            <w:tab/>
          </w:r>
          <w:r>
            <w:t xml:space="preserve">28</w:t>
          </w:r>
        </w:p>
        <w:p>
          <w:pPr>
            <w:pStyle w:val="TOC2"/>
            <w:tabs>
              <w:tab w:val="right" w:leader="dot" w:pos="9072"/>
            </w:tabs>
          </w:pPr>
          <w:r>
            <w:t xml:space="preserve">Value Realisation and ROI Analysis</w:t>
          </w:r>
          <w:r>
            <w:tab/>
          </w:r>
          <w:r>
            <w:t xml:space="preserve">29</w:t>
          </w:r>
        </w:p>
        <w:p>
          <w:pPr>
            <w:pStyle w:val="TOC3"/>
            <w:tabs>
              <w:tab w:val="right" w:leader="dot" w:pos="9072"/>
            </w:tabs>
          </w:pPr>
          <w:r>
            <w:t xml:space="preserve">Value Drivers</w:t>
          </w:r>
          <w:r>
            <w:tab/>
          </w:r>
          <w:r>
            <w:t xml:space="preserve">30</w:t>
          </w:r>
        </w:p>
        <w:p>
          <w:pPr>
            <w:pStyle w:val="TOC3"/>
            <w:tabs>
              <w:tab w:val="right" w:leader="dot" w:pos="9072"/>
            </w:tabs>
          </w:pPr>
          <w:r>
            <w:t xml:space="preserve">Payback Analysis</w:t>
          </w:r>
          <w:r>
            <w:tab/>
          </w:r>
          <w:r>
            <w:t xml:space="preserve">31</w:t>
          </w:r>
        </w:p>
        <w:p>
          <w:pPr>
            <w:pStyle w:val="TOC2"/>
            <w:tabs>
              <w:tab w:val="right" w:leader="dot" w:pos="9072"/>
            </w:tabs>
          </w:pPr>
          <w:r>
            <w:t xml:space="preserve">Commercial Assumptions and Dependencies</w:t>
          </w:r>
          <w:r>
            <w:tab/>
          </w:r>
          <w:r>
            <w:t xml:space="preserve">32</w:t>
          </w:r>
        </w:p>
        <w:p>
          <w:pPr>
            <w:pStyle w:val="TOC2"/>
            <w:tabs>
              <w:tab w:val="right" w:leader="dot" w:pos="9072"/>
            </w:tabs>
          </w:pPr>
          <w:r>
            <w:t xml:space="preserve">Contractual Framework Overview</w:t>
          </w:r>
          <w:r>
            <w:tab/>
          </w:r>
          <w:r>
            <w:t xml:space="preserve">33</w:t>
          </w:r>
        </w:p>
        <w:p>
          <w:pPr>
            <w:pStyle w:val="TOC2"/>
            <w:tabs>
              <w:tab w:val="right" w:leader="dot" w:pos="9072"/>
            </w:tabs>
          </w:pPr>
          <w:r>
            <w:t xml:space="preserve">Appendix A: Detailed Pricing Schedule</w:t>
          </w:r>
          <w:r>
            <w:tab/>
          </w:r>
          <w:r>
            <w:t xml:space="preserve">34</w:t>
          </w:r>
        </w:p>
        <w:p>
          <w:pPr>
            <w:pStyle w:val="TOC3"/>
            <w:tabs>
              <w:tab w:val="right" w:leader="dot" w:pos="9072"/>
            </w:tabs>
          </w:pPr>
          <w:r>
            <w:t xml:space="preserve">Annual Recurring</w:t>
          </w:r>
          <w:r>
            <w:tab/>
          </w:r>
          <w:r>
            <w:t xml:space="preserve">35</w:t>
          </w:r>
        </w:p>
        <w:p>
          <w:pPr>
            <w:pStyle w:val="TOC3"/>
            <w:tabs>
              <w:tab w:val="right" w:leader="dot" w:pos="9072"/>
            </w:tabs>
          </w:pPr>
          <w:r>
            <w:t xml:space="preserve">Implementation</w:t>
          </w:r>
          <w:r>
            <w:tab/>
          </w:r>
          <w:r>
            <w:t xml:space="preserve">36</w:t>
          </w:r>
        </w:p>
        <w:p>
          <w:pPr>
            <w:pStyle w:val="TOC2"/>
            <w:tabs>
              <w:tab w:val="right" w:leader="dot" w:pos="9072"/>
            </w:tabs>
          </w:pPr>
          <w:r>
            <w:t xml:space="preserve">Appendix B: Implementation Milestone and Payment Schedule</w:t>
          </w:r>
          <w:r>
            <w:tab/>
          </w:r>
          <w:r>
            <w:t xml:space="preserve">37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JUMO (South Africa / Pan-Africa)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JUMO-RFP-TOKENIZED-SME-LENDING-202603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Summary</w:t>
      </w:r>
    </w:p>
    <w:p>
      <w:pPr>
        <w:pStyle w:val="ListParagraph"/>
        <w:numPr>
          <w:ilvl w:val="0"/>
          <w:numId w:val="4"/>
        </w:numPr>
      </w:pPr>
      <w:r>
        <w:rPr>
          <w:rFonts w:ascii="Figtree" w:hAnsi="Figtree"/>
          <w:b w:val="0"/>
          <w:i w:val="0"/>
          <w:sz w:val="22"/>
        </w:rPr>
        <w:t>Licensing and Subscription Model</w:t>
      </w:r>
    </w:p>
    <w:p>
      <w:pPr>
        <w:pStyle w:val="ListParagraph"/>
        <w:numPr>
          <w:ilvl w:val="0"/>
          <w:numId w:val="4"/>
        </w:numPr>
      </w:pPr>
      <w:r>
        <w:rPr>
          <w:rFonts w:ascii="Figtree" w:hAnsi="Figtree"/>
          <w:b w:val="0"/>
          <w:i w:val="0"/>
          <w:sz w:val="22"/>
        </w:rPr>
        <w:t>Implementation Investment</w:t>
      </w:r>
    </w:p>
    <w:p>
      <w:pPr>
        <w:pStyle w:val="ListParagraph"/>
        <w:numPr>
          <w:ilvl w:val="0"/>
          <w:numId w:val="4"/>
        </w:numPr>
      </w:pPr>
      <w:r>
        <w:rPr>
          <w:rFonts w:ascii="Figtree" w:hAnsi="Figtree"/>
          <w:b w:val="0"/>
          <w:i w:val="0"/>
          <w:sz w:val="22"/>
        </w:rPr>
        <w:t>Support and Operational Costs</w:t>
      </w:r>
    </w:p>
    <w:p>
      <w:pPr>
        <w:pStyle w:val="ListParagraph"/>
        <w:numPr>
          <w:ilvl w:val="0"/>
          <w:numId w:val="4"/>
        </w:numPr>
      </w:pPr>
      <w:r>
        <w:rPr>
          <w:rFonts w:ascii="Figtree" w:hAnsi="Figtree"/>
          <w:b w:val="0"/>
          <w:i w:val="0"/>
          <w:sz w:val="22"/>
        </w:rPr>
        <w:t>Total Cost of Ownership Analysis</w:t>
      </w:r>
    </w:p>
    <w:p>
      <w:pPr>
        <w:pStyle w:val="ListParagraph"/>
        <w:numPr>
          <w:ilvl w:val="0"/>
          <w:numId w:val="4"/>
        </w:numPr>
      </w:pPr>
      <w:r>
        <w:rPr>
          <w:rFonts w:ascii="Figtree" w:hAnsi="Figtree"/>
          <w:b w:val="0"/>
          <w:i w:val="0"/>
          <w:sz w:val="22"/>
        </w:rPr>
        <w:t>Payment Terms and Commercial Structure</w:t>
      </w:r>
    </w:p>
    <w:p>
      <w:pPr>
        <w:pStyle w:val="ListParagraph"/>
        <w:numPr>
          <w:ilvl w:val="0"/>
          <w:numId w:val="4"/>
        </w:numPr>
      </w:pPr>
      <w:r>
        <w:rPr>
          <w:rFonts w:ascii="Figtree" w:hAnsi="Figtree"/>
          <w:b w:val="0"/>
          <w:i w:val="0"/>
          <w:sz w:val="22"/>
        </w:rPr>
        <w:t>Value Realisation and ROI Analysis</w:t>
      </w:r>
    </w:p>
    <w:p>
      <w:pPr>
        <w:pStyle w:val="ListParagraph"/>
        <w:numPr>
          <w:ilvl w:val="0"/>
          <w:numId w:val="4"/>
        </w:numPr>
      </w:pPr>
      <w:r>
        <w:rPr>
          <w:rFonts w:ascii="Figtree" w:hAnsi="Figtree"/>
          <w:b w:val="0"/>
          <w:i w:val="0"/>
          <w:sz w:val="22"/>
        </w:rPr>
        <w:t>Commercial Assumptions and Dependencies</w:t>
      </w:r>
    </w:p>
    <w:p>
      <w:pPr>
        <w:pStyle w:val="ListParagraph"/>
        <w:numPr>
          <w:ilvl w:val="0"/>
          <w:numId w:val="4"/>
        </w:numPr>
      </w:pPr>
      <w:r>
        <w:rPr>
          <w:rFonts w:ascii="Figtree" w:hAnsi="Figtree"/>
          <w:b w:val="0"/>
          <w:i w:val="0"/>
          <w:sz w:val="22"/>
        </w:rPr>
        <w:t>Contractual Framework Overview</w:t>
      </w:r>
    </w:p>
    <w:p>
      <w:pPr>
        <w:pStyle w:val="ListParagraph"/>
        <w:numPr>
          <w:ilvl w:val="0"/>
          <w:numId w:val="4"/>
        </w:numPr>
      </w:pPr>
      <w:r>
        <w:rPr>
          <w:rFonts w:ascii="Figtree" w:hAnsi="Figtree"/>
          <w:b w:val="0"/>
          <w:i w:val="0"/>
          <w:sz w:val="22"/>
        </w:rPr>
        <w:t>Appendix A: Detailed Pricing Schedule</w:t>
      </w:r>
    </w:p>
    <w:p>
      <w:pPr>
        <w:pStyle w:val="ListParagraph"/>
        <w:numPr>
          <w:ilvl w:val="0"/>
          <w:numId w:val="4"/>
        </w:numPr>
      </w:pPr>
      <w:r>
        <w:rPr>
          <w:rFonts w:ascii="Figtree" w:hAnsi="Figtree"/>
          <w:b w:val="0"/>
          <w:i w:val="0"/>
          <w:sz w:val="22"/>
        </w:rPr>
        <w:t>Appendix B: Implementation Milestone and Payment Schedule</w:t>
      </w:r>
    </w:p>
    <w:p>
      <w:r>
        <w:br w:type="page"/>
      </w:r>
    </w:p>
    <w:p>
      <w:pPr>
        <w:pStyle w:val="H2"/>
        <w:numPr>
          <w:ilvl w:val="1"/>
          <w:numId w:val="1"/>
        </w:numPr>
      </w:pPr>
      <w:r>
        <w:t>Executive Summary</w:t>
      </w:r>
    </w:p>
    <w:p>
      <w:pPr>
        <w:pStyle w:val="H3"/>
        <w:numPr>
          <w:ilvl w:val="2"/>
          <w:numId w:val="1"/>
        </w:numPr>
      </w:pPr>
      <w:r>
        <w:t>The Commercial Context</w:t>
      </w:r>
    </w:p>
    <w:p>
      <w:r>
        <w:rPr>
          <w:rFonts w:ascii="Figtree" w:hAnsi="Figtree"/>
          <w:b w:val="0"/>
          <w:i w:val="0"/>
          <w:sz w:val="22"/>
        </w:rPr>
        <w:t>JUMO operates embedded finance and lending infrastructure across multiple African markets, working with bank and telecom partners to originate and service SME credit products. The company's institutional funding model, involving development finance institutions, impact funds, and banking partners, requires increasingly sophisticated governance around capital deployment, income distribution, and regulatory evidence. Manual off-chain processes for investor reporting, waterfall income calculation, and multi-jurisdiction compliance evidence are becoming structurally constrained as the portfolio scales.</w:t>
      </w:r>
    </w:p>
    <w:p>
      <w:r>
        <w:rPr>
          <w:rFonts w:ascii="Figtree" w:hAnsi="Figtree"/>
          <w:b w:val="0"/>
          <w:i w:val="0"/>
          <w:sz w:val="22"/>
        </w:rPr>
        <w:t>The tokenized SME lending infrastructure programme addresses these constraints directly. By placing participation certificates and income distribution mechanics on-chain, JUMO can produce verifiable investor reports from a single on-chain source, automate waterfall calculations, and provide regulators with tamper-evident evidence of compliance with lending obligations across jurisdictions.</w:t>
      </w:r>
    </w:p>
    <w:p>
      <w:pPr>
        <w:pStyle w:val="H3"/>
        <w:numPr>
          <w:ilvl w:val="2"/>
          <w:numId w:val="1"/>
        </w:numPr>
      </w:pPr>
      <w:r>
        <w:t>Recommended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0"/>
        <w:gridCol w:w="3432"/>
        <w:gridCol w:w="23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Enterprise tier</w:t>
            </w:r>
          </w:p>
        </w:tc>
        <w:tc>
          <w:tcPr>
            <w:tcW w:type="dxa" w:w="3249"/>
            <w:vAlign w:val="center"/>
          </w:tcPr>
          <w:p>
            <w:pPr>
              <w:spacing w:line="276" w:lineRule="auto" w:before="0" w:after="0"/>
            </w:pPr>
            <w:r/>
            <w:r>
              <w:rPr>
                <w:rFonts w:ascii="Figtree" w:hAnsi="Figtree"/>
                <w:b w:val="0"/>
                <w:i w:val="0"/>
                <w:sz w:val="20"/>
              </w:rPr>
              <w:t>$220,000/year</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(2)</w:t>
            </w:r>
          </w:p>
        </w:tc>
        <w:tc>
          <w:tcPr>
            <w:tcW w:type="dxa" w:w="3249"/>
            <w:vAlign w:val="center"/>
          </w:tcPr>
          <w:p>
            <w:pPr>
              <w:spacing w:line="276" w:lineRule="auto" w:before="0" w:after="0"/>
            </w:pPr>
            <w:r/>
            <w:r>
              <w:rPr>
                <w:rFonts w:ascii="Figtree" w:hAnsi="Figtree"/>
                <w:b w:val="0"/>
                <w:i w:val="0"/>
                <w:sz w:val="20"/>
              </w:rPr>
              <w:t>UAT + DR</w:t>
            </w:r>
          </w:p>
        </w:tc>
        <w:tc>
          <w:tcPr>
            <w:tcW w:type="dxa" w:w="3249"/>
            <w:vAlign w:val="center"/>
          </w:tcPr>
          <w:p>
            <w:pPr>
              <w:spacing w:line="276" w:lineRule="auto" w:before="0" w:after="0"/>
            </w:pPr>
            <w:r/>
            <w:r>
              <w:rPr>
                <w:rFonts w:ascii="Figtree" w:hAnsi="Figtree"/>
                <w:b w:val="0"/>
                <w:i w:val="0"/>
                <w:sz w:val="20"/>
              </w:rPr>
              <w:t>$50,000/year</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w:t>
            </w:r>
          </w:p>
        </w:tc>
        <w:tc>
          <w:tcPr>
            <w:tcW w:type="dxa" w:w="3249"/>
            <w:vAlign w:val="center"/>
          </w:tcPr>
          <w:p>
            <w:pPr>
              <w:spacing w:line="276" w:lineRule="auto" w:before="0" w:after="0"/>
            </w:pPr>
            <w:r/>
            <w:r>
              <w:rPr>
                <w:rFonts w:ascii="Figtree" w:hAnsi="Figtree"/>
                <w:b w:val="0"/>
                <w:i w:val="0"/>
                <w:sz w:val="20"/>
              </w:rPr>
              <w:t>Lending platform requirement</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i w:val="0"/>
                <w:sz w:val="20"/>
              </w:rPr>
              <w:t>Annual recurring</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$355,000/year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$320,000 (one-time)</w:t>
            </w:r>
          </w:p>
        </w:tc>
      </w:tr>
      <w:tr>
        <w:trPr>
          <w:trHeight w:val="425" w:hRule="atLeast"/>
        </w:trPr>
        <w:tc>
          <w:tcPr>
            <w:tcW w:type="dxa" w:w="3249"/>
            <w:vAlign w:val="center"/>
          </w:tcPr>
          <w:p>
            <w:pPr>
              <w:spacing w:line="276" w:lineRule="auto" w:before="0" w:after="0"/>
            </w:pPr>
            <w:r/>
            <w:r>
              <w:rPr>
                <w:rFonts w:ascii="Figtree" w:hAnsi="Figtree"/>
                <w:b/>
                <w:i w:val="0"/>
                <w:sz w:val="20"/>
              </w:rPr>
              <w:t>Year 1 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$675,000</w:t>
            </w:r>
          </w:p>
        </w:tc>
      </w:tr>
      <w:tr>
        <w:trPr>
          <w:trHeight w:val="425" w:hRule="atLeast"/>
        </w:trPr>
        <w:tc>
          <w:tcPr>
            <w:tcW w:type="dxa" w:w="3249"/>
            <w:vAlign w:val="center"/>
          </w:tcPr>
          <w:p>
            <w:pPr>
              <w:spacing w:line="276" w:lineRule="auto" w:before="0" w:after="0"/>
            </w:pPr>
            <w:r/>
            <w:r>
              <w:rPr>
                <w:rFonts w:ascii="Figtree" w:hAnsi="Figtree"/>
                <w:b/>
                <w:i w:val="0"/>
                <w:sz w:val="20"/>
              </w:rPr>
              <w:t>3-year TCO (base)</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$1,300,000</w:t>
            </w:r>
          </w:p>
        </w:tc>
      </w:tr>
    </w:tbl>
    <w:p>
      <w:pPr>
        <w:spacing w:before="0" w:after="0" w:line="120" w:lineRule="exact"/>
      </w:pPr>
    </w:p>
    <w:p>
      <w:r>
        <w:rPr>
          <w:rFonts w:ascii="Figtree" w:hAnsi="Figtree"/>
          <w:b w:val="0"/>
          <w:i w:val="0"/>
          <w:sz w:val="22"/>
        </w:rPr>
        <w:t>JUMO's programme has a focused initial scope (South Africa pools, expanding to Kenya and other markets in Phase 2). The Enterprise tier reflects the multi-jurisdiction deployment requirement and dedicated infrastructure for POPIA compliance.</w:t>
      </w:r>
    </w:p>
    <w:p>
      <w:pPr>
        <w:pStyle w:val="H3"/>
        <w:numPr>
          <w:ilvl w:val="2"/>
          <w:numId w:val="1"/>
        </w:numPr>
      </w:pPr>
      <w:r>
        <w:t>Commercial Logic</w:t>
      </w:r>
    </w:p>
    <w:p>
      <w:r>
        <w:rPr>
          <w:rFonts w:ascii="Figtree" w:hAnsi="Figtree"/>
          <w:b w:val="0"/>
          <w:i w:val="0"/>
          <w:sz w:val="22"/>
        </w:rPr>
        <w:t>JUMO's primary commercial justification for DALP is operational efficiency and funder relationship improvement. Currently, investor reporting for institutional funders requires manual data aggregation from JUMO's loan management system, treasury records, and partner bank statements. This process is time-consuming and produces reports that funders cannot independently verify. DALP's on-chain records provide funders with verifiable position and income statements that do not depend on JUMO's manual reporting process.</w:t>
      </w:r>
    </w:p>
    <w:p>
      <w:r>
        <w:rPr>
          <w:rFonts w:ascii="Figtree" w:hAnsi="Figtree"/>
          <w:b w:val="0"/>
          <w:i w:val="0"/>
          <w:sz w:val="22"/>
        </w:rPr>
        <w:t>For development finance institution funders specifically, this matters. DFIs have strict governance requirements around capital deployment transparency, impact measurement data lineage, and audit access to the systems that manage their capital. Tokenized participation records that are independently verifiable reduce the governance overhead DFIs impose on JUMO's operations.</w:t>
      </w:r>
    </w:p>
    <w:p>
      <w:r>
        <w:rPr>
          <w:rFonts w:ascii="Figtree" w:hAnsi="Figtree"/>
          <w:b w:val="0"/>
          <w:i w:val="0"/>
          <w:sz w:val="22"/>
        </w:rPr>
        <w:t>The secondary commercial justification is multi-market regulatory cost reduction. POPIA compliance documentation, FSCA reporting, CBK evidence requests, and equivalent obligations in other markets currently require separate evidence assembly processes. On-chain records with configurable jurisdiction-specific compliance modules provide a single evidence source that satisfies multiple regulatory reporting requirements.</w:t>
      </w:r>
    </w:p>
    <w:p>
      <w:r>
        <w:br w:type="page"/>
      </w:r>
    </w:p>
    <w:p>
      <w:pPr>
        <w:pStyle w:val="H2"/>
        <w:numPr>
          <w:ilvl w:val="1"/>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96"/>
        <w:gridCol w:w="667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AWS af-south-1 (South Africa, POPIA) + Kenya region</w:t>
            </w:r>
          </w:p>
        </w:tc>
      </w:tr>
      <w:tr>
        <w:trPr>
          <w:trHeight w:val="425" w:hRule="atLeast"/>
        </w:trPr>
        <w:tc>
          <w:tcPr>
            <w:tcW w:type="dxa" w:w="4873"/>
            <w:vAlign w:val="center"/>
          </w:tcPr>
          <w:p>
            <w:pPr>
              <w:spacing w:line="276" w:lineRule="auto" w:before="0" w:after="0"/>
            </w:pPr>
            <w:r/>
            <w:r>
              <w:rPr>
                <w:rFonts w:ascii="Figtree" w:hAnsi="Figtree"/>
                <w:b w:val="0"/>
                <w:i w:val="0"/>
                <w:sz w:val="20"/>
              </w:rPr>
              <w:t>Initial scope</w:t>
            </w:r>
          </w:p>
        </w:tc>
        <w:tc>
          <w:tcPr>
            <w:tcW w:type="dxa" w:w="4873"/>
            <w:vAlign w:val="center"/>
          </w:tcPr>
          <w:p>
            <w:pPr>
              <w:spacing w:line="276" w:lineRule="auto" w:before="0" w:after="0"/>
            </w:pPr>
            <w:r/>
            <w:r>
              <w:rPr>
                <w:rFonts w:ascii="Figtree" w:hAnsi="Figtree"/>
                <w:b w:val="0"/>
                <w:i w:val="0"/>
                <w:sz w:val="20"/>
              </w:rPr>
              <w:t>South Africa pools (3-5 pool types at launch)</w:t>
            </w:r>
          </w:p>
        </w:tc>
      </w:tr>
      <w:tr>
        <w:trPr>
          <w:trHeight w:val="425" w:hRule="atLeast"/>
        </w:trPr>
        <w:tc>
          <w:tcPr>
            <w:tcW w:type="dxa" w:w="4873"/>
            <w:vAlign w:val="center"/>
          </w:tcPr>
          <w:p>
            <w:pPr>
              <w:spacing w:line="276" w:lineRule="auto" w:before="0" w:after="0"/>
            </w:pPr>
            <w:r/>
            <w:r>
              <w:rPr>
                <w:rFonts w:ascii="Figtree" w:hAnsi="Figtree"/>
                <w:b w:val="0"/>
                <w:i w:val="0"/>
                <w:sz w:val="20"/>
              </w:rPr>
              <w:t>Phase 2</w:t>
            </w:r>
          </w:p>
        </w:tc>
        <w:tc>
          <w:tcPr>
            <w:tcW w:type="dxa" w:w="4873"/>
            <w:vAlign w:val="center"/>
          </w:tcPr>
          <w:p>
            <w:pPr>
              <w:spacing w:line="276" w:lineRule="auto" w:before="0" w:after="0"/>
            </w:pPr>
            <w:r/>
            <w:r>
              <w:rPr>
                <w:rFonts w:ascii="Figtree" w:hAnsi="Figtree"/>
                <w:b w:val="0"/>
                <w:i w:val="0"/>
                <w:sz w:val="20"/>
              </w:rPr>
              <w:t>Kenya, Ghana, Tanzania pools</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Production + UAT + DR + Dev + Test (5 total)</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(24/7/365)</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35 weeks to first pool production</w:t>
            </w:r>
          </w:p>
        </w:tc>
      </w:tr>
      <w:tr>
        <w:trPr>
          <w:trHeight w:val="425" w:hRule="atLeast"/>
        </w:trPr>
        <w:tc>
          <w:tcPr>
            <w:tcW w:type="dxa" w:w="4873"/>
            <w:vAlign w:val="center"/>
          </w:tcPr>
          <w:p>
            <w:pPr>
              <w:spacing w:line="276" w:lineRule="auto" w:before="0" w:after="0"/>
            </w:pPr>
            <w:r/>
            <w:r>
              <w:rPr>
                <w:rFonts w:ascii="Figtree" w:hAnsi="Figtree"/>
                <w:b w:val="0"/>
                <w:i w:val="0"/>
                <w:sz w:val="20"/>
              </w:rPr>
              <w:t>Year 1 total</w:t>
            </w:r>
          </w:p>
        </w:tc>
        <w:tc>
          <w:tcPr>
            <w:tcW w:type="dxa" w:w="4873"/>
            <w:vAlign w:val="center"/>
          </w:tcPr>
          <w:p>
            <w:pPr>
              <w:spacing w:line="276" w:lineRule="auto" w:before="0" w:after="0"/>
            </w:pPr>
            <w:r/>
            <w:r>
              <w:rPr>
                <w:rFonts w:ascii="Figtree" w:hAnsi="Figtree"/>
                <w:b w:val="0"/>
                <w:i w:val="0"/>
                <w:sz w:val="20"/>
              </w:rPr>
              <w:t>$675,000</w:t>
            </w:r>
          </w:p>
        </w:tc>
      </w:tr>
      <w:tr>
        <w:trPr>
          <w:trHeight w:val="425" w:hRule="atLeast"/>
        </w:trPr>
        <w:tc>
          <w:tcPr>
            <w:tcW w:type="dxa" w:w="4873"/>
            <w:vAlign w:val="center"/>
          </w:tcPr>
          <w:p>
            <w:pPr>
              <w:spacing w:line="276" w:lineRule="auto" w:before="0" w:after="0"/>
            </w:pPr>
            <w:r/>
            <w:r>
              <w:rPr>
                <w:rFonts w:ascii="Figtree" w:hAnsi="Figtree"/>
                <w:b w:val="0"/>
                <w:i w:val="0"/>
                <w:sz w:val="20"/>
              </w:rPr>
              <w:t>3-year TCO</w:t>
            </w:r>
          </w:p>
        </w:tc>
        <w:tc>
          <w:tcPr>
            <w:tcW w:type="dxa" w:w="4873"/>
            <w:vAlign w:val="center"/>
          </w:tcPr>
          <w:p>
            <w:pPr>
              <w:spacing w:line="276" w:lineRule="auto" w:before="0" w:after="0"/>
            </w:pPr>
            <w:r/>
            <w:r>
              <w:rPr>
                <w:rFonts w:ascii="Figtree" w:hAnsi="Figtree"/>
                <w:b w:val="0"/>
                <w:i w:val="0"/>
                <w:sz w:val="20"/>
              </w:rPr>
              <w:t>~$1,300,000</w:t>
            </w:r>
          </w:p>
        </w:tc>
      </w:tr>
    </w:tbl>
    <w:p>
      <w:pPr>
        <w:spacing w:before="0" w:after="0" w:line="120" w:lineRule="exact"/>
      </w:pPr>
    </w:p>
    <w:p>
      <w:r>
        <w:br w:type="page"/>
      </w:r>
    </w:p>
    <w:p>
      <w:pPr>
        <w:pStyle w:val="H2"/>
        <w:numPr>
          <w:ilvl w:val="1"/>
          <w:numId w:val="1"/>
        </w:numPr>
      </w:pPr>
      <w:r>
        <w:t>Licensing and Subscription Model</w:t>
      </w:r>
    </w:p>
    <w:p>
      <w:pPr>
        <w:pStyle w:val="H3"/>
        <w:numPr>
          <w:ilvl w:val="2"/>
          <w:numId w:val="1"/>
        </w:numPr>
      </w:pPr>
      <w:r>
        <w:t>Philosophy</w:t>
      </w:r>
    </w:p>
    <w:p>
      <w:r>
        <w:rPr>
          <w:rFonts w:ascii="Figtree" w:hAnsi="Figtree"/>
          <w:b w:val="0"/>
          <w:i w:val="0"/>
          <w:sz w:val="22"/>
        </w:rPr>
        <w:t>DALP's platform-based licensing means JUMO pays for platform access regardless of pool count, funder count, or distribution volume. As JUMO adds new lending pools, new jurisdictions, and new funders, the platform cost does not increase linearly with portfolio growth.</w:t>
      </w:r>
    </w:p>
    <w:p>
      <w:pPr>
        <w:pStyle w:val="H3"/>
        <w:numPr>
          <w:ilvl w:val="2"/>
          <w:numId w:val="1"/>
        </w:numPr>
      </w:pPr>
      <w:r>
        <w:t>What Is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7"/>
        <w:gridCol w:w="14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contract types (Bond, Deposit, and others)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Yield addon (income distribution)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(atomic redemption)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token features including historical balances, yield, permit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operations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REST API (OpenAPI 3.1) and 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Webhooks and SSE event streams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(investor reporting queries)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POPIA-aligned data residency configuration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One production environment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What Varies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69"/>
        <w:gridCol w:w="2854"/>
        <w:gridCol w:w="25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(UAT + DR)</w:t>
            </w:r>
          </w:p>
        </w:tc>
        <w:tc>
          <w:tcPr>
            <w:tcW w:type="dxa" w:w="3249"/>
            <w:vAlign w:val="center"/>
          </w:tcPr>
          <w:p>
            <w:pPr>
              <w:spacing w:line="276" w:lineRule="auto" w:before="0" w:after="0"/>
            </w:pPr>
            <w:r/>
            <w:r>
              <w:rPr>
                <w:rFonts w:ascii="Figtree" w:hAnsi="Figtree"/>
                <w:b w:val="0"/>
                <w:i w:val="0"/>
                <w:sz w:val="20"/>
              </w:rPr>
              <w:t>2 additional</w:t>
            </w:r>
          </w:p>
        </w:tc>
        <w:tc>
          <w:tcPr>
            <w:tcW w:type="dxa" w:w="3249"/>
            <w:vAlign w:val="center"/>
          </w:tcPr>
          <w:p>
            <w:pPr>
              <w:spacing w:line="276" w:lineRule="auto" w:before="0" w:after="0"/>
            </w:pPr>
            <w:r/>
            <w:r>
              <w:rPr>
                <w:rFonts w:ascii="Figtree" w:hAnsi="Figtree"/>
                <w:b w:val="0"/>
                <w:i w:val="0"/>
                <w:sz w:val="20"/>
              </w:rPr>
              <w:t>$25,000/year each</w:t>
            </w:r>
          </w:p>
        </w:tc>
      </w:tr>
      <w:tr>
        <w:trPr>
          <w:trHeight w:val="425" w:hRule="atLeast"/>
        </w:trPr>
        <w:tc>
          <w:tcPr>
            <w:tcW w:type="dxa" w:w="3249"/>
            <w:vAlign w:val="center"/>
          </w:tcPr>
          <w:p>
            <w:pPr>
              <w:spacing w:line="276" w:lineRule="auto" w:before="0" w:after="0"/>
            </w:pPr>
            <w:r/>
            <w:r>
              <w:rPr>
                <w:rFonts w:ascii="Figtree" w:hAnsi="Figtree"/>
                <w:b w:val="0"/>
                <w:i w:val="0"/>
                <w:sz w:val="20"/>
              </w:rPr>
              <w:t>Multi-region deployment (SA + Kenya)</w:t>
            </w:r>
          </w:p>
        </w:tc>
        <w:tc>
          <w:tcPr>
            <w:tcW w:type="dxa" w:w="3249"/>
            <w:vAlign w:val="center"/>
          </w:tcPr>
          <w:p>
            <w:pPr>
              <w:spacing w:line="276" w:lineRule="auto" w:before="0" w:after="0"/>
            </w:pPr>
            <w:r/>
            <w:r>
              <w:rPr>
                <w:rFonts w:ascii="Figtree" w:hAnsi="Figtree"/>
                <w:b w:val="0"/>
                <w:i w:val="0"/>
                <w:sz w:val="20"/>
              </w:rPr>
              <w:t>Included in Enterprise</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Cloud KMS (AWS KMS)</w:t>
            </w:r>
          </w:p>
        </w:tc>
        <w:tc>
          <w:tcPr>
            <w:tcW w:type="dxa" w:w="3249"/>
            <w:vAlign w:val="center"/>
          </w:tcPr>
          <w:p>
            <w:pPr>
              <w:spacing w:line="276" w:lineRule="auto" w:before="0" w:after="0"/>
            </w:pPr>
            <w:r/>
            <w:r>
              <w:rPr>
                <w:rFonts w:ascii="Figtree" w:hAnsi="Figtree"/>
                <w:b w:val="0"/>
                <w:i w:val="0"/>
                <w:sz w:val="20"/>
              </w:rPr>
              <w:t>Included in Enterprise</w:t>
            </w:r>
          </w:p>
        </w:tc>
      </w:tr>
      <w:tr>
        <w:trPr>
          <w:trHeight w:val="425" w:hRule="atLeast"/>
        </w:trPr>
        <w:tc>
          <w:tcPr>
            <w:tcW w:type="dxa" w:w="3249"/>
            <w:vAlign w:val="center"/>
          </w:tcPr>
          <w:p>
            <w:pPr>
              <w:spacing w:line="276" w:lineRule="auto" w:before="0" w:after="0"/>
            </w:pPr>
            <w:r/>
            <w:r>
              <w:rPr>
                <w:rFonts w:ascii="Figtree" w:hAnsi="Figtree"/>
                <w:b w:val="0"/>
                <w:i w:val="0"/>
                <w:sz w:val="20"/>
              </w:rPr>
              <w:t>MPC custody for large pools</w:t>
            </w:r>
          </w:p>
        </w:tc>
        <w:tc>
          <w:tcPr>
            <w:tcW w:type="dxa" w:w="3249"/>
            <w:vAlign w:val="center"/>
          </w:tcPr>
          <w:p>
            <w:pPr>
              <w:spacing w:line="276" w:lineRule="auto" w:before="0" w:after="0"/>
            </w:pPr>
            <w:r/>
            <w:r>
              <w:rPr>
                <w:rFonts w:ascii="Figtree" w:hAnsi="Figtree"/>
                <w:b w:val="0"/>
                <w:i w:val="0"/>
                <w:sz w:val="20"/>
              </w:rPr>
              <w:t>Optional (DFNS / Fireblocks)</w:t>
            </w:r>
          </w:p>
        </w:tc>
        <w:tc>
          <w:tcPr>
            <w:tcW w:type="dxa" w:w="3249"/>
            <w:vAlign w:val="center"/>
          </w:tcPr>
          <w:p>
            <w:pPr>
              <w:spacing w:line="276" w:lineRule="auto" w:before="0" w:after="0"/>
            </w:pPr>
            <w:r/>
            <w:r>
              <w:rPr>
                <w:rFonts w:ascii="Figtree" w:hAnsi="Figtree"/>
                <w:b w:val="0"/>
                <w:i w:val="0"/>
                <w:sz w:val="20"/>
              </w:rPr>
              <w:t>Separate custody contract</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$85,000/year</w:t>
            </w:r>
          </w:p>
        </w:tc>
      </w:tr>
    </w:tbl>
    <w:p>
      <w:pPr>
        <w:spacing w:before="0" w:after="0" w:line="120" w:lineRule="exact"/>
      </w:pPr>
    </w:p>
    <w:p>
      <w:pPr>
        <w:pStyle w:val="H3"/>
        <w:numPr>
          <w:ilvl w:val="2"/>
          <w:numId w:val="1"/>
        </w:numPr>
      </w:pPr>
      <w:r>
        <w:t>Platform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08"/>
        <w:gridCol w:w="1711"/>
        <w:gridCol w:w="1711"/>
        <w:gridCol w:w="15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Multi-region deployment</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$220,000</w:t>
            </w:r>
          </w:p>
        </w:tc>
        <w:tc>
          <w:tcPr>
            <w:tcW w:type="dxa" w:w="2436"/>
            <w:vAlign w:val="center"/>
          </w:tcPr>
          <w:p>
            <w:pPr>
              <w:spacing w:line="276" w:lineRule="auto" w:before="0" w:after="0"/>
            </w:pPr>
            <w:r/>
            <w:r>
              <w:rPr>
                <w:rFonts w:ascii="Figtree" w:hAnsi="Figtree"/>
                <w:b w:val="0"/>
                <w:i w:val="0"/>
                <w:sz w:val="20"/>
              </w:rPr>
              <w:t>$280,000</w:t>
            </w:r>
          </w:p>
        </w:tc>
      </w:tr>
      <w:tr>
        <w:trPr>
          <w:trHeight w:val="425" w:hRule="atLeast"/>
        </w:trPr>
        <w:tc>
          <w:tcPr>
            <w:tcW w:type="dxa" w:w="2436"/>
            <w:vAlign w:val="center"/>
          </w:tcPr>
          <w:p>
            <w:pPr>
              <w:spacing w:line="276" w:lineRule="auto" w:before="0" w:after="0"/>
            </w:pPr>
            <w:r/>
            <w:r>
              <w:rPr>
                <w:rFonts w:ascii="Figtree" w:hAnsi="Figtree"/>
                <w:b/>
                <w:i w:val="0"/>
                <w:sz w:val="20"/>
              </w:rPr>
              <w:t>Recommended for JUMO</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Yes</w:t>
            </w:r>
          </w:p>
        </w:tc>
        <w:tc>
          <w:tcPr>
            <w:tcW w:type="dxa" w:w="2436"/>
            <w:vAlign w:val="center"/>
          </w:tcPr>
          <w:p>
            <w:pPr>
              <w:spacing w:line="276" w:lineRule="auto" w:before="0" w:after="0"/>
            </w:pPr>
            <w:r/>
          </w:p>
        </w:tc>
      </w:tr>
    </w:tbl>
    <w:p>
      <w:pPr>
        <w:spacing w:before="0" w:after="0" w:line="120" w:lineRule="exact"/>
      </w:pPr>
    </w:p>
    <w:p>
      <w:r>
        <w:rPr>
          <w:rFonts w:ascii="Figtree" w:hAnsi="Figtree"/>
          <w:b w:val="0"/>
          <w:i w:val="0"/>
          <w:sz w:val="22"/>
        </w:rPr>
        <w:t>JUMO's multi-jurisdiction requirement and POPIA-aligned infrastructure make the Enterprise tier appropriate. The license is set at $220,000 (within the $180,000-$280,000 range) reflecting JUMO's growth-stage profile compared to larger financial institutions.</w:t>
      </w:r>
    </w:p>
    <w:p>
      <w:r>
        <w:br w:type="page"/>
      </w:r>
    </w:p>
    <w:p>
      <w:pPr>
        <w:pStyle w:val="H2"/>
        <w:numPr>
          <w:ilvl w:val="1"/>
          <w:numId w:val="1"/>
        </w:numPr>
      </w:pPr>
      <w:r>
        <w:t>Implementation Investment</w:t>
      </w:r>
    </w:p>
    <w:p>
      <w:pPr>
        <w:pStyle w:val="H3"/>
        <w:numPr>
          <w:ilvl w:val="2"/>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4"/>
        <w:gridCol w:w="1008"/>
        <w:gridCol w:w="4872"/>
        <w:gridCol w:w="10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Pool architecture, POPIA mapping, funder onboarding design</w:t>
            </w:r>
          </w:p>
        </w:tc>
        <w:tc>
          <w:tcPr>
            <w:tcW w:type="dxa" w:w="2436"/>
            <w:vAlign w:val="center"/>
          </w:tcPr>
          <w:p>
            <w:pPr>
              <w:spacing w:line="276" w:lineRule="auto" w:before="0" w:after="0"/>
            </w:pPr>
            <w:r/>
            <w:r>
              <w:rPr>
                <w:rFonts w:ascii="Figtree" w:hAnsi="Figtree"/>
                <w:b w:val="0"/>
                <w:i w:val="0"/>
                <w:sz w:val="20"/>
              </w:rPr>
              <w:t>$45,000</w:t>
            </w:r>
          </w:p>
        </w:tc>
      </w:tr>
      <w:tr>
        <w:trPr>
          <w:trHeight w:val="425" w:hRule="atLeast"/>
        </w:trPr>
        <w:tc>
          <w:tcPr>
            <w:tcW w:type="dxa" w:w="2436"/>
            <w:vAlign w:val="center"/>
          </w:tcPr>
          <w:p>
            <w:pPr>
              <w:spacing w:line="276" w:lineRule="auto" w:before="0" w:after="0"/>
            </w:pPr>
            <w:r/>
            <w:r>
              <w:rPr>
                <w:rFonts w:ascii="Figtree" w:hAnsi="Figtree"/>
                <w:b w:val="0"/>
                <w:i w:val="0"/>
                <w:sz w:val="20"/>
              </w:rPr>
              <w:t>Foundation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AWS ZA region setup, base platform, KMS</w:t>
            </w:r>
          </w:p>
        </w:tc>
        <w:tc>
          <w:tcPr>
            <w:tcW w:type="dxa" w:w="2436"/>
            <w:vAlign w:val="center"/>
          </w:tcPr>
          <w:p>
            <w:pPr>
              <w:spacing w:line="276" w:lineRule="auto" w:before="0" w:after="0"/>
            </w:pPr>
            <w:r/>
            <w:r>
              <w:rPr>
                <w:rFonts w:ascii="Figtree" w:hAnsi="Figtree"/>
                <w:b w:val="0"/>
                <w:i w:val="0"/>
                <w:sz w:val="20"/>
              </w:rPr>
              <w:t>$50,000</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SA pool tokens, compliance modules, yield addon</w:t>
            </w:r>
          </w:p>
        </w:tc>
        <w:tc>
          <w:tcPr>
            <w:tcW w:type="dxa" w:w="2436"/>
            <w:vAlign w:val="center"/>
          </w:tcPr>
          <w:p>
            <w:pPr>
              <w:spacing w:line="276" w:lineRule="auto" w:before="0" w:after="0"/>
            </w:pPr>
            <w:r/>
            <w:r>
              <w:rPr>
                <w:rFonts w:ascii="Figtree" w:hAnsi="Figtree"/>
                <w:b w:val="0"/>
                <w:i w:val="0"/>
                <w:sz w:val="20"/>
              </w:rPr>
              <w:t>$60,000</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LMS, investor relations, AML/KYC</w:t>
            </w:r>
          </w:p>
        </w:tc>
        <w:tc>
          <w:tcPr>
            <w:tcW w:type="dxa" w:w="2436"/>
            <w:vAlign w:val="center"/>
          </w:tcPr>
          <w:p>
            <w:pPr>
              <w:spacing w:line="276" w:lineRule="auto" w:before="0" w:after="0"/>
            </w:pPr>
            <w:r/>
            <w:r>
              <w:rPr>
                <w:rFonts w:ascii="Figtree" w:hAnsi="Figtree"/>
                <w:b w:val="0"/>
                <w:i w:val="0"/>
                <w:sz w:val="20"/>
              </w:rPr>
              <w:t>$75,000</w:t>
            </w:r>
          </w:p>
        </w:tc>
      </w:tr>
      <w:tr>
        <w:trPr>
          <w:trHeight w:val="425" w:hRule="atLeast"/>
        </w:trPr>
        <w:tc>
          <w:tcPr>
            <w:tcW w:type="dxa" w:w="2436"/>
            <w:vAlign w:val="center"/>
          </w:tcPr>
          <w:p>
            <w:pPr>
              <w:spacing w:line="276" w:lineRule="auto" w:before="0" w:after="0"/>
            </w:pPr>
            <w:r/>
            <w:r>
              <w:rPr>
                <w:rFonts w:ascii="Figtree" w:hAnsi="Figtree"/>
                <w:b w:val="0"/>
                <w:i w:val="0"/>
                <w:sz w:val="20"/>
              </w:rPr>
              <w:t>Testing and UAT</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Full testing + POPIA privacy testing + UAT</w:t>
            </w:r>
          </w:p>
        </w:tc>
        <w:tc>
          <w:tcPr>
            <w:tcW w:type="dxa" w:w="2436"/>
            <w:vAlign w:val="center"/>
          </w:tcPr>
          <w:p>
            <w:pPr>
              <w:spacing w:line="276" w:lineRule="auto" w:before="0" w:after="0"/>
            </w:pPr>
            <w:r/>
            <w:r>
              <w:rPr>
                <w:rFonts w:ascii="Figtree" w:hAnsi="Figtree"/>
                <w:b w:val="0"/>
                <w:i w:val="0"/>
                <w:sz w:val="20"/>
              </w:rPr>
              <w:t>$60,000</w:t>
            </w:r>
          </w:p>
        </w:tc>
      </w:tr>
      <w:tr>
        <w:trPr>
          <w:trHeight w:val="425" w:hRule="atLeast"/>
        </w:trPr>
        <w:tc>
          <w:tcPr>
            <w:tcW w:type="dxa" w:w="2436"/>
            <w:vAlign w:val="center"/>
          </w:tcPr>
          <w:p>
            <w:pPr>
              <w:spacing w:line="276" w:lineRule="auto" w:before="0" w:after="0"/>
            </w:pPr>
            <w:r/>
            <w:r>
              <w:rPr>
                <w:rFonts w:ascii="Figtree" w:hAnsi="Figtree"/>
                <w:b w:val="0"/>
                <w:i w:val="0"/>
                <w:sz w:val="20"/>
              </w:rPr>
              <w:t>Go-Live and Hypercare</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Pilot pool, full launch, hypercare</w:t>
            </w:r>
          </w:p>
        </w:tc>
        <w:tc>
          <w:tcPr>
            <w:tcW w:type="dxa" w:w="2436"/>
            <w:vAlign w:val="center"/>
          </w:tcPr>
          <w:p>
            <w:pPr>
              <w:spacing w:line="276" w:lineRule="auto" w:before="0" w:after="0"/>
            </w:pPr>
            <w:r/>
            <w:r>
              <w:rPr>
                <w:rFonts w:ascii="Figtree" w:hAnsi="Figtree"/>
                <w:b w:val="0"/>
                <w:i w:val="0"/>
                <w:sz w:val="20"/>
              </w:rPr>
              <w:t>$30,000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35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$320,000</w:t>
            </w:r>
          </w:p>
        </w:tc>
      </w:tr>
    </w:tbl>
    <w:p>
      <w:pPr>
        <w:spacing w:before="0" w:after="0" w:line="120" w:lineRule="exact"/>
      </w:pPr>
    </w:p>
    <w:p>
      <w:pPr>
        <w:pStyle w:val="H3"/>
        <w:numPr>
          <w:ilvl w:val="2"/>
          <w:numId w:val="1"/>
        </w:numPr>
      </w:pPr>
      <w:r>
        <w:t>Implementation Accelerators</w:t>
      </w:r>
    </w:p>
    <w:p>
      <w:pPr>
        <w:pStyle w:val="ListParagraph"/>
        <w:numPr>
          <w:ilvl w:val="0"/>
          <w:numId w:val="4"/>
        </w:numPr>
      </w:pPr>
      <w:r>
        <w:rPr>
          <w:rFonts w:ascii="Figtree" w:hAnsi="Figtree"/>
          <w:b w:val="0"/>
          <w:i w:val="0"/>
          <w:sz w:val="22"/>
        </w:rPr>
        <w:t>Pre-built POPIA-aligned compliance module templates for SA lending</w:t>
      </w:r>
    </w:p>
    <w:p>
      <w:pPr>
        <w:pStyle w:val="ListParagraph"/>
        <w:numPr>
          <w:ilvl w:val="0"/>
          <w:numId w:val="4"/>
        </w:numPr>
      </w:pPr>
      <w:r>
        <w:rPr>
          <w:rFonts w:ascii="Figtree" w:hAnsi="Figtree"/>
          <w:b w:val="0"/>
          <w:i w:val="0"/>
          <w:sz w:val="22"/>
        </w:rPr>
        <w:t>Reference pool token configuration for structured lending participation</w:t>
      </w:r>
    </w:p>
    <w:p>
      <w:pPr>
        <w:pStyle w:val="ListParagraph"/>
        <w:numPr>
          <w:ilvl w:val="0"/>
          <w:numId w:val="4"/>
        </w:numPr>
      </w:pPr>
      <w:r>
        <w:rPr>
          <w:rFonts w:ascii="Figtree" w:hAnsi="Figtree"/>
          <w:b w:val="0"/>
          <w:i w:val="0"/>
          <w:sz w:val="22"/>
        </w:rPr>
        <w:t>Yield addon template for monthly/quarterly distribution schedules</w:t>
      </w:r>
    </w:p>
    <w:p>
      <w:pPr>
        <w:pStyle w:val="ListParagraph"/>
        <w:numPr>
          <w:ilvl w:val="0"/>
          <w:numId w:val="4"/>
        </w:numPr>
      </w:pPr>
      <w:r>
        <w:rPr>
          <w:rFonts w:ascii="Figtree" w:hAnsi="Figtree"/>
          <w:b w:val="0"/>
          <w:i w:val="0"/>
          <w:sz w:val="22"/>
        </w:rPr>
        <w:t>TypeScript SDK enabling JUMO engineering team to build LMS integration in parallel</w:t>
      </w:r>
    </w:p>
    <w:p>
      <w:pPr>
        <w:pStyle w:val="H3"/>
        <w:numPr>
          <w:ilvl w:val="2"/>
          <w:numId w:val="1"/>
        </w:numPr>
      </w:pPr>
      <w:r>
        <w:t>Risk Factors</w:t>
      </w:r>
    </w:p>
    <w:p>
      <w:pPr>
        <w:pStyle w:val="ListParagraph"/>
        <w:numPr>
          <w:ilvl w:val="0"/>
          <w:numId w:val="4"/>
        </w:numPr>
      </w:pPr>
      <w:r>
        <w:rPr>
          <w:rFonts w:ascii="Figtree" w:hAnsi="Figtree"/>
          <w:b w:val="0"/>
          <w:i w:val="0"/>
          <w:sz w:val="22"/>
        </w:rPr>
        <w:t>Multi-jurisdiction regulatory interpretation (SA vs Kenya vs Ghana pool characterisation)</w:t>
      </w:r>
    </w:p>
    <w:p>
      <w:pPr>
        <w:pStyle w:val="ListParagraph"/>
        <w:numPr>
          <w:ilvl w:val="0"/>
          <w:numId w:val="4"/>
        </w:numPr>
      </w:pPr>
      <w:r>
        <w:rPr>
          <w:rFonts w:ascii="Figtree" w:hAnsi="Figtree"/>
          <w:b w:val="0"/>
          <w:i w:val="0"/>
          <w:sz w:val="22"/>
        </w:rPr>
        <w:t>POPIA data impact assessment completion may require legal input before production launch</w:t>
      </w:r>
    </w:p>
    <w:p>
      <w:pPr>
        <w:pStyle w:val="ListParagraph"/>
        <w:numPr>
          <w:ilvl w:val="0"/>
          <w:numId w:val="4"/>
        </w:numPr>
      </w:pPr>
      <w:r>
        <w:rPr>
          <w:rFonts w:ascii="Figtree" w:hAnsi="Figtree"/>
          <w:b w:val="0"/>
          <w:i w:val="0"/>
          <w:sz w:val="22"/>
        </w:rPr>
        <w:t>Funder KYC/onboarding data quality and readiness for all initial funders</w:t>
      </w:r>
    </w:p>
    <w:p>
      <w:pPr>
        <w:pStyle w:val="ListParagraph"/>
        <w:numPr>
          <w:ilvl w:val="0"/>
          <w:numId w:val="4"/>
        </w:numPr>
      </w:pPr>
      <w:r>
        <w:rPr>
          <w:rFonts w:ascii="Figtree" w:hAnsi="Figtree"/>
          <w:b w:val="0"/>
          <w:i w:val="0"/>
          <w:sz w:val="22"/>
        </w:rPr>
        <w:t>Kenya-region infrastructure provisioning timeline if additional AWS region is required</w:t>
      </w:r>
    </w:p>
    <w:p>
      <w:pPr>
        <w:pStyle w:val="H3"/>
        <w:numPr>
          <w:ilvl w:val="2"/>
          <w:numId w:val="1"/>
        </w:numPr>
      </w:pPr>
      <w:r>
        <w:t>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2"/>
        <w:gridCol w:w="5739"/>
        <w:gridCol w:w="8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System configuration, environment management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Pool operations team</w:t>
            </w:r>
          </w:p>
        </w:tc>
        <w:tc>
          <w:tcPr>
            <w:tcW w:type="dxa" w:w="3249"/>
            <w:vAlign w:val="center"/>
          </w:tcPr>
          <w:p>
            <w:pPr>
              <w:spacing w:line="276" w:lineRule="auto" w:before="0" w:after="0"/>
            </w:pPr>
            <w:r/>
            <w:r>
              <w:rPr>
                <w:rFonts w:ascii="Figtree" w:hAnsi="Figtree"/>
                <w:b w:val="0"/>
                <w:i w:val="0"/>
                <w:sz w:val="20"/>
              </w:rPr>
              <w:t>Pool management, servicing events, exception handling</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Investor relations</w:t>
            </w:r>
          </w:p>
        </w:tc>
        <w:tc>
          <w:tcPr>
            <w:tcW w:type="dxa" w:w="3249"/>
            <w:vAlign w:val="center"/>
          </w:tcPr>
          <w:p>
            <w:pPr>
              <w:spacing w:line="276" w:lineRule="auto" w:before="0" w:after="0"/>
            </w:pPr>
            <w:r/>
            <w:r>
              <w:rPr>
                <w:rFonts w:ascii="Figtree" w:hAnsi="Figtree"/>
                <w:b w:val="0"/>
                <w:i w:val="0"/>
                <w:sz w:val="20"/>
              </w:rPr>
              <w:t>Chain Indexer queries, investor reporting generation</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w:t>
            </w:r>
          </w:p>
        </w:tc>
        <w:tc>
          <w:tcPr>
            <w:tcW w:type="dxa" w:w="3249"/>
            <w:vAlign w:val="center"/>
          </w:tcPr>
          <w:p>
            <w:pPr>
              <w:spacing w:line="276" w:lineRule="auto" w:before="0" w:after="0"/>
            </w:pPr>
            <w:r/>
            <w:r>
              <w:rPr>
                <w:rFonts w:ascii="Figtree" w:hAnsi="Figtree"/>
                <w:b w:val="0"/>
                <w:i w:val="0"/>
                <w:sz w:val="20"/>
              </w:rPr>
              <w:t>Compliance module management, POPIA controls, audit export</w:t>
            </w:r>
          </w:p>
        </w:tc>
        <w:tc>
          <w:tcPr>
            <w:tcW w:type="dxa" w:w="3249"/>
            <w:vAlign w:val="center"/>
          </w:tcPr>
          <w:p>
            <w:pPr>
              <w:spacing w:line="276" w:lineRule="auto" w:before="0" w:after="0"/>
            </w:pPr>
            <w:r/>
            <w:r>
              <w:rPr>
                <w:rFonts w:ascii="Figtree" w:hAnsi="Figtree"/>
                <w:b w:val="0"/>
                <w:i w:val="0"/>
                <w:sz w:val="20"/>
              </w:rPr>
              <w:t>1 day</w:t>
            </w:r>
          </w:p>
        </w:tc>
      </w:tr>
    </w:tbl>
    <w:p>
      <w:pPr>
        <w:spacing w:before="0" w:after="0" w:line="120" w:lineRule="exact"/>
      </w:pPr>
    </w:p>
    <w:p>
      <w:r>
        <w:br w:type="page"/>
      </w:r>
    </w:p>
    <w:p>
      <w:pPr>
        <w:pStyle w:val="H2"/>
        <w:numPr>
          <w:ilvl w:val="1"/>
          <w:numId w:val="1"/>
        </w:numPr>
      </w:pPr>
      <w:r>
        <w:t>Support and Operational Costs</w:t>
      </w:r>
    </w:p>
    <w:p>
      <w:pPr>
        <w:pStyle w:val="H3"/>
        <w:numPr>
          <w:ilvl w:val="2"/>
          <w:numId w:val="1"/>
        </w:numPr>
      </w:pPr>
      <w:r>
        <w:t>Support Recommendation</w:t>
      </w:r>
    </w:p>
    <w:p>
      <w:r>
        <w:rPr>
          <w:rFonts w:ascii="Figtree" w:hAnsi="Figtree"/>
          <w:b w:val="0"/>
          <w:i w:val="0"/>
          <w:sz w:val="22"/>
        </w:rPr>
        <w:t>Premium support (24/7) is recommended for a production lending infrastructure platform where yield distribution timing has direct implications for funder obligations.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3848"/>
        <w:gridCol w:w="21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Business hours</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bl>
    <w:p>
      <w:pPr>
        <w:spacing w:before="0" w:after="0" w:line="120" w:lineRule="exact"/>
      </w:pPr>
    </w:p>
    <w:p>
      <w:pPr>
        <w:pStyle w:val="H3"/>
        <w:numPr>
          <w:ilvl w:val="2"/>
          <w:numId w:val="1"/>
        </w:numPr>
      </w:pPr>
      <w:r>
        <w:t>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4"/>
        <w:gridCol w:w="5246"/>
        <w:gridCol w:w="1858"/>
        <w:gridCol w:w="10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Production outage, yield distribution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Pool operations blocked, significant degradation</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Enhancement, documentation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w:t>
            </w:r>
          </w:p>
        </w:tc>
      </w:tr>
    </w:tbl>
    <w:p>
      <w:pPr>
        <w:spacing w:before="0" w:after="0" w:line="120" w:lineRule="exact"/>
      </w:pPr>
    </w:p>
    <w:p>
      <w:r>
        <w:br w:type="page"/>
      </w:r>
    </w:p>
    <w:p>
      <w:pPr>
        <w:pStyle w:val="H2"/>
        <w:numPr>
          <w:ilvl w:val="1"/>
          <w:numId w:val="1"/>
        </w:numPr>
      </w:pPr>
      <w:r>
        <w:t>Total Cost of Ownership Analysis</w:t>
      </w:r>
    </w:p>
    <w:p>
      <w:pPr>
        <w:pStyle w:val="H3"/>
        <w:numPr>
          <w:ilvl w:val="2"/>
          <w:numId w:val="1"/>
        </w:numPr>
      </w:pPr>
      <w:r>
        <w:t>3-Year TCO: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1360"/>
        <w:gridCol w:w="1360"/>
        <w:gridCol w:w="1360"/>
        <w:gridCol w:w="158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$220,000</w:t>
            </w:r>
          </w:p>
        </w:tc>
        <w:tc>
          <w:tcPr>
            <w:tcW w:type="dxa" w:w="1949"/>
            <w:vAlign w:val="center"/>
          </w:tcPr>
          <w:p>
            <w:pPr>
              <w:spacing w:line="276" w:lineRule="auto" w:before="0" w:after="0"/>
            </w:pPr>
            <w:r/>
            <w:r>
              <w:rPr>
                <w:rFonts w:ascii="Figtree" w:hAnsi="Figtree"/>
                <w:b w:val="0"/>
                <w:i w:val="0"/>
                <w:sz w:val="20"/>
              </w:rPr>
              <w:t>$209,000</w:t>
            </w:r>
          </w:p>
        </w:tc>
        <w:tc>
          <w:tcPr>
            <w:tcW w:type="dxa" w:w="1949"/>
            <w:vAlign w:val="center"/>
          </w:tcPr>
          <w:p>
            <w:pPr>
              <w:spacing w:line="276" w:lineRule="auto" w:before="0" w:after="0"/>
            </w:pPr>
            <w:r/>
            <w:r>
              <w:rPr>
                <w:rFonts w:ascii="Figtree" w:hAnsi="Figtree"/>
                <w:b w:val="0"/>
                <w:i w:val="0"/>
                <w:sz w:val="20"/>
              </w:rPr>
              <w:t>$209,000</w:t>
            </w:r>
          </w:p>
        </w:tc>
        <w:tc>
          <w:tcPr>
            <w:tcW w:type="dxa" w:w="1949"/>
            <w:vAlign w:val="center"/>
          </w:tcPr>
          <w:p>
            <w:pPr>
              <w:spacing w:line="276" w:lineRule="auto" w:before="0" w:after="0"/>
            </w:pPr>
            <w:r/>
            <w:r>
              <w:rPr>
                <w:rFonts w:ascii="Figtree" w:hAnsi="Figtree"/>
                <w:b w:val="0"/>
                <w:i w:val="0"/>
                <w:sz w:val="20"/>
              </w:rPr>
              <w:t>$638,000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environments (2)</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$255,000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Post-launch training/expansion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$40,000</w:t>
            </w:r>
          </w:p>
        </w:tc>
      </w:tr>
      <w:tr>
        <w:trPr>
          <w:trHeight w:val="425" w:hRule="atLeast"/>
        </w:trPr>
        <w:tc>
          <w:tcPr>
            <w:tcW w:type="dxa" w:w="1949"/>
            <w:vAlign w:val="center"/>
          </w:tcPr>
          <w:p>
            <w:pPr>
              <w:spacing w:line="276" w:lineRule="auto" w:before="0" w:after="0"/>
            </w:pPr>
            <w:r/>
            <w:r>
              <w:rPr>
                <w:rFonts w:ascii="Figtree" w:hAnsi="Figtree"/>
                <w:b/>
                <w:i w:val="0"/>
                <w:sz w:val="20"/>
              </w:rPr>
              <w:t>Subtotal</w:t>
            </w:r>
          </w:p>
        </w:tc>
        <w:tc>
          <w:tcPr>
            <w:tcW w:type="dxa" w:w="1949"/>
            <w:vAlign w:val="center"/>
          </w:tcPr>
          <w:p>
            <w:pPr>
              <w:spacing w:line="276" w:lineRule="auto" w:before="0" w:after="0"/>
            </w:pPr>
            <w:r/>
            <w:r>
              <w:rPr>
                <w:rFonts w:ascii="Figtree" w:hAnsi="Figtree"/>
                <w:b/>
                <w:i w:val="0"/>
                <w:sz w:val="20"/>
              </w:rPr>
              <w:t>$675,000</w:t>
            </w:r>
          </w:p>
        </w:tc>
        <w:tc>
          <w:tcPr>
            <w:tcW w:type="dxa" w:w="1949"/>
            <w:vAlign w:val="center"/>
          </w:tcPr>
          <w:p>
            <w:pPr>
              <w:spacing w:line="276" w:lineRule="auto" w:before="0" w:after="0"/>
            </w:pPr>
            <w:r/>
            <w:r>
              <w:rPr>
                <w:rFonts w:ascii="Figtree" w:hAnsi="Figtree"/>
                <w:b/>
                <w:i w:val="0"/>
                <w:sz w:val="20"/>
              </w:rPr>
              <w:t>$364,000</w:t>
            </w:r>
          </w:p>
        </w:tc>
        <w:tc>
          <w:tcPr>
            <w:tcW w:type="dxa" w:w="1949"/>
            <w:vAlign w:val="center"/>
          </w:tcPr>
          <w:p>
            <w:pPr>
              <w:spacing w:line="276" w:lineRule="auto" w:before="0" w:after="0"/>
            </w:pPr>
            <w:r/>
            <w:r>
              <w:rPr>
                <w:rFonts w:ascii="Figtree" w:hAnsi="Figtree"/>
                <w:b/>
                <w:i w:val="0"/>
                <w:sz w:val="20"/>
              </w:rPr>
              <w:t>$364,000</w:t>
            </w:r>
          </w:p>
        </w:tc>
        <w:tc>
          <w:tcPr>
            <w:tcW w:type="dxa" w:w="1949"/>
            <w:vAlign w:val="center"/>
          </w:tcPr>
          <w:p>
            <w:pPr>
              <w:spacing w:line="276" w:lineRule="auto" w:before="0" w:after="0"/>
            </w:pPr>
            <w:r/>
            <w:r>
              <w:rPr>
                <w:rFonts w:ascii="Figtree" w:hAnsi="Figtree"/>
                <w:b/>
                <w:i w:val="0"/>
                <w:sz w:val="20"/>
              </w:rPr>
              <w:t>$1,403,000</w:t>
            </w:r>
          </w:p>
        </w:tc>
      </w:tr>
    </w:tbl>
    <w:p>
      <w:pPr>
        <w:spacing w:before="0" w:after="0" w:line="120" w:lineRule="exact"/>
      </w:pPr>
    </w:p>
    <w:p>
      <w:r>
        <w:rPr>
          <w:rFonts w:ascii="Figtree" w:hAnsi="Figtree"/>
          <w:b w:val="0"/>
          <w:i/>
          <w:sz w:val="22"/>
        </w:rPr>
        <w:t>Year 2-3 license at 5% multi-year discount. Infrastructure (AWS, Kubernetes) is JUMO-borne, estimated $40,000-60,000/year.</w:t>
      </w:r>
    </w:p>
    <w:p>
      <w:r>
        <w:rPr>
          <w:rFonts w:ascii="Figtree" w:hAnsi="Figtree"/>
          <w:b/>
          <w:i w:val="0"/>
          <w:sz w:val="22"/>
        </w:rPr>
        <w:t>3-year TCO including infrastructure: approximately $1,520,000-$1,580,000</w:t>
      </w:r>
    </w:p>
    <w:p>
      <w:r>
        <w:rPr>
          <w:rFonts w:ascii="Figtree" w:hAnsi="Figtree"/>
          <w:b w:val="0"/>
          <w:i w:val="0"/>
          <w:sz w:val="22"/>
        </w:rPr>
        <w:t>Note: Total base platform cost ($1,403,000) is slightly above the $1,400,000 ceiling in the commercial range. This reflects JUMO's multi-jurisdiction requirement. The adjusted figure with infrastructure is presented as the complete programme cost.</w:t>
      </w:r>
    </w:p>
    <w:p>
      <w:pPr>
        <w:pStyle w:val="H3"/>
        <w:numPr>
          <w:ilvl w:val="2"/>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1"/>
        <w:gridCol w:w="1794"/>
        <w:gridCol w:w="2292"/>
        <w:gridCol w:w="20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3-year cost</w:t>
            </w:r>
          </w:p>
        </w:tc>
        <w:tc>
          <w:tcPr>
            <w:tcW w:type="dxa" w:w="2436"/>
            <w:vAlign w:val="center"/>
          </w:tcPr>
          <w:p>
            <w:pPr>
              <w:spacing w:line="276" w:lineRule="auto" w:before="0" w:after="0"/>
            </w:pPr>
            <w:r/>
            <w:r>
              <w:rPr>
                <w:rFonts w:ascii="Figtree" w:hAnsi="Figtree"/>
                <w:b w:val="0"/>
                <w:i w:val="0"/>
                <w:sz w:val="20"/>
              </w:rPr>
              <w:t>~$1.5M total</w:t>
            </w:r>
          </w:p>
        </w:tc>
        <w:tc>
          <w:tcPr>
            <w:tcW w:type="dxa" w:w="2436"/>
            <w:vAlign w:val="center"/>
          </w:tcPr>
          <w:p>
            <w:pPr>
              <w:spacing w:line="276" w:lineRule="auto" w:before="0" w:after="0"/>
            </w:pPr>
            <w:r/>
            <w:r>
              <w:rPr>
                <w:rFonts w:ascii="Figtree" w:hAnsi="Figtree"/>
                <w:b w:val="0"/>
                <w:i w:val="0"/>
                <w:sz w:val="20"/>
              </w:rPr>
              <w:t>~$2.8-3.5M</w:t>
            </w:r>
          </w:p>
        </w:tc>
        <w:tc>
          <w:tcPr>
            <w:tcW w:type="dxa" w:w="2436"/>
            <w:vAlign w:val="center"/>
          </w:tcPr>
          <w:p>
            <w:pPr>
              <w:spacing w:line="276" w:lineRule="auto" w:before="0" w:after="0"/>
            </w:pPr>
            <w:r/>
            <w:r>
              <w:rPr>
                <w:rFonts w:ascii="Figtree" w:hAnsi="Figtree"/>
                <w:b w:val="0"/>
                <w:i w:val="0"/>
                <w:sz w:val="20"/>
              </w:rPr>
              <w:t>~$2.2M</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 pool</w:t>
            </w:r>
          </w:p>
        </w:tc>
        <w:tc>
          <w:tcPr>
            <w:tcW w:type="dxa" w:w="2436"/>
            <w:vAlign w:val="center"/>
          </w:tcPr>
          <w:p>
            <w:pPr>
              <w:spacing w:line="276" w:lineRule="auto" w:before="0" w:after="0"/>
            </w:pPr>
            <w:r/>
            <w:r>
              <w:rPr>
                <w:rFonts w:ascii="Figtree" w:hAnsi="Figtree"/>
                <w:b w:val="0"/>
                <w:i w:val="0"/>
                <w:sz w:val="20"/>
              </w:rPr>
              <w:t>35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POPIA compliance architecture</w:t>
            </w:r>
          </w:p>
        </w:tc>
        <w:tc>
          <w:tcPr>
            <w:tcW w:type="dxa" w:w="2436"/>
            <w:vAlign w:val="center"/>
          </w:tcPr>
          <w:p>
            <w:pPr>
              <w:spacing w:line="276" w:lineRule="auto" w:before="0" w:after="0"/>
            </w:pPr>
            <w:r/>
            <w:r>
              <w:rPr>
                <w:rFonts w:ascii="Figtree" w:hAnsi="Figtree"/>
                <w:b w:val="0"/>
                <w:i w:val="0"/>
                <w:sz w:val="20"/>
              </w:rPr>
              <w:t>Pre-built</w:t>
            </w:r>
          </w:p>
        </w:tc>
        <w:tc>
          <w:tcPr>
            <w:tcW w:type="dxa" w:w="2436"/>
            <w:vAlign w:val="center"/>
          </w:tcPr>
          <w:p>
            <w:pPr>
              <w:spacing w:line="276" w:lineRule="auto" w:before="0" w:after="0"/>
            </w:pPr>
            <w:r/>
            <w:r>
              <w:rPr>
                <w:rFonts w:ascii="Figtree" w:hAnsi="Figtree"/>
                <w:b w:val="0"/>
                <w:i w:val="0"/>
                <w:sz w:val="20"/>
              </w:rPr>
              <w:t>Must be designed</w:t>
            </w:r>
          </w:p>
        </w:tc>
        <w:tc>
          <w:tcPr>
            <w:tcW w:type="dxa" w:w="2436"/>
            <w:vAlign w:val="center"/>
          </w:tcPr>
          <w:p>
            <w:pPr>
              <w:spacing w:line="276" w:lineRule="auto" w:before="0" w:after="0"/>
            </w:pPr>
            <w:r/>
            <w:r>
              <w:rPr>
                <w:rFonts w:ascii="Figtree" w:hAnsi="Figtree"/>
                <w:b w:val="0"/>
                <w:i w:val="0"/>
                <w:sz w:val="20"/>
              </w:rPr>
              <w:t>Shared responsibility</w:t>
            </w:r>
          </w:p>
        </w:tc>
      </w:tr>
      <w:tr>
        <w:trPr>
          <w:trHeight w:val="425" w:hRule="atLeast"/>
        </w:trPr>
        <w:tc>
          <w:tcPr>
            <w:tcW w:type="dxa" w:w="2436"/>
            <w:vAlign w:val="center"/>
          </w:tcPr>
          <w:p>
            <w:pPr>
              <w:spacing w:line="276" w:lineRule="auto" w:before="0" w:after="0"/>
            </w:pPr>
            <w:r/>
            <w:r>
              <w:rPr>
                <w:rFonts w:ascii="Figtree" w:hAnsi="Figtree"/>
                <w:b w:val="0"/>
                <w:i w:val="0"/>
                <w:sz w:val="20"/>
              </w:rPr>
              <w:t>Funder verification</w:t>
            </w:r>
          </w:p>
        </w:tc>
        <w:tc>
          <w:tcPr>
            <w:tcW w:type="dxa" w:w="2436"/>
            <w:vAlign w:val="center"/>
          </w:tcPr>
          <w:p>
            <w:pPr>
              <w:spacing w:line="276" w:lineRule="auto" w:before="0" w:after="0"/>
            </w:pPr>
            <w:r/>
            <w:r>
              <w:rPr>
                <w:rFonts w:ascii="Figtree" w:hAnsi="Figtree"/>
                <w:b w:val="0"/>
                <w:i w:val="0"/>
                <w:sz w:val="20"/>
              </w:rPr>
              <w:t>Immutable on-chain</w:t>
            </w:r>
          </w:p>
        </w:tc>
        <w:tc>
          <w:tcPr>
            <w:tcW w:type="dxa" w:w="2436"/>
            <w:vAlign w:val="center"/>
          </w:tcPr>
          <w:p>
            <w:pPr>
              <w:spacing w:line="276" w:lineRule="auto" w:before="0" w:after="0"/>
            </w:pPr>
            <w:r/>
            <w:r>
              <w:rPr>
                <w:rFonts w:ascii="Figtree" w:hAnsi="Figtree"/>
                <w:b w:val="0"/>
                <w:i w:val="0"/>
                <w:sz w:val="20"/>
              </w:rPr>
              <w:t>Build quality dependent</w:t>
            </w:r>
          </w:p>
        </w:tc>
        <w:tc>
          <w:tcPr>
            <w:tcW w:type="dxa" w:w="2436"/>
            <w:vAlign w:val="center"/>
          </w:tcPr>
          <w:p>
            <w:pPr>
              <w:spacing w:line="276" w:lineRule="auto" w:before="0" w:after="0"/>
            </w:pPr>
            <w:r/>
            <w:r>
              <w:rPr>
                <w:rFonts w:ascii="Figtree" w:hAnsi="Figtree"/>
                <w:b w:val="0"/>
                <w:i w:val="0"/>
                <w:sz w:val="20"/>
              </w:rPr>
              <w:t>Multi-system</w:t>
            </w:r>
          </w:p>
        </w:tc>
      </w:tr>
    </w:tbl>
    <w:p>
      <w:pPr>
        <w:spacing w:before="0" w:after="0" w:line="120" w:lineRule="exact"/>
      </w:pPr>
    </w:p>
    <w:p>
      <w:r>
        <w:br w:type="page"/>
      </w:r>
    </w:p>
    <w:p>
      <w:pPr>
        <w:pStyle w:val="H2"/>
        <w:numPr>
          <w:ilvl w:val="1"/>
          <w:numId w:val="1"/>
        </w:numPr>
      </w:pPr>
      <w:r>
        <w:t>Payment Terms and Commercial Structure</w:t>
      </w:r>
    </w:p>
    <w:p>
      <w:pPr>
        <w:pStyle w:val="H3"/>
        <w:numPr>
          <w:ilvl w:val="2"/>
          <w:numId w:val="1"/>
        </w:numPr>
      </w:pPr>
      <w:r>
        <w:t>Platform License</w:t>
      </w:r>
    </w:p>
    <w:p>
      <w:r>
        <w:rPr>
          <w:rFonts w:ascii="Figtree" w:hAnsi="Figtree"/>
          <w:b w:val="0"/>
          <w:i w:val="0"/>
          <w:sz w:val="22"/>
        </w:rPr>
        <w:t>Annual, invoiced in advance. Year 2-3 at 5% discount with multi-year commitment.</w:t>
      </w:r>
    </w:p>
    <w:p>
      <w:pPr>
        <w:pStyle w:val="H3"/>
        <w:numPr>
          <w:ilvl w:val="2"/>
          <w:numId w:val="1"/>
        </w:numPr>
      </w:pPr>
      <w:r>
        <w:t>Implementation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1152"/>
        <w:gridCol w:w="1728"/>
        <w:gridCol w:w="10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25%</w:t>
            </w:r>
          </w:p>
        </w:tc>
        <w:tc>
          <w:tcPr>
            <w:tcW w:type="dxa" w:w="2436"/>
            <w:vAlign w:val="center"/>
          </w:tcPr>
          <w:p>
            <w:pPr>
              <w:spacing w:line="276" w:lineRule="auto" w:before="0" w:after="0"/>
            </w:pPr>
            <w:r/>
            <w:r>
              <w:rPr>
                <w:rFonts w:ascii="Figtree" w:hAnsi="Figtree"/>
                <w:b w:val="0"/>
                <w:i w:val="0"/>
                <w:sz w:val="20"/>
              </w:rPr>
              <w:t>$80,000</w:t>
            </w:r>
          </w:p>
        </w:tc>
        <w:tc>
          <w:tcPr>
            <w:tcW w:type="dxa" w:w="2436"/>
            <w:vAlign w:val="center"/>
          </w:tcPr>
          <w:p>
            <w:pPr>
              <w:spacing w:line="276" w:lineRule="auto" w:before="0" w:after="0"/>
            </w:pPr>
            <w:r/>
            <w:r>
              <w:rPr>
                <w:rFonts w:ascii="Figtree" w:hAnsi="Figtree"/>
                <w:b w:val="0"/>
                <w:i w:val="0"/>
                <w:sz w:val="20"/>
              </w:rPr>
              <w:t>Week 0</w:t>
            </w:r>
          </w:p>
        </w:tc>
      </w:tr>
      <w:tr>
        <w:trPr>
          <w:trHeight w:val="425" w:hRule="atLeast"/>
        </w:trPr>
        <w:tc>
          <w:tcPr>
            <w:tcW w:type="dxa" w:w="2436"/>
            <w:vAlign w:val="center"/>
          </w:tcPr>
          <w:p>
            <w:pPr>
              <w:spacing w:line="276" w:lineRule="auto" w:before="0" w:after="0"/>
            </w:pPr>
            <w:r/>
            <w:r>
              <w:rPr>
                <w:rFonts w:ascii="Figtree" w:hAnsi="Figtree"/>
                <w:b w:val="0"/>
                <w:i w:val="0"/>
                <w:sz w:val="20"/>
              </w:rPr>
              <w:t>Phase 2 gate (infrastructure ready)</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$64,000</w:t>
            </w:r>
          </w:p>
        </w:tc>
        <w:tc>
          <w:tcPr>
            <w:tcW w:type="dxa" w:w="2436"/>
            <w:vAlign w:val="center"/>
          </w:tcPr>
          <w:p>
            <w:pPr>
              <w:spacing w:line="276" w:lineRule="auto" w:before="0" w:after="0"/>
            </w:pPr>
            <w:r/>
            <w:r>
              <w:rPr>
                <w:rFonts w:ascii="Figtree" w:hAnsi="Figtree"/>
                <w:b w:val="0"/>
                <w:i w:val="0"/>
                <w:sz w:val="20"/>
              </w:rPr>
              <w:t>Week 9</w:t>
            </w:r>
          </w:p>
        </w:tc>
      </w:tr>
      <w:tr>
        <w:trPr>
          <w:trHeight w:val="425" w:hRule="atLeast"/>
        </w:trPr>
        <w:tc>
          <w:tcPr>
            <w:tcW w:type="dxa" w:w="2436"/>
            <w:vAlign w:val="center"/>
          </w:tcPr>
          <w:p>
            <w:pPr>
              <w:spacing w:line="276" w:lineRule="auto" w:before="0" w:after="0"/>
            </w:pPr>
            <w:r/>
            <w:r>
              <w:rPr>
                <w:rFonts w:ascii="Figtree" w:hAnsi="Figtree"/>
                <w:b w:val="0"/>
                <w:i w:val="0"/>
                <w:sz w:val="20"/>
              </w:rPr>
              <w:t>Phase 4 gate (integrations complete)</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$96,000</w:t>
            </w:r>
          </w:p>
        </w:tc>
        <w:tc>
          <w:tcPr>
            <w:tcW w:type="dxa" w:w="2436"/>
            <w:vAlign w:val="center"/>
          </w:tcPr>
          <w:p>
            <w:pPr>
              <w:spacing w:line="276" w:lineRule="auto" w:before="0" w:after="0"/>
            </w:pPr>
            <w:r/>
            <w:r>
              <w:rPr>
                <w:rFonts w:ascii="Figtree" w:hAnsi="Figtree"/>
                <w:b w:val="0"/>
                <w:i w:val="0"/>
                <w:sz w:val="20"/>
              </w:rPr>
              <w:t>Week 20</w:t>
            </w:r>
          </w:p>
        </w:tc>
      </w:tr>
      <w:tr>
        <w:trPr>
          <w:trHeight w:val="425" w:hRule="atLeast"/>
        </w:trPr>
        <w:tc>
          <w:tcPr>
            <w:tcW w:type="dxa" w:w="2436"/>
            <w:vAlign w:val="center"/>
          </w:tcPr>
          <w:p>
            <w:pPr>
              <w:spacing w:line="276" w:lineRule="auto" w:before="0" w:after="0"/>
            </w:pPr>
            <w:r/>
            <w:r>
              <w:rPr>
                <w:rFonts w:ascii="Figtree" w:hAnsi="Figtree"/>
                <w:b w:val="0"/>
                <w:i w:val="0"/>
                <w:sz w:val="20"/>
              </w:rPr>
              <w:t>Phase 6 gate (production go-live)</w:t>
            </w:r>
          </w:p>
        </w:tc>
        <w:tc>
          <w:tcPr>
            <w:tcW w:type="dxa" w:w="2436"/>
            <w:vAlign w:val="center"/>
          </w:tcPr>
          <w:p>
            <w:pPr>
              <w:spacing w:line="276" w:lineRule="auto" w:before="0" w:after="0"/>
            </w:pPr>
            <w:r/>
            <w:r>
              <w:rPr>
                <w:rFonts w:ascii="Figtree" w:hAnsi="Figtree"/>
                <w:b w:val="0"/>
                <w:i w:val="0"/>
                <w:sz w:val="20"/>
              </w:rPr>
              <w:t>25%</w:t>
            </w:r>
          </w:p>
        </w:tc>
        <w:tc>
          <w:tcPr>
            <w:tcW w:type="dxa" w:w="2436"/>
            <w:vAlign w:val="center"/>
          </w:tcPr>
          <w:p>
            <w:pPr>
              <w:spacing w:line="276" w:lineRule="auto" w:before="0" w:after="0"/>
            </w:pPr>
            <w:r/>
            <w:r>
              <w:rPr>
                <w:rFonts w:ascii="Figtree" w:hAnsi="Figtree"/>
                <w:b w:val="0"/>
                <w:i w:val="0"/>
                <w:sz w:val="20"/>
              </w:rPr>
              <w:t>$80,000</w:t>
            </w:r>
          </w:p>
        </w:tc>
        <w:tc>
          <w:tcPr>
            <w:tcW w:type="dxa" w:w="2436"/>
            <w:vAlign w:val="center"/>
          </w:tcPr>
          <w:p>
            <w:pPr>
              <w:spacing w:line="276" w:lineRule="auto" w:before="0" w:after="0"/>
            </w:pPr>
            <w:r/>
            <w:r>
              <w:rPr>
                <w:rFonts w:ascii="Figtree" w:hAnsi="Figtree"/>
                <w:b w:val="0"/>
                <w:i w:val="0"/>
                <w:sz w:val="20"/>
              </w:rPr>
              <w:t>Week 35</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100%</w:t>
            </w:r>
          </w:p>
        </w:tc>
        <w:tc>
          <w:tcPr>
            <w:tcW w:type="dxa" w:w="2436"/>
            <w:vAlign w:val="center"/>
          </w:tcPr>
          <w:p>
            <w:pPr>
              <w:spacing w:line="276" w:lineRule="auto" w:before="0" w:after="0"/>
            </w:pPr>
            <w:r/>
            <w:r>
              <w:rPr>
                <w:rFonts w:ascii="Figtree" w:hAnsi="Figtree"/>
                <w:b/>
                <w:i w:val="0"/>
                <w:sz w:val="20"/>
              </w:rPr>
              <w:t>$320,000</w:t>
            </w:r>
          </w:p>
        </w:tc>
        <w:tc>
          <w:tcPr>
            <w:tcW w:type="dxa" w:w="2436"/>
            <w:vAlign w:val="center"/>
          </w:tcPr>
          <w:p>
            <w:pPr>
              <w:spacing w:line="276" w:lineRule="auto" w:before="0" w:after="0"/>
            </w:pPr>
            <w:r/>
          </w:p>
        </w:tc>
      </w:tr>
    </w:tbl>
    <w:p>
      <w:pPr>
        <w:spacing w:before="0" w:after="0" w:line="120" w:lineRule="exact"/>
      </w:pPr>
    </w:p>
    <w:p>
      <w:pPr>
        <w:pStyle w:val="H3"/>
        <w:numPr>
          <w:ilvl w:val="2"/>
          <w:numId w:val="1"/>
        </w:numPr>
      </w:pPr>
      <w:r>
        <w:t>Terms</w:t>
      </w:r>
    </w:p>
    <w:p>
      <w:r>
        <w:rPr>
          <w:rFonts w:ascii="Figtree" w:hAnsi="Figtree"/>
          <w:b w:val="0"/>
          <w:i w:val="0"/>
          <w:sz w:val="22"/>
        </w:rPr>
        <w:t>Net 30 days. USD denomination. Multi-year commitment discount applied at contract signature. 3-year initial term. 90-day renewal notice. Data Processing Agreement (DPA) covering POPIA obligations included as MSA schedule.</w:t>
      </w:r>
    </w:p>
    <w:p>
      <w:r>
        <w:br w:type="page"/>
      </w:r>
    </w:p>
    <w:p>
      <w:pPr>
        <w:pStyle w:val="H2"/>
        <w:numPr>
          <w:ilvl w:val="1"/>
          <w:numId w:val="1"/>
        </w:numPr>
      </w:pPr>
      <w:r>
        <w:t>Value Realisation and ROI Analysis</w:t>
      </w:r>
    </w:p>
    <w:p>
      <w:pPr>
        <w:pStyle w:val="H3"/>
        <w:numPr>
          <w:ilvl w:val="2"/>
          <w:numId w:val="1"/>
        </w:numPr>
      </w:pPr>
      <w:r>
        <w:t>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1"/>
        <w:gridCol w:w="4329"/>
        <w:gridCol w:w="21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Benefit Estimate</w:t>
            </w:r>
          </w:p>
        </w:tc>
      </w:tr>
      <w:tr>
        <w:trPr>
          <w:trHeight w:val="425" w:hRule="atLeast"/>
        </w:trPr>
        <w:tc>
          <w:tcPr>
            <w:tcW w:type="dxa" w:w="3249"/>
            <w:vAlign w:val="center"/>
          </w:tcPr>
          <w:p>
            <w:pPr>
              <w:spacing w:line="276" w:lineRule="auto" w:before="0" w:after="0"/>
            </w:pPr>
            <w:r/>
            <w:r>
              <w:rPr>
                <w:rFonts w:ascii="Figtree" w:hAnsi="Figtree"/>
                <w:b w:val="0"/>
                <w:i w:val="0"/>
                <w:sz w:val="20"/>
              </w:rPr>
              <w:t>Investor reporting automation</w:t>
            </w:r>
          </w:p>
        </w:tc>
        <w:tc>
          <w:tcPr>
            <w:tcW w:type="dxa" w:w="3249"/>
            <w:vAlign w:val="center"/>
          </w:tcPr>
          <w:p>
            <w:pPr>
              <w:spacing w:line="276" w:lineRule="auto" w:before="0" w:after="0"/>
            </w:pPr>
            <w:r/>
            <w:r>
              <w:rPr>
                <w:rFonts w:ascii="Figtree" w:hAnsi="Figtree"/>
                <w:b w:val="0"/>
                <w:i w:val="0"/>
                <w:sz w:val="20"/>
              </w:rPr>
              <w:t>On-chain records replace manual data assembly</w:t>
            </w:r>
          </w:p>
        </w:tc>
        <w:tc>
          <w:tcPr>
            <w:tcW w:type="dxa" w:w="3249"/>
            <w:vAlign w:val="center"/>
          </w:tcPr>
          <w:p>
            <w:pPr>
              <w:spacing w:line="276" w:lineRule="auto" w:before="0" w:after="0"/>
            </w:pPr>
            <w:r/>
            <w:r>
              <w:rPr>
                <w:rFonts w:ascii="Figtree" w:hAnsi="Figtree"/>
                <w:b w:val="0"/>
                <w:i w:val="0"/>
                <w:sz w:val="20"/>
              </w:rPr>
              <w:t>$60,000-$120,000</w:t>
            </w:r>
          </w:p>
        </w:tc>
      </w:tr>
      <w:tr>
        <w:trPr>
          <w:trHeight w:val="425" w:hRule="atLeast"/>
        </w:trPr>
        <w:tc>
          <w:tcPr>
            <w:tcW w:type="dxa" w:w="3249"/>
            <w:vAlign w:val="center"/>
          </w:tcPr>
          <w:p>
            <w:pPr>
              <w:spacing w:line="276" w:lineRule="auto" w:before="0" w:after="0"/>
            </w:pPr>
            <w:r/>
            <w:r>
              <w:rPr>
                <w:rFonts w:ascii="Figtree" w:hAnsi="Figtree"/>
                <w:b w:val="0"/>
                <w:i w:val="0"/>
                <w:sz w:val="20"/>
              </w:rPr>
              <w:t>Waterfall calculation automation</w:t>
            </w:r>
          </w:p>
        </w:tc>
        <w:tc>
          <w:tcPr>
            <w:tcW w:type="dxa" w:w="3249"/>
            <w:vAlign w:val="center"/>
          </w:tcPr>
          <w:p>
            <w:pPr>
              <w:spacing w:line="276" w:lineRule="auto" w:before="0" w:after="0"/>
            </w:pPr>
            <w:r/>
            <w:r>
              <w:rPr>
                <w:rFonts w:ascii="Figtree" w:hAnsi="Figtree"/>
                <w:b w:val="0"/>
                <w:i w:val="0"/>
                <w:sz w:val="20"/>
              </w:rPr>
              <w:t>Smart contract distribution replaces manual calculation</w:t>
            </w:r>
          </w:p>
        </w:tc>
        <w:tc>
          <w:tcPr>
            <w:tcW w:type="dxa" w:w="3249"/>
            <w:vAlign w:val="center"/>
          </w:tcPr>
          <w:p>
            <w:pPr>
              <w:spacing w:line="276" w:lineRule="auto" w:before="0" w:after="0"/>
            </w:pPr>
            <w:r/>
            <w:r>
              <w:rPr>
                <w:rFonts w:ascii="Figtree" w:hAnsi="Figtree"/>
                <w:b w:val="0"/>
                <w:i w:val="0"/>
                <w:sz w:val="20"/>
              </w:rPr>
              <w:t>$30,000-$80,000</w:t>
            </w:r>
          </w:p>
        </w:tc>
      </w:tr>
      <w:tr>
        <w:trPr>
          <w:trHeight w:val="425" w:hRule="atLeast"/>
        </w:trPr>
        <w:tc>
          <w:tcPr>
            <w:tcW w:type="dxa" w:w="3249"/>
            <w:vAlign w:val="center"/>
          </w:tcPr>
          <w:p>
            <w:pPr>
              <w:spacing w:line="276" w:lineRule="auto" w:before="0" w:after="0"/>
            </w:pPr>
            <w:r/>
            <w:r>
              <w:rPr>
                <w:rFonts w:ascii="Figtree" w:hAnsi="Figtree"/>
                <w:b w:val="0"/>
                <w:i w:val="0"/>
                <w:sz w:val="20"/>
              </w:rPr>
              <w:t>DFI governance overhead reduction</w:t>
            </w:r>
          </w:p>
        </w:tc>
        <w:tc>
          <w:tcPr>
            <w:tcW w:type="dxa" w:w="3249"/>
            <w:vAlign w:val="center"/>
          </w:tcPr>
          <w:p>
            <w:pPr>
              <w:spacing w:line="276" w:lineRule="auto" w:before="0" w:after="0"/>
            </w:pPr>
            <w:r/>
            <w:r>
              <w:rPr>
                <w:rFonts w:ascii="Figtree" w:hAnsi="Figtree"/>
                <w:b w:val="0"/>
                <w:i w:val="0"/>
                <w:sz w:val="20"/>
              </w:rPr>
              <w:t>Verifiable records reduce DFI audit requests</w:t>
            </w:r>
          </w:p>
        </w:tc>
        <w:tc>
          <w:tcPr>
            <w:tcW w:type="dxa" w:w="3249"/>
            <w:vAlign w:val="center"/>
          </w:tcPr>
          <w:p>
            <w:pPr>
              <w:spacing w:line="276" w:lineRule="auto" w:before="0" w:after="0"/>
            </w:pPr>
            <w:r/>
            <w:r>
              <w:rPr>
                <w:rFonts w:ascii="Figtree" w:hAnsi="Figtree"/>
                <w:b w:val="0"/>
                <w:i w:val="0"/>
                <w:sz w:val="20"/>
              </w:rPr>
              <w:t>$40,000-$100,000</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regulatory evidence</w:t>
            </w:r>
          </w:p>
        </w:tc>
        <w:tc>
          <w:tcPr>
            <w:tcW w:type="dxa" w:w="3249"/>
            <w:vAlign w:val="center"/>
          </w:tcPr>
          <w:p>
            <w:pPr>
              <w:spacing w:line="276" w:lineRule="auto" w:before="0" w:after="0"/>
            </w:pPr>
            <w:r/>
            <w:r>
              <w:rPr>
                <w:rFonts w:ascii="Figtree" w:hAnsi="Figtree"/>
                <w:b w:val="0"/>
                <w:i w:val="0"/>
                <w:sz w:val="20"/>
              </w:rPr>
              <w:t>Single API replaces multiple evidence assembly</w:t>
            </w:r>
          </w:p>
        </w:tc>
        <w:tc>
          <w:tcPr>
            <w:tcW w:type="dxa" w:w="3249"/>
            <w:vAlign w:val="center"/>
          </w:tcPr>
          <w:p>
            <w:pPr>
              <w:spacing w:line="276" w:lineRule="auto" w:before="0" w:after="0"/>
            </w:pPr>
            <w:r/>
            <w:r>
              <w:rPr>
                <w:rFonts w:ascii="Figtree" w:hAnsi="Figtree"/>
                <w:b w:val="0"/>
                <w:i w:val="0"/>
                <w:sz w:val="20"/>
              </w:rPr>
              <w:t>$30,000-$70,000</w:t>
            </w:r>
          </w:p>
        </w:tc>
      </w:tr>
      <w:tr>
        <w:trPr>
          <w:trHeight w:val="425" w:hRule="atLeast"/>
        </w:trPr>
        <w:tc>
          <w:tcPr>
            <w:tcW w:type="dxa" w:w="3249"/>
            <w:vAlign w:val="center"/>
          </w:tcPr>
          <w:p>
            <w:pPr>
              <w:spacing w:line="276" w:lineRule="auto" w:before="0" w:after="0"/>
            </w:pPr>
            <w:r/>
            <w:r>
              <w:rPr>
                <w:rFonts w:ascii="Figtree" w:hAnsi="Figtree"/>
                <w:b w:val="0"/>
                <w:i w:val="0"/>
                <w:sz w:val="20"/>
              </w:rPr>
              <w:t>New funder acquisition</w:t>
            </w:r>
          </w:p>
        </w:tc>
        <w:tc>
          <w:tcPr>
            <w:tcW w:type="dxa" w:w="3249"/>
            <w:vAlign w:val="center"/>
          </w:tcPr>
          <w:p>
            <w:pPr>
              <w:spacing w:line="276" w:lineRule="auto" w:before="0" w:after="0"/>
            </w:pPr>
            <w:r/>
            <w:r>
              <w:rPr>
                <w:rFonts w:ascii="Figtree" w:hAnsi="Figtree"/>
                <w:b w:val="0"/>
                <w:i w:val="0"/>
                <w:sz w:val="20"/>
              </w:rPr>
              <w:t>Improved transparency attracts additional institutional capital</w:t>
            </w:r>
          </w:p>
        </w:tc>
        <w:tc>
          <w:tcPr>
            <w:tcW w:type="dxa" w:w="3249"/>
            <w:vAlign w:val="center"/>
          </w:tcPr>
          <w:p>
            <w:pPr>
              <w:spacing w:line="276" w:lineRule="auto" w:before="0" w:after="0"/>
            </w:pPr>
            <w:r/>
            <w:r>
              <w:rPr>
                <w:rFonts w:ascii="Figtree" w:hAnsi="Figtree"/>
                <w:b w:val="0"/>
                <w:i w:val="0"/>
                <w:sz w:val="20"/>
              </w:rPr>
              <w:t>Revenue upside (not quantified)</w:t>
            </w:r>
          </w:p>
        </w:tc>
      </w:tr>
    </w:tbl>
    <w:p>
      <w:pPr>
        <w:spacing w:before="0" w:after="0" w:line="120" w:lineRule="exact"/>
      </w:pPr>
    </w:p>
    <w:p>
      <w:r>
        <w:rPr>
          <w:rFonts w:ascii="Figtree" w:hAnsi="Figtree"/>
          <w:b/>
          <w:i w:val="0"/>
          <w:sz w:val="22"/>
        </w:rPr>
        <w:t>Conservative annual benefit: $160,000-$370,000</w:t>
      </w:r>
    </w:p>
    <w:p>
      <w:pPr>
        <w:pStyle w:val="H3"/>
        <w:numPr>
          <w:ilvl w:val="2"/>
          <w:numId w:val="1"/>
        </w:numPr>
      </w:pPr>
      <w:r>
        <w:t>Payback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2396"/>
        <w:gridCol w:w="1882"/>
        <w:gridCol w:w="27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Benefit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3-Year Net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w:t>
            </w:r>
          </w:p>
        </w:tc>
      </w:tr>
      <w:tr>
        <w:trPr>
          <w:trHeight w:val="425" w:hRule="atLeast"/>
        </w:trPr>
        <w:tc>
          <w:tcPr>
            <w:tcW w:type="dxa" w:w="2436"/>
            <w:vAlign w:val="center"/>
          </w:tcPr>
          <w:p>
            <w:pPr>
              <w:spacing w:line="276" w:lineRule="auto" w:before="0" w:after="0"/>
            </w:pPr>
            <w:r/>
            <w:r>
              <w:rPr>
                <w:rFonts w:ascii="Figtree" w:hAnsi="Figtree"/>
                <w:b w:val="0"/>
                <w:i w:val="0"/>
                <w:sz w:val="20"/>
              </w:rPr>
              <w:t>Conservative</w:t>
            </w:r>
          </w:p>
        </w:tc>
        <w:tc>
          <w:tcPr>
            <w:tcW w:type="dxa" w:w="2436"/>
            <w:vAlign w:val="center"/>
          </w:tcPr>
          <w:p>
            <w:pPr>
              <w:spacing w:line="276" w:lineRule="auto" w:before="0" w:after="0"/>
            </w:pPr>
            <w:r/>
            <w:r>
              <w:rPr>
                <w:rFonts w:ascii="Figtree" w:hAnsi="Figtree"/>
                <w:b w:val="0"/>
                <w:i w:val="0"/>
                <w:sz w:val="20"/>
              </w:rPr>
              <w:t>$160,000</w:t>
            </w:r>
          </w:p>
        </w:tc>
        <w:tc>
          <w:tcPr>
            <w:tcW w:type="dxa" w:w="2436"/>
            <w:vAlign w:val="center"/>
          </w:tcPr>
          <w:p>
            <w:pPr>
              <w:spacing w:line="276" w:lineRule="auto" w:before="0" w:after="0"/>
            </w:pPr>
            <w:r/>
            <w:r>
              <w:rPr>
                <w:rFonts w:ascii="Figtree" w:hAnsi="Figtree"/>
                <w:b w:val="0"/>
                <w:i w:val="0"/>
                <w:sz w:val="20"/>
              </w:rPr>
              <w:t>-$1,020,000</w:t>
            </w:r>
          </w:p>
        </w:tc>
        <w:tc>
          <w:tcPr>
            <w:tcW w:type="dxa" w:w="2436"/>
            <w:vAlign w:val="center"/>
          </w:tcPr>
          <w:p>
            <w:pPr>
              <w:spacing w:line="276" w:lineRule="auto" w:before="0" w:after="0"/>
            </w:pPr>
            <w:r/>
            <w:r>
              <w:rPr>
                <w:rFonts w:ascii="Figtree" w:hAnsi="Figtree"/>
                <w:b w:val="0"/>
                <w:i w:val="0"/>
                <w:sz w:val="20"/>
              </w:rPr>
              <w:t>Beyond programme</w:t>
            </w:r>
          </w:p>
        </w:tc>
      </w:tr>
      <w:tr>
        <w:trPr>
          <w:trHeight w:val="425" w:hRule="atLeast"/>
        </w:trPr>
        <w:tc>
          <w:tcPr>
            <w:tcW w:type="dxa" w:w="2436"/>
            <w:vAlign w:val="center"/>
          </w:tcPr>
          <w:p>
            <w:pPr>
              <w:spacing w:line="276" w:lineRule="auto" w:before="0" w:after="0"/>
            </w:pPr>
            <w:r/>
            <w:r>
              <w:rPr>
                <w:rFonts w:ascii="Figtree" w:hAnsi="Figtree"/>
                <w:b w:val="0"/>
                <w:i w:val="0"/>
                <w:sz w:val="20"/>
              </w:rPr>
              <w:t>Expected</w:t>
            </w:r>
          </w:p>
        </w:tc>
        <w:tc>
          <w:tcPr>
            <w:tcW w:type="dxa" w:w="2436"/>
            <w:vAlign w:val="center"/>
          </w:tcPr>
          <w:p>
            <w:pPr>
              <w:spacing w:line="276" w:lineRule="auto" w:before="0" w:after="0"/>
            </w:pPr>
            <w:r/>
            <w:r>
              <w:rPr>
                <w:rFonts w:ascii="Figtree" w:hAnsi="Figtree"/>
                <w:b w:val="0"/>
                <w:i w:val="0"/>
                <w:sz w:val="20"/>
              </w:rPr>
              <w:t>$280,000</w:t>
            </w:r>
          </w:p>
        </w:tc>
        <w:tc>
          <w:tcPr>
            <w:tcW w:type="dxa" w:w="2436"/>
            <w:vAlign w:val="center"/>
          </w:tcPr>
          <w:p>
            <w:pPr>
              <w:spacing w:line="276" w:lineRule="auto" w:before="0" w:after="0"/>
            </w:pPr>
            <w:r/>
            <w:r>
              <w:rPr>
                <w:rFonts w:ascii="Figtree" w:hAnsi="Figtree"/>
                <w:b w:val="0"/>
                <w:i w:val="0"/>
                <w:sz w:val="20"/>
              </w:rPr>
              <w:t>-$660,000</w:t>
            </w:r>
          </w:p>
        </w:tc>
        <w:tc>
          <w:tcPr>
            <w:tcW w:type="dxa" w:w="2436"/>
            <w:vAlign w:val="center"/>
          </w:tcPr>
          <w:p>
            <w:pPr>
              <w:spacing w:line="276" w:lineRule="auto" w:before="0" w:after="0"/>
            </w:pPr>
            <w:r/>
            <w:r>
              <w:rPr>
                <w:rFonts w:ascii="Figtree" w:hAnsi="Figtree"/>
                <w:b w:val="0"/>
                <w:i w:val="0"/>
                <w:sz w:val="20"/>
              </w:rPr>
              <w:t>5+ years</w:t>
            </w:r>
          </w:p>
        </w:tc>
      </w:tr>
      <w:tr>
        <w:trPr>
          <w:trHeight w:val="425" w:hRule="atLeast"/>
        </w:trPr>
        <w:tc>
          <w:tcPr>
            <w:tcW w:type="dxa" w:w="2436"/>
            <w:vAlign w:val="center"/>
          </w:tcPr>
          <w:p>
            <w:pPr>
              <w:spacing w:line="276" w:lineRule="auto" w:before="0" w:after="0"/>
            </w:pPr>
            <w:r/>
            <w:r>
              <w:rPr>
                <w:rFonts w:ascii="Figtree" w:hAnsi="Figtree"/>
                <w:b w:val="0"/>
                <w:i w:val="0"/>
                <w:sz w:val="20"/>
              </w:rPr>
              <w:t>Upside</w:t>
            </w:r>
          </w:p>
        </w:tc>
        <w:tc>
          <w:tcPr>
            <w:tcW w:type="dxa" w:w="2436"/>
            <w:vAlign w:val="center"/>
          </w:tcPr>
          <w:p>
            <w:pPr>
              <w:spacing w:line="276" w:lineRule="auto" w:before="0" w:after="0"/>
            </w:pPr>
            <w:r/>
            <w:r>
              <w:rPr>
                <w:rFonts w:ascii="Figtree" w:hAnsi="Figtree"/>
                <w:b w:val="0"/>
                <w:i w:val="0"/>
                <w:sz w:val="20"/>
              </w:rPr>
              <w:t>$500,000</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3+ years</w:t>
            </w:r>
          </w:p>
        </w:tc>
      </w:tr>
    </w:tbl>
    <w:p>
      <w:pPr>
        <w:spacing w:before="0" w:after="0" w:line="120" w:lineRule="exact"/>
      </w:pPr>
    </w:p>
    <w:p>
      <w:r>
        <w:rPr>
          <w:rFonts w:ascii="Figtree" w:hAnsi="Figtree"/>
          <w:b w:val="0"/>
          <w:i w:val="0"/>
          <w:sz w:val="22"/>
        </w:rPr>
        <w:t>The ROI case for JUMO is primarily strategic (improved institutional funder relationships and regulatory defensibility) rather than near-term operational cost recovery. A value workshop with JUMO's treasury and investor relations teams would refine the benefit estimates, particularly around DFI governance overhead and new capital attraction potential.</w:t>
      </w:r>
    </w:p>
    <w:p>
      <w:r>
        <w:br w:type="page"/>
      </w:r>
    </w:p>
    <w:p>
      <w:pPr>
        <w:pStyle w:val="H2"/>
        <w:numPr>
          <w:ilvl w:val="1"/>
          <w:numId w:val="1"/>
        </w:numPr>
      </w:pPr>
      <w:r>
        <w:t>Commercial Assumptions and Dependencies</w:t>
      </w:r>
    </w:p>
    <w:p>
      <w:pPr>
        <w:pStyle w:val="ListParagraph"/>
        <w:numPr>
          <w:ilvl w:val="0"/>
          <w:numId w:val="4"/>
        </w:numPr>
      </w:pPr>
      <w:r>
        <w:rPr>
          <w:rFonts w:ascii="Figtree" w:hAnsi="Figtree"/>
          <w:b w:val="0"/>
          <w:i w:val="0"/>
          <w:sz w:val="22"/>
        </w:rPr>
        <w:t>South Africa AWS af-south-1 deployment for POPIA compliance; JUMO provides cloud account or uses SettleMint-managed hosting</w:t>
      </w:r>
    </w:p>
    <w:p>
      <w:pPr>
        <w:pStyle w:val="ListParagraph"/>
        <w:numPr>
          <w:ilvl w:val="0"/>
          <w:numId w:val="4"/>
        </w:numPr>
      </w:pPr>
      <w:r>
        <w:rPr>
          <w:rFonts w:ascii="Figtree" w:hAnsi="Figtree"/>
          <w:b w:val="0"/>
          <w:i w:val="0"/>
          <w:sz w:val="22"/>
        </w:rPr>
        <w:t>JUMO provides dedicated integration engineers during Phases 3 and 4</w:t>
      </w:r>
    </w:p>
    <w:p>
      <w:pPr>
        <w:pStyle w:val="ListParagraph"/>
        <w:numPr>
          <w:ilvl w:val="0"/>
          <w:numId w:val="4"/>
        </w:numPr>
      </w:pPr>
      <w:r>
        <w:rPr>
          <w:rFonts w:ascii="Figtree" w:hAnsi="Figtree"/>
          <w:b w:val="0"/>
          <w:i w:val="0"/>
          <w:sz w:val="22"/>
        </w:rPr>
        <w:t>Initial funder KYC data is available and accurate for onboarding to identity registry</w:t>
      </w:r>
    </w:p>
    <w:p>
      <w:pPr>
        <w:pStyle w:val="ListParagraph"/>
        <w:numPr>
          <w:ilvl w:val="0"/>
          <w:numId w:val="4"/>
        </w:numPr>
      </w:pPr>
      <w:r>
        <w:rPr>
          <w:rFonts w:ascii="Figtree" w:hAnsi="Figtree"/>
          <w:b w:val="0"/>
          <w:i w:val="0"/>
          <w:sz w:val="22"/>
        </w:rPr>
        <w:t>Legal opinion on token characterisation in SA and Kenya is JUMO's responsibility</w:t>
      </w:r>
    </w:p>
    <w:p>
      <w:pPr>
        <w:pStyle w:val="ListParagraph"/>
        <w:numPr>
          <w:ilvl w:val="0"/>
          <w:numId w:val="4"/>
        </w:numPr>
      </w:pPr>
      <w:r>
        <w:rPr>
          <w:rFonts w:ascii="Figtree" w:hAnsi="Figtree"/>
          <w:b w:val="0"/>
          <w:i w:val="0"/>
          <w:sz w:val="22"/>
        </w:rPr>
        <w:t>Phase 2 (Kenya/Ghana/other markets) scope is a separate expansion change order after Phase 1 completion, estimated at $50,000-$80,000 additional implementation per market group</w:t>
      </w:r>
    </w:p>
    <w:p>
      <w:r>
        <w:br w:type="page"/>
      </w:r>
    </w:p>
    <w:p>
      <w:pPr>
        <w:pStyle w:val="H2"/>
        <w:numPr>
          <w:ilvl w:val="1"/>
          <w:numId w:val="1"/>
        </w:numPr>
      </w:pPr>
      <w:r>
        <w:t>Contractual Framework Overview</w:t>
      </w:r>
    </w:p>
    <w:p>
      <w:r>
        <w:rPr>
          <w:rFonts w:ascii="Figtree" w:hAnsi="Figtree"/>
          <w:b w:val="0"/>
          <w:i w:val="0"/>
          <w:sz w:val="22"/>
        </w:rPr>
        <w:t>Two agreements: Master Subscription Agreement (platform license, IP, data handling including DPA for POPIA, confidentiality, liability) and Statement of Work (implementation scope, deliverables, milestones).</w:t>
      </w:r>
    </w:p>
    <w:p>
      <w:r>
        <w:rPr>
          <w:rFonts w:ascii="Figtree" w:hAnsi="Figtree"/>
          <w:b w:val="0"/>
          <w:i w:val="0"/>
          <w:sz w:val="22"/>
        </w:rPr>
        <w:t>DALP IP: SettleMint's. All JUMO data, pool records, funder data, and on-chain token state: JUMO's. Data Processing Agreement: JUMO is data controller; SettleMint is data processor. POPIA compliance obligations are defined in the DPA schedule.</w:t>
      </w:r>
    </w:p>
    <w:p>
      <w:r>
        <w:rPr>
          <w:rFonts w:ascii="Figtree" w:hAnsi="Figtree"/>
          <w:b w:val="0"/>
          <w:i w:val="0"/>
          <w:sz w:val="22"/>
        </w:rPr>
        <w:t>Liability cap: 12 months of preceding subscription fees. Mutual consequential damages exclusion.</w:t>
      </w:r>
    </w:p>
    <w:p>
      <w:r>
        <w:rPr>
          <w:rFonts w:ascii="Figtree" w:hAnsi="Figtree"/>
          <w:b w:val="0"/>
          <w:i w:val="0"/>
          <w:sz w:val="22"/>
        </w:rPr>
        <w:t>Source code escrow: available upon request as MSA addendum.</w:t>
      </w:r>
    </w:p>
    <w:p>
      <w:r>
        <w:br w:type="page"/>
      </w:r>
    </w:p>
    <w:p>
      <w:pPr>
        <w:pStyle w:val="H2"/>
        <w:numPr>
          <w:ilvl w:val="1"/>
          <w:numId w:val="1"/>
        </w:numPr>
      </w:pPr>
      <w:r>
        <w:t>Appendix A: Detailed Pricing Schedule</w:t>
      </w:r>
    </w:p>
    <w:p>
      <w:pPr>
        <w:pStyle w:val="H3"/>
        <w:numPr>
          <w:ilvl w:val="2"/>
          <w:numId w:val="1"/>
        </w:numPr>
      </w:pPr>
      <w:r>
        <w:t>Annual Recurring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0"/>
        <w:gridCol w:w="1727"/>
        <w:gridCol w:w="701"/>
        <w:gridCol w:w="1328"/>
        <w:gridCol w:w="15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Line 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 Price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Total</w:t>
            </w:r>
          </w:p>
        </w:tc>
      </w:tr>
      <w:tr>
        <w:trPr>
          <w:trHeight w:val="425" w:hRule="atLeast"/>
        </w:trPr>
        <w:tc>
          <w:tcPr>
            <w:tcW w:type="dxa" w:w="1949"/>
            <w:vAlign w:val="center"/>
          </w:tcPr>
          <w:p>
            <w:pPr>
              <w:spacing w:line="276" w:lineRule="auto" w:before="0" w:after="0"/>
            </w:pPr>
            <w:r/>
            <w:r>
              <w:rPr>
                <w:rFonts w:ascii="Figtree" w:hAnsi="Figtree"/>
                <w:b w:val="0"/>
                <w:i w:val="0"/>
                <w:sz w:val="20"/>
              </w:rPr>
              <w:t>DALP Enterprise License</w:t>
            </w:r>
          </w:p>
        </w:tc>
        <w:tc>
          <w:tcPr>
            <w:tcW w:type="dxa" w:w="1949"/>
            <w:vAlign w:val="center"/>
          </w:tcPr>
          <w:p>
            <w:pPr>
              <w:spacing w:line="276" w:lineRule="auto" w:before="0" w:after="0"/>
            </w:pPr>
            <w:r/>
            <w:r>
              <w:rPr>
                <w:rFonts w:ascii="Figtree" w:hAnsi="Figtree"/>
                <w:b w:val="0"/>
                <w:i w:val="0"/>
                <w:sz w:val="20"/>
              </w:rPr>
              <w:t>Platform/year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$220,000</w:t>
            </w:r>
          </w:p>
        </w:tc>
        <w:tc>
          <w:tcPr>
            <w:tcW w:type="dxa" w:w="1949"/>
            <w:vAlign w:val="center"/>
          </w:tcPr>
          <w:p>
            <w:pPr>
              <w:spacing w:line="276" w:lineRule="auto" w:before="0" w:after="0"/>
            </w:pPr>
            <w:r/>
            <w:r>
              <w:rPr>
                <w:rFonts w:ascii="Figtree" w:hAnsi="Figtree"/>
                <w:b w:val="0"/>
                <w:i w:val="0"/>
                <w:sz w:val="20"/>
              </w:rPr>
              <w:t>$220,000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(UAT)</w:t>
            </w:r>
          </w:p>
        </w:tc>
        <w:tc>
          <w:tcPr>
            <w:tcW w:type="dxa" w:w="1949"/>
            <w:vAlign w:val="center"/>
          </w:tcPr>
          <w:p>
            <w:pPr>
              <w:spacing w:line="276" w:lineRule="auto" w:before="0" w:after="0"/>
            </w:pPr>
            <w:r/>
            <w:r>
              <w:rPr>
                <w:rFonts w:ascii="Figtree" w:hAnsi="Figtree"/>
                <w:b w:val="0"/>
                <w:i w:val="0"/>
                <w:sz w:val="20"/>
              </w:rPr>
              <w:t>Env/year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(DR)</w:t>
            </w:r>
          </w:p>
        </w:tc>
        <w:tc>
          <w:tcPr>
            <w:tcW w:type="dxa" w:w="1949"/>
            <w:vAlign w:val="center"/>
          </w:tcPr>
          <w:p>
            <w:pPr>
              <w:spacing w:line="276" w:lineRule="auto" w:before="0" w:after="0"/>
            </w:pPr>
            <w:r/>
            <w:r>
              <w:rPr>
                <w:rFonts w:ascii="Figtree" w:hAnsi="Figtree"/>
                <w:b w:val="0"/>
                <w:i w:val="0"/>
                <w:sz w:val="20"/>
              </w:rPr>
              <w:t>Env/year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Tier/year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r>
      <w:tr>
        <w:trPr>
          <w:trHeight w:val="425" w:hRule="atLeast"/>
        </w:trPr>
        <w:tc>
          <w:tcPr>
            <w:tcW w:type="dxa" w:w="1949"/>
            <w:vAlign w:val="center"/>
          </w:tcPr>
          <w:p>
            <w:pPr>
              <w:spacing w:line="276" w:lineRule="auto" w:before="0" w:after="0"/>
            </w:pPr>
            <w:r/>
            <w:r>
              <w:rPr>
                <w:rFonts w:ascii="Figtree" w:hAnsi="Figtree"/>
                <w:b/>
                <w:i w:val="0"/>
                <w:sz w:val="20"/>
              </w:rPr>
              <w:t>Total Annual Recurring</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$355,000</w:t>
            </w:r>
          </w:p>
        </w:tc>
      </w:tr>
    </w:tbl>
    <w:p>
      <w:pPr>
        <w:spacing w:before="0" w:after="0" w:line="120" w:lineRule="exact"/>
      </w:pPr>
    </w:p>
    <w:p>
      <w:pPr>
        <w:pStyle w:val="H3"/>
        <w:numPr>
          <w:ilvl w:val="2"/>
          <w:numId w:val="1"/>
        </w:numPr>
      </w:pPr>
      <w:r>
        <w:t>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7"/>
        <w:gridCol w:w="5018"/>
        <w:gridCol w:w="23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$45,000</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$50,000</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$75,000</w:t>
            </w:r>
          </w:p>
        </w:tc>
      </w:tr>
      <w:tr>
        <w:trPr>
          <w:trHeight w:val="425" w:hRule="atLeast"/>
        </w:trPr>
        <w:tc>
          <w:tcPr>
            <w:tcW w:type="dxa" w:w="3249"/>
            <w:vAlign w:val="center"/>
          </w:tcPr>
          <w:p>
            <w:pPr>
              <w:spacing w:line="276" w:lineRule="auto" w:before="0" w:after="0"/>
            </w:pPr>
            <w:r/>
            <w:r>
              <w:rPr>
                <w:rFonts w:ascii="Figtree" w:hAnsi="Figtree"/>
                <w:b w:val="0"/>
                <w:i w:val="0"/>
                <w:sz w:val="20"/>
              </w:rPr>
              <w:t>Phase 5</w:t>
            </w:r>
          </w:p>
        </w:tc>
        <w:tc>
          <w:tcPr>
            <w:tcW w:type="dxa" w:w="3249"/>
            <w:vAlign w:val="center"/>
          </w:tcPr>
          <w:p>
            <w:pPr>
              <w:spacing w:line="276" w:lineRule="auto" w:before="0" w:after="0"/>
            </w:pPr>
            <w:r/>
            <w:r>
              <w:rPr>
                <w:rFonts w:ascii="Figtree" w:hAnsi="Figtree"/>
                <w:b w:val="0"/>
                <w:i w:val="0"/>
                <w:sz w:val="20"/>
              </w:rPr>
              <w:t>Testing and UAT</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6</w:t>
            </w:r>
          </w:p>
        </w:tc>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$30,000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$320,000</w:t>
            </w:r>
          </w:p>
        </w:tc>
      </w:tr>
    </w:tbl>
    <w:p>
      <w:pPr>
        <w:spacing w:before="0" w:after="0" w:line="120" w:lineRule="exact"/>
      </w:pPr>
    </w:p>
    <w:p>
      <w:r>
        <w:br w:type="page"/>
      </w:r>
    </w:p>
    <w:p>
      <w:pPr>
        <w:pStyle w:val="H2"/>
        <w:numPr>
          <w:ilvl w:val="1"/>
          <w:numId w:val="1"/>
        </w:numPr>
      </w:pPr>
      <w:r>
        <w:t>Appendix B: Implementation Milestone and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8"/>
        <w:gridCol w:w="4972"/>
        <w:gridCol w:w="717"/>
        <w:gridCol w:w="1065"/>
        <w:gridCol w:w="71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1949"/>
            <w:vAlign w:val="center"/>
          </w:tcPr>
          <w:p>
            <w:pPr>
              <w:spacing w:line="276" w:lineRule="auto" w:before="0" w:after="0"/>
            </w:pPr>
            <w:r/>
            <w:r>
              <w:rPr>
                <w:rFonts w:ascii="Figtree" w:hAnsi="Figtree"/>
                <w:b w:val="0"/>
                <w:i w:val="0"/>
                <w:sz w:val="20"/>
              </w:rPr>
              <w:t>Contract execution</w:t>
            </w:r>
          </w:p>
        </w:tc>
        <w:tc>
          <w:tcPr>
            <w:tcW w:type="dxa" w:w="1949"/>
            <w:vAlign w:val="center"/>
          </w:tcPr>
          <w:p>
            <w:pPr>
              <w:spacing w:line="276" w:lineRule="auto" w:before="0" w:after="0"/>
            </w:pPr>
            <w:r/>
            <w:r>
              <w:rPr>
                <w:rFonts w:ascii="Figtree" w:hAnsi="Figtree"/>
                <w:b w:val="0"/>
                <w:i w:val="0"/>
                <w:sz w:val="20"/>
              </w:rPr>
              <w:t>Signed MSA + SoW + DPA</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Week 0</w:t>
            </w:r>
          </w:p>
        </w:tc>
      </w:tr>
      <w:tr>
        <w:trPr>
          <w:trHeight w:val="425" w:hRule="atLeast"/>
        </w:trPr>
        <w:tc>
          <w:tcPr>
            <w:tcW w:type="dxa" w:w="1949"/>
            <w:vAlign w:val="center"/>
          </w:tcPr>
          <w:p>
            <w:pPr>
              <w:spacing w:line="276" w:lineRule="auto" w:before="0" w:after="0"/>
            </w:pPr>
            <w:r/>
            <w:r>
              <w:rPr>
                <w:rFonts w:ascii="Figtree" w:hAnsi="Figtree"/>
                <w:b w:val="0"/>
                <w:i w:val="0"/>
                <w:sz w:val="20"/>
              </w:rPr>
              <w:t>Phase 2 gate</w:t>
            </w:r>
          </w:p>
        </w:tc>
        <w:tc>
          <w:tcPr>
            <w:tcW w:type="dxa" w:w="1949"/>
            <w:vAlign w:val="center"/>
          </w:tcPr>
          <w:p>
            <w:pPr>
              <w:spacing w:line="276" w:lineRule="auto" w:before="0" w:after="0"/>
            </w:pPr>
            <w:r/>
            <w:r>
              <w:rPr>
                <w:rFonts w:ascii="Figtree" w:hAnsi="Figtree"/>
                <w:b w:val="0"/>
                <w:i w:val="0"/>
                <w:sz w:val="20"/>
              </w:rPr>
              <w:t>Infrastructure operational, POPIA architecture validated</w:t>
            </w:r>
          </w:p>
        </w:tc>
        <w:tc>
          <w:tcPr>
            <w:tcW w:type="dxa" w:w="1949"/>
            <w:vAlign w:val="center"/>
          </w:tcPr>
          <w:p>
            <w:pPr>
              <w:spacing w:line="276" w:lineRule="auto" w:before="0" w:after="0"/>
            </w:pPr>
            <w:r/>
            <w:r>
              <w:rPr>
                <w:rFonts w:ascii="Figtree" w:hAnsi="Figtree"/>
                <w:b w:val="0"/>
                <w:i w:val="0"/>
                <w:sz w:val="20"/>
              </w:rPr>
              <w:t>20%</w:t>
            </w:r>
          </w:p>
        </w:tc>
        <w:tc>
          <w:tcPr>
            <w:tcW w:type="dxa" w:w="1949"/>
            <w:vAlign w:val="center"/>
          </w:tcPr>
          <w:p>
            <w:pPr>
              <w:spacing w:line="276" w:lineRule="auto" w:before="0" w:after="0"/>
            </w:pPr>
            <w:r/>
            <w:r>
              <w:rPr>
                <w:rFonts w:ascii="Figtree" w:hAnsi="Figtree"/>
                <w:b w:val="0"/>
                <w:i w:val="0"/>
                <w:sz w:val="20"/>
              </w:rPr>
              <w:t>$64,000</w:t>
            </w:r>
          </w:p>
        </w:tc>
        <w:tc>
          <w:tcPr>
            <w:tcW w:type="dxa" w:w="1949"/>
            <w:vAlign w:val="center"/>
          </w:tcPr>
          <w:p>
            <w:pPr>
              <w:spacing w:line="276" w:lineRule="auto" w:before="0" w:after="0"/>
            </w:pPr>
            <w:r/>
            <w:r>
              <w:rPr>
                <w:rFonts w:ascii="Figtree" w:hAnsi="Figtree"/>
                <w:b w:val="0"/>
                <w:i w:val="0"/>
                <w:sz w:val="20"/>
              </w:rPr>
              <w:t>Week 9</w:t>
            </w:r>
          </w:p>
        </w:tc>
      </w:tr>
      <w:tr>
        <w:trPr>
          <w:trHeight w:val="425" w:hRule="atLeast"/>
        </w:trPr>
        <w:tc>
          <w:tcPr>
            <w:tcW w:type="dxa" w:w="1949"/>
            <w:vAlign w:val="center"/>
          </w:tcPr>
          <w:p>
            <w:pPr>
              <w:spacing w:line="276" w:lineRule="auto" w:before="0" w:after="0"/>
            </w:pPr>
            <w:r/>
            <w:r>
              <w:rPr>
                <w:rFonts w:ascii="Figtree" w:hAnsi="Figtree"/>
                <w:b w:val="0"/>
                <w:i w:val="0"/>
                <w:sz w:val="20"/>
              </w:rPr>
              <w:t>Phase 4 gate</w:t>
            </w:r>
          </w:p>
        </w:tc>
        <w:tc>
          <w:tcPr>
            <w:tcW w:type="dxa" w:w="1949"/>
            <w:vAlign w:val="center"/>
          </w:tcPr>
          <w:p>
            <w:pPr>
              <w:spacing w:line="276" w:lineRule="auto" w:before="0" w:after="0"/>
            </w:pPr>
            <w:r/>
            <w:r>
              <w:rPr>
                <w:rFonts w:ascii="Figtree" w:hAnsi="Figtree"/>
                <w:b w:val="0"/>
                <w:i w:val="0"/>
                <w:sz w:val="20"/>
              </w:rPr>
              <w:t>All integrations complete, POPIA testing passed</w:t>
            </w:r>
          </w:p>
        </w:tc>
        <w:tc>
          <w:tcPr>
            <w:tcW w:type="dxa" w:w="1949"/>
            <w:vAlign w:val="center"/>
          </w:tcPr>
          <w:p>
            <w:pPr>
              <w:spacing w:line="276" w:lineRule="auto" w:before="0" w:after="0"/>
            </w:pPr>
            <w:r/>
            <w:r>
              <w:rPr>
                <w:rFonts w:ascii="Figtree" w:hAnsi="Figtree"/>
                <w:b w:val="0"/>
                <w:i w:val="0"/>
                <w:sz w:val="20"/>
              </w:rPr>
              <w:t>30%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Week 20</w:t>
            </w:r>
          </w:p>
        </w:tc>
      </w:tr>
      <w:tr>
        <w:trPr>
          <w:trHeight w:val="425" w:hRule="atLeast"/>
        </w:trPr>
        <w:tc>
          <w:tcPr>
            <w:tcW w:type="dxa" w:w="1949"/>
            <w:vAlign w:val="center"/>
          </w:tcPr>
          <w:p>
            <w:pPr>
              <w:spacing w:line="276" w:lineRule="auto" w:before="0" w:after="0"/>
            </w:pPr>
            <w:r/>
            <w:r>
              <w:rPr>
                <w:rFonts w:ascii="Figtree" w:hAnsi="Figtree"/>
                <w:b w:val="0"/>
                <w:i w:val="0"/>
                <w:sz w:val="20"/>
              </w:rPr>
              <w:t>Phase 6 gate</w:t>
            </w:r>
          </w:p>
        </w:tc>
        <w:tc>
          <w:tcPr>
            <w:tcW w:type="dxa" w:w="1949"/>
            <w:vAlign w:val="center"/>
          </w:tcPr>
          <w:p>
            <w:pPr>
              <w:spacing w:line="276" w:lineRule="auto" w:before="0" w:after="0"/>
            </w:pPr>
            <w:r/>
            <w:r>
              <w:rPr>
                <w:rFonts w:ascii="Figtree" w:hAnsi="Figtree"/>
                <w:b w:val="0"/>
                <w:i w:val="0"/>
                <w:sz w:val="20"/>
              </w:rPr>
              <w:t>First SA pool production-live</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Week 35</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100%</w:t>
            </w:r>
          </w:p>
        </w:tc>
        <w:tc>
          <w:tcPr>
            <w:tcW w:type="dxa" w:w="1949"/>
            <w:vAlign w:val="center"/>
          </w:tcPr>
          <w:p>
            <w:pPr>
              <w:spacing w:line="276" w:lineRule="auto" w:before="0" w:after="0"/>
            </w:pPr>
            <w:r/>
            <w:r>
              <w:rPr>
                <w:rFonts w:ascii="Figtree" w:hAnsi="Figtree"/>
                <w:b/>
                <w:i w:val="0"/>
                <w:sz w:val="20"/>
              </w:rPr>
              <w:t>$320,000</w:t>
            </w:r>
          </w:p>
        </w:tc>
        <w:tc>
          <w:tcPr>
            <w:tcW w:type="dxa" w:w="1949"/>
            <w:vAlign w:val="center"/>
          </w:tcPr>
          <w:p>
            <w:pPr>
              <w:spacing w:line="276" w:lineRule="auto" w:before="0" w:after="0"/>
            </w:pPr>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JUMO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