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3"/>
            <w:tabs>
              <w:tab w:val="right" w:leader="dot" w:pos="9072"/>
            </w:tabs>
          </w:pPr>
          <w:r>
            <w:t xml:space="preserve">The Commercial Decision</w:t>
          </w:r>
          <w:r>
            <w:tab/>
          </w:r>
          <w:r>
            <w:t xml:space="preserve">5</w:t>
          </w:r>
        </w:p>
        <w:p>
          <w:pPr>
            <w:pStyle w:val="TOC3"/>
            <w:tabs>
              <w:tab w:val="right" w:leader="dot" w:pos="9072"/>
            </w:tabs>
          </w:pPr>
          <w:r>
            <w:t xml:space="preserve">Recommended Structure</w:t>
          </w:r>
          <w:r>
            <w:tab/>
          </w:r>
          <w:r>
            <w:t xml:space="preserve">6</w:t>
          </w:r>
        </w:p>
        <w:p>
          <w:pPr>
            <w:pStyle w:val="TOC3"/>
            <w:tabs>
              <w:tab w:val="right" w:leader="dot" w:pos="9072"/>
            </w:tabs>
          </w:pPr>
          <w:r>
            <w:t xml:space="preserve">Commercial Logic</w:t>
          </w:r>
          <w:r>
            <w:tab/>
          </w:r>
          <w:r>
            <w:t xml:space="preserve">7</w:t>
          </w:r>
        </w:p>
        <w:p>
          <w:pPr>
            <w:pStyle w:val="TOC2"/>
            <w:tabs>
              <w:tab w:val="right" w:leader="dot" w:pos="9072"/>
            </w:tabs>
          </w:pPr>
          <w:r>
            <w:t xml:space="preserve">Investment Summary</w:t>
          </w:r>
          <w:r>
            <w:tab/>
          </w:r>
          <w:r>
            <w:t xml:space="preserve">8</w:t>
          </w:r>
        </w:p>
        <w:p>
          <w:pPr>
            <w:pStyle w:val="TOC2"/>
            <w:tabs>
              <w:tab w:val="right" w:leader="dot" w:pos="9072"/>
            </w:tabs>
          </w:pPr>
          <w:r>
            <w:t xml:space="preserve">Licensing and Subscription Model</w:t>
          </w:r>
          <w:r>
            <w:tab/>
          </w:r>
          <w:r>
            <w:t xml:space="preserve">9</w:t>
          </w:r>
        </w:p>
        <w:p>
          <w:pPr>
            <w:pStyle w:val="TOC3"/>
            <w:tabs>
              <w:tab w:val="right" w:leader="dot" w:pos="9072"/>
            </w:tabs>
          </w:pPr>
          <w:r>
            <w:t xml:space="preserve">Philosophy</w:t>
          </w:r>
          <w:r>
            <w:tab/>
          </w:r>
          <w:r>
            <w:t xml:space="preserve">10</w:t>
          </w:r>
        </w:p>
        <w:p>
          <w:pPr>
            <w:pStyle w:val="TOC3"/>
            <w:tabs>
              <w:tab w:val="right" w:leader="dot" w:pos="9072"/>
            </w:tabs>
          </w:pPr>
          <w:r>
            <w:t xml:space="preserve">What Is Included</w:t>
          </w:r>
          <w:r>
            <w:tab/>
          </w:r>
          <w:r>
            <w:t xml:space="preserve">11</w:t>
          </w:r>
        </w:p>
        <w:p>
          <w:pPr>
            <w:pStyle w:val="TOC3"/>
            <w:tabs>
              <w:tab w:val="right" w:leader="dot" w:pos="9072"/>
            </w:tabs>
          </w:pPr>
          <w:r>
            <w:t xml:space="preserve">What Varies</w:t>
          </w:r>
          <w:r>
            <w:tab/>
          </w:r>
          <w:r>
            <w:t xml:space="preserve">12</w:t>
          </w:r>
        </w:p>
        <w:p>
          <w:pPr>
            <w:pStyle w:val="TOC3"/>
            <w:tabs>
              <w:tab w:val="right" w:leader="dot" w:pos="9072"/>
            </w:tabs>
          </w:pPr>
          <w:r>
            <w:t xml:space="preserve">Platform Tier</w:t>
          </w:r>
          <w:r>
            <w:tab/>
          </w:r>
          <w:r>
            <w:t xml:space="preserve">13</w:t>
          </w:r>
        </w:p>
        <w:p>
          <w:pPr>
            <w:pStyle w:val="TOC2"/>
            <w:tabs>
              <w:tab w:val="right" w:leader="dot" w:pos="9072"/>
            </w:tabs>
          </w:pPr>
          <w:r>
            <w:t xml:space="preserve">Implementation Investment</w:t>
          </w:r>
          <w:r>
            <w:tab/>
          </w:r>
          <w:r>
            <w:t xml:space="preserve">14</w:t>
          </w:r>
        </w:p>
        <w:p>
          <w:pPr>
            <w:pStyle w:val="TOC3"/>
            <w:tabs>
              <w:tab w:val="right" w:leader="dot" w:pos="9072"/>
            </w:tabs>
          </w:pPr>
          <w:r>
            <w:t xml:space="preserve">Phase Summary</w:t>
          </w:r>
          <w:r>
            <w:tab/>
          </w:r>
          <w:r>
            <w:t xml:space="preserve">15</w:t>
          </w:r>
        </w:p>
        <w:p>
          <w:pPr>
            <w:pStyle w:val="TOC3"/>
            <w:tabs>
              <w:tab w:val="right" w:leader="dot" w:pos="9072"/>
            </w:tabs>
          </w:pPr>
          <w:r>
            <w:t xml:space="preserve">Training</w:t>
          </w:r>
          <w:r>
            <w:tab/>
          </w:r>
          <w:r>
            <w:t xml:space="preserve">16</w:t>
          </w:r>
        </w:p>
        <w:p>
          <w:pPr>
            <w:pStyle w:val="TOC2"/>
            <w:tabs>
              <w:tab w:val="right" w:leader="dot" w:pos="9072"/>
            </w:tabs>
          </w:pPr>
          <w:r>
            <w:t xml:space="preserve">Support and Operational Costs</w:t>
          </w:r>
          <w:r>
            <w:tab/>
          </w:r>
          <w:r>
            <w:t xml:space="preserve">17</w:t>
          </w:r>
        </w:p>
        <w:p>
          <w:pPr>
            <w:pStyle w:val="TOC3"/>
            <w:tabs>
              <w:tab w:val="right" w:leader="dot" w:pos="9072"/>
            </w:tabs>
          </w:pPr>
          <w:r>
            <w:t xml:space="preserve">Support Recommendation</w:t>
          </w:r>
          <w:r>
            <w:tab/>
          </w:r>
          <w:r>
            <w:t xml:space="preserve">18</w:t>
          </w:r>
        </w:p>
        <w:p>
          <w:pPr>
            <w:pStyle w:val="TOC3"/>
            <w:tabs>
              <w:tab w:val="right" w:leader="dot" w:pos="9072"/>
            </w:tabs>
          </w:pPr>
          <w:r>
            <w:t xml:space="preserve">Severity Matrix</w:t>
          </w:r>
          <w:r>
            <w:tab/>
          </w:r>
          <w:r>
            <w:t xml:space="preserve">19</w:t>
          </w:r>
        </w:p>
        <w:p>
          <w:pPr>
            <w:pStyle w:val="TOC2"/>
            <w:tabs>
              <w:tab w:val="right" w:leader="dot" w:pos="9072"/>
            </w:tabs>
          </w:pPr>
          <w:r>
            <w:t xml:space="preserve">Total Cost of Ownership Analysis</w:t>
          </w:r>
          <w:r>
            <w:tab/>
          </w:r>
          <w:r>
            <w:t xml:space="preserve">20</w:t>
          </w:r>
        </w:p>
        <w:p>
          <w:pPr>
            <w:pStyle w:val="TOC3"/>
            <w:tabs>
              <w:tab w:val="right" w:leader="dot" w:pos="9072"/>
            </w:tabs>
          </w:pPr>
          <w:r>
            <w:t xml:space="preserve">3-Year TCO: DALP</w:t>
          </w:r>
          <w:r>
            <w:tab/>
          </w:r>
          <w:r>
            <w:t xml:space="preserve">21</w:t>
          </w:r>
        </w:p>
        <w:p>
          <w:pPr>
            <w:pStyle w:val="TOC3"/>
            <w:tabs>
              <w:tab w:val="right" w:leader="dot" w:pos="9072"/>
            </w:tabs>
          </w:pPr>
          <w:r>
            <w:t xml:space="preserve">Comparative Analysis</w:t>
          </w:r>
          <w:r>
            <w:tab/>
          </w:r>
          <w:r>
            <w:t xml:space="preserve">22</w:t>
          </w:r>
        </w:p>
        <w:p>
          <w:pPr>
            <w:pStyle w:val="TOC2"/>
            <w:tabs>
              <w:tab w:val="right" w:leader="dot" w:pos="9072"/>
            </w:tabs>
          </w:pPr>
          <w:r>
            <w:t xml:space="preserve">Payment Terms and Commercial Structure</w:t>
          </w:r>
          <w:r>
            <w:tab/>
          </w:r>
          <w:r>
            <w:t xml:space="preserve">23</w:t>
          </w:r>
        </w:p>
        <w:p>
          <w:pPr>
            <w:pStyle w:val="TOC3"/>
            <w:tabs>
              <w:tab w:val="right" w:leader="dot" w:pos="9072"/>
            </w:tabs>
          </w:pPr>
          <w:r>
            <w:t xml:space="preserve">Platform License</w:t>
          </w:r>
          <w:r>
            <w:tab/>
          </w:r>
          <w:r>
            <w:t xml:space="preserve">24</w:t>
          </w:r>
        </w:p>
        <w:p>
          <w:pPr>
            <w:pStyle w:val="TOC3"/>
            <w:tabs>
              <w:tab w:val="right" w:leader="dot" w:pos="9072"/>
            </w:tabs>
          </w:pPr>
          <w:r>
            <w:t xml:space="preserve">Implementation Payment Schedule</w:t>
          </w:r>
          <w:r>
            <w:tab/>
          </w:r>
          <w:r>
            <w:t xml:space="preserve">25</w:t>
          </w:r>
        </w:p>
        <w:p>
          <w:pPr>
            <w:pStyle w:val="TOC3"/>
            <w:tabs>
              <w:tab w:val="right" w:leader="dot" w:pos="9072"/>
            </w:tabs>
          </w:pPr>
          <w:r>
            <w:t xml:space="preserve">Contract Duration</w:t>
          </w:r>
          <w:r>
            <w:tab/>
          </w:r>
          <w:r>
            <w:t xml:space="preserve">26</w:t>
          </w:r>
        </w:p>
        <w:p>
          <w:pPr>
            <w:pStyle w:val="TOC2"/>
            <w:tabs>
              <w:tab w:val="right" w:leader="dot" w:pos="9072"/>
            </w:tabs>
          </w:pPr>
          <w:r>
            <w:t xml:space="preserve">Value Realisation and ROI Analysis</w:t>
          </w:r>
          <w:r>
            <w:tab/>
          </w:r>
          <w:r>
            <w:t xml:space="preserve">27</w:t>
          </w:r>
        </w:p>
        <w:p>
          <w:pPr>
            <w:pStyle w:val="TOC3"/>
            <w:tabs>
              <w:tab w:val="right" w:leader="dot" w:pos="9072"/>
            </w:tabs>
          </w:pPr>
          <w:r>
            <w:t xml:space="preserve">Value Drivers</w:t>
          </w:r>
          <w:r>
            <w:tab/>
          </w:r>
          <w:r>
            <w:t xml:space="preserve">28</w:t>
          </w:r>
        </w:p>
        <w:p>
          <w:pPr>
            <w:pStyle w:val="TOC3"/>
            <w:tabs>
              <w:tab w:val="right" w:leader="dot" w:pos="9072"/>
            </w:tabs>
          </w:pPr>
          <w:r>
            <w:t xml:space="preserve">Payback Analysis</w:t>
          </w:r>
          <w:r>
            <w:tab/>
          </w:r>
          <w:r>
            <w:t xml:space="preserve">29</w:t>
          </w:r>
        </w:p>
        <w:p>
          <w:pPr>
            <w:pStyle w:val="TOC2"/>
            <w:tabs>
              <w:tab w:val="right" w:leader="dot" w:pos="9072"/>
            </w:tabs>
          </w:pPr>
          <w:r>
            <w:t xml:space="preserve">Commercial Assumptions and Dependencies</w:t>
          </w:r>
          <w:r>
            <w:tab/>
          </w:r>
          <w:r>
            <w:t xml:space="preserve">30</w:t>
          </w:r>
        </w:p>
        <w:p>
          <w:pPr>
            <w:pStyle w:val="TOC2"/>
            <w:tabs>
              <w:tab w:val="right" w:leader="dot" w:pos="9072"/>
            </w:tabs>
          </w:pPr>
          <w:r>
            <w:t xml:space="preserve">Contractual Framework Overview</w:t>
          </w:r>
          <w:r>
            <w:tab/>
          </w:r>
          <w:r>
            <w:t xml:space="preserve">31</w:t>
          </w:r>
        </w:p>
        <w:p>
          <w:pPr>
            <w:pStyle w:val="TOC3"/>
            <w:tabs>
              <w:tab w:val="right" w:leader="dot" w:pos="9072"/>
            </w:tabs>
          </w:pPr>
          <w:r>
            <w:t xml:space="preserve">Agreement Structure</w:t>
          </w:r>
          <w:r>
            <w:tab/>
          </w:r>
          <w:r>
            <w:t xml:space="preserve">32</w:t>
          </w:r>
        </w:p>
        <w:p>
          <w:pPr>
            <w:pStyle w:val="TOC3"/>
            <w:tabs>
              <w:tab w:val="right" w:leader="dot" w:pos="9072"/>
            </w:tabs>
          </w:pPr>
          <w:r>
            <w:t xml:space="preserve">Intellectual Property</w:t>
          </w:r>
          <w:r>
            <w:tab/>
          </w:r>
          <w:r>
            <w:t xml:space="preserve">33</w:t>
          </w:r>
        </w:p>
        <w:p>
          <w:pPr>
            <w:pStyle w:val="TOC3"/>
            <w:tabs>
              <w:tab w:val="right" w:leader="dot" w:pos="9072"/>
            </w:tabs>
          </w:pPr>
          <w:r>
            <w:t xml:space="preserve">Liability</w:t>
          </w:r>
          <w:r>
            <w:tab/>
          </w:r>
          <w:r>
            <w:t xml:space="preserve">34</w:t>
          </w:r>
        </w:p>
        <w:p>
          <w:pPr>
            <w:pStyle w:val="TOC3"/>
            <w:tabs>
              <w:tab w:val="right" w:leader="dot" w:pos="9072"/>
            </w:tabs>
          </w:pPr>
          <w:r>
            <w:t xml:space="preserve">Data Handling</w:t>
          </w:r>
          <w:r>
            <w:tab/>
          </w:r>
          <w:r>
            <w:t xml:space="preserve">35</w:t>
          </w:r>
        </w:p>
        <w:p>
          <w:pPr>
            <w:pStyle w:val="TOC2"/>
            <w:tabs>
              <w:tab w:val="right" w:leader="dot" w:pos="9072"/>
            </w:tabs>
          </w:pPr>
          <w:r>
            <w:t xml:space="preserve">Appendix A: Detailed Pricing Schedule</w:t>
          </w:r>
          <w:r>
            <w:tab/>
          </w:r>
          <w:r>
            <w:t xml:space="preserve">36</w:t>
          </w:r>
        </w:p>
        <w:p>
          <w:pPr>
            <w:pStyle w:val="TOC3"/>
            <w:tabs>
              <w:tab w:val="right" w:leader="dot" w:pos="9072"/>
            </w:tabs>
          </w:pPr>
          <w:r>
            <w:t xml:space="preserve">Annual Recurring</w:t>
          </w:r>
          <w:r>
            <w:tab/>
          </w:r>
          <w:r>
            <w:t xml:space="preserve">37</w:t>
          </w:r>
        </w:p>
        <w:p>
          <w:pPr>
            <w:pStyle w:val="TOC3"/>
            <w:tabs>
              <w:tab w:val="right" w:leader="dot" w:pos="9072"/>
            </w:tabs>
          </w:pPr>
          <w:r>
            <w:t xml:space="preserve">Implementation</w:t>
          </w:r>
          <w:r>
            <w:tab/>
          </w:r>
          <w:r>
            <w:t xml:space="preserve">38</w:t>
          </w:r>
        </w:p>
        <w:p>
          <w:pPr>
            <w:pStyle w:val="TOC2"/>
            <w:tabs>
              <w:tab w:val="right" w:leader="dot" w:pos="9072"/>
            </w:tabs>
          </w:pPr>
          <w:r>
            <w:t xml:space="preserve">Appendix B: Implementation Milestone and Payment Schedule</w:t>
          </w:r>
          <w:r>
            <w:tab/>
          </w:r>
          <w:r>
            <w:t xml:space="preserve">39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M-Pesa Safaricom (Kenya)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M-PESA-SAFARICOM-RFP-DIGITAL-ASSET-MOBILE-PAYMENT-202603</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Investment Summary</w:t>
      </w:r>
    </w:p>
    <w:p>
      <w:pPr>
        <w:pStyle w:val="ListParagraph"/>
        <w:numPr>
          <w:ilvl w:val="0"/>
          <w:numId w:val="4"/>
        </w:numPr>
      </w:pPr>
      <w:r>
        <w:rPr>
          <w:rFonts w:ascii="Figtree" w:hAnsi="Figtree"/>
          <w:b w:val="0"/>
          <w:i w:val="0"/>
          <w:sz w:val="22"/>
        </w:rPr>
        <w:t>Licensing and Subscription Model</w:t>
      </w:r>
    </w:p>
    <w:p>
      <w:pPr>
        <w:pStyle w:val="ListParagraph"/>
        <w:numPr>
          <w:ilvl w:val="0"/>
          <w:numId w:val="4"/>
        </w:numPr>
      </w:pPr>
      <w:r>
        <w:rPr>
          <w:rFonts w:ascii="Figtree" w:hAnsi="Figtree"/>
          <w:b w:val="0"/>
          <w:i w:val="0"/>
          <w:sz w:val="22"/>
        </w:rPr>
        <w:t>Implementation Investment</w:t>
      </w:r>
    </w:p>
    <w:p>
      <w:pPr>
        <w:pStyle w:val="ListParagraph"/>
        <w:numPr>
          <w:ilvl w:val="0"/>
          <w:numId w:val="4"/>
        </w:numPr>
      </w:pPr>
      <w:r>
        <w:rPr>
          <w:rFonts w:ascii="Figtree" w:hAnsi="Figtree"/>
          <w:b w:val="0"/>
          <w:i w:val="0"/>
          <w:sz w:val="22"/>
        </w:rPr>
        <w:t>Support and Operational Costs</w:t>
      </w:r>
    </w:p>
    <w:p>
      <w:pPr>
        <w:pStyle w:val="ListParagraph"/>
        <w:numPr>
          <w:ilvl w:val="0"/>
          <w:numId w:val="4"/>
        </w:numPr>
      </w:pPr>
      <w:r>
        <w:rPr>
          <w:rFonts w:ascii="Figtree" w:hAnsi="Figtree"/>
          <w:b w:val="0"/>
          <w:i w:val="0"/>
          <w:sz w:val="22"/>
        </w:rPr>
        <w:t>Total Cost of Ownership Analysis</w:t>
      </w:r>
    </w:p>
    <w:p>
      <w:pPr>
        <w:pStyle w:val="ListParagraph"/>
        <w:numPr>
          <w:ilvl w:val="0"/>
          <w:numId w:val="4"/>
        </w:numPr>
      </w:pPr>
      <w:r>
        <w:rPr>
          <w:rFonts w:ascii="Figtree" w:hAnsi="Figtree"/>
          <w:b w:val="0"/>
          <w:i w:val="0"/>
          <w:sz w:val="22"/>
        </w:rPr>
        <w:t>Payment Terms and Commercial Structure</w:t>
      </w:r>
    </w:p>
    <w:p>
      <w:pPr>
        <w:pStyle w:val="ListParagraph"/>
        <w:numPr>
          <w:ilvl w:val="0"/>
          <w:numId w:val="4"/>
        </w:numPr>
      </w:pPr>
      <w:r>
        <w:rPr>
          <w:rFonts w:ascii="Figtree" w:hAnsi="Figtree"/>
          <w:b w:val="0"/>
          <w:i w:val="0"/>
          <w:sz w:val="22"/>
        </w:rPr>
        <w:t>Value Realisation and ROI Analysis</w:t>
      </w:r>
    </w:p>
    <w:p>
      <w:pPr>
        <w:pStyle w:val="ListParagraph"/>
        <w:numPr>
          <w:ilvl w:val="0"/>
          <w:numId w:val="4"/>
        </w:numPr>
      </w:pPr>
      <w:r>
        <w:rPr>
          <w:rFonts w:ascii="Figtree" w:hAnsi="Figtree"/>
          <w:b w:val="0"/>
          <w:i w:val="0"/>
          <w:sz w:val="22"/>
        </w:rPr>
        <w:t>Commercial Assumptions and Dependencies</w:t>
      </w:r>
    </w:p>
    <w:p>
      <w:pPr>
        <w:pStyle w:val="ListParagraph"/>
        <w:numPr>
          <w:ilvl w:val="0"/>
          <w:numId w:val="4"/>
        </w:numPr>
      </w:pPr>
      <w:r>
        <w:rPr>
          <w:rFonts w:ascii="Figtree" w:hAnsi="Figtree"/>
          <w:b w:val="0"/>
          <w:i w:val="0"/>
          <w:sz w:val="22"/>
        </w:rPr>
        <w:t>Contractual Framework Overview</w:t>
      </w:r>
    </w:p>
    <w:p>
      <w:pPr>
        <w:pStyle w:val="ListParagraph"/>
        <w:numPr>
          <w:ilvl w:val="0"/>
          <w:numId w:val="4"/>
        </w:numPr>
      </w:pPr>
      <w:r>
        <w:rPr>
          <w:rFonts w:ascii="Figtree" w:hAnsi="Figtree"/>
          <w:b w:val="0"/>
          <w:i w:val="0"/>
          <w:sz w:val="22"/>
        </w:rPr>
        <w:t>Appendix A: Detailed Pricing Schedule</w:t>
      </w:r>
    </w:p>
    <w:p>
      <w:pPr>
        <w:pStyle w:val="ListParagraph"/>
        <w:numPr>
          <w:ilvl w:val="0"/>
          <w:numId w:val="4"/>
        </w:numPr>
      </w:pPr>
      <w:r>
        <w:rPr>
          <w:rFonts w:ascii="Figtree" w:hAnsi="Figtree"/>
          <w:b w:val="0"/>
          <w:i w:val="0"/>
          <w:sz w:val="22"/>
        </w:rPr>
        <w:t>Appendix B: Implementation Milestone and Payment Schedule</w:t>
      </w:r>
    </w:p>
    <w:p>
      <w:r>
        <w:br w:type="page"/>
      </w:r>
    </w:p>
    <w:p>
      <w:pPr>
        <w:pStyle w:val="H2"/>
        <w:numPr>
          <w:ilvl w:val="1"/>
          <w:numId w:val="1"/>
        </w:numPr>
      </w:pPr>
      <w:r>
        <w:t>Executive Summary</w:t>
      </w:r>
    </w:p>
    <w:p>
      <w:pPr>
        <w:pStyle w:val="H3"/>
        <w:numPr>
          <w:ilvl w:val="2"/>
          <w:numId w:val="1"/>
        </w:numPr>
      </w:pPr>
      <w:r>
        <w:t>The Commercial Decision</w:t>
      </w:r>
    </w:p>
    <w:p>
      <w:r>
        <w:rPr>
          <w:rFonts w:ascii="Figtree" w:hAnsi="Figtree"/>
          <w:b w:val="0"/>
          <w:i w:val="0"/>
          <w:sz w:val="22"/>
        </w:rPr>
        <w:t>M-Pesa Safaricom is not making a speculative infrastructure investment. It is making a risk-mitigation and efficiency investment in settlement infrastructure that sits underneath existing, nationally important payment operations. The procurement decision is whether the proposed platform can satisfy CBK regulatory requirements, Safaricom operational standards, and consumer protection obligations while delivering material settlement efficiency improvements.</w:t>
      </w:r>
    </w:p>
    <w:p>
      <w:r>
        <w:rPr>
          <w:rFonts w:ascii="Figtree" w:hAnsi="Figtree"/>
          <w:b w:val="0"/>
          <w:i w:val="0"/>
          <w:sz w:val="22"/>
        </w:rPr>
        <w:t>The commercial question requires clarity on three dimensions. First: what does the platform cost across its full lifecycle (license, implementation, support, infrastructure)? Second: what evidence can be provided that the investment will be maintained at national infrastructure standards? Third: is the commercial structure compatible with Safaricom's procurement governance and CBK oversight requirements?</w:t>
      </w:r>
    </w:p>
    <w:p>
      <w:r>
        <w:rPr>
          <w:rFonts w:ascii="Figtree" w:hAnsi="Figtree"/>
          <w:b w:val="0"/>
          <w:i w:val="0"/>
          <w:sz w:val="22"/>
        </w:rPr>
        <w:t>This proposal addresses all three with transparency.</w:t>
      </w:r>
    </w:p>
    <w:p>
      <w:pPr>
        <w:pStyle w:val="H3"/>
        <w:numPr>
          <w:ilvl w:val="2"/>
          <w:numId w:val="1"/>
        </w:numPr>
      </w:pPr>
      <w:r>
        <w:t>Recommended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3920"/>
        <w:gridCol w:w="21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w:t>
            </w:r>
          </w:p>
        </w:tc>
        <w:tc>
          <w:tcPr>
            <w:tcW w:type="dxa" w:w="3249"/>
            <w:vAlign w:val="center"/>
          </w:tcPr>
          <w:p>
            <w:pPr>
              <w:spacing w:line="276" w:lineRule="auto" w:before="0" w:after="0"/>
            </w:pPr>
            <w:r/>
            <w:r>
              <w:rPr>
                <w:rFonts w:ascii="Figtree" w:hAnsi="Figtree"/>
                <w:b w:val="0"/>
                <w:i w:val="0"/>
                <w:sz w:val="20"/>
              </w:rPr>
              <w:t>Enterprise tier</w:t>
            </w:r>
          </w:p>
        </w:tc>
        <w:tc>
          <w:tcPr>
            <w:tcW w:type="dxa" w:w="3249"/>
            <w:vAlign w:val="center"/>
          </w:tcPr>
          <w:p>
            <w:pPr>
              <w:spacing w:line="276" w:lineRule="auto" w:before="0" w:after="0"/>
            </w:pPr>
            <w:r/>
            <w:r>
              <w:rPr>
                <w:rFonts w:ascii="Figtree" w:hAnsi="Figtree"/>
                <w:b w:val="0"/>
                <w:i w:val="0"/>
                <w:sz w:val="20"/>
              </w:rPr>
              <w:t>$260,000/year</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 (2)</w:t>
            </w:r>
          </w:p>
        </w:tc>
        <w:tc>
          <w:tcPr>
            <w:tcW w:type="dxa" w:w="3249"/>
            <w:vAlign w:val="center"/>
          </w:tcPr>
          <w:p>
            <w:pPr>
              <w:spacing w:line="276" w:lineRule="auto" w:before="0" w:after="0"/>
            </w:pPr>
            <w:r/>
            <w:r>
              <w:rPr>
                <w:rFonts w:ascii="Figtree" w:hAnsi="Figtree"/>
                <w:b w:val="0"/>
                <w:i w:val="0"/>
                <w:sz w:val="20"/>
              </w:rPr>
              <w:t>UAT + DR</w:t>
            </w:r>
          </w:p>
        </w:tc>
        <w:tc>
          <w:tcPr>
            <w:tcW w:type="dxa" w:w="3249"/>
            <w:vAlign w:val="center"/>
          </w:tcPr>
          <w:p>
            <w:pPr>
              <w:spacing w:line="276" w:lineRule="auto" w:before="0" w:after="0"/>
            </w:pPr>
            <w:r/>
            <w:r>
              <w:rPr>
                <w:rFonts w:ascii="Figtree" w:hAnsi="Figtree"/>
                <w:b w:val="0"/>
                <w:i w:val="0"/>
                <w:sz w:val="20"/>
              </w:rPr>
              <w:t>$50,000/year</w:t>
            </w:r>
          </w:p>
        </w:tc>
      </w:tr>
      <w:tr>
        <w:trPr>
          <w:trHeight w:val="425" w:hRule="atLeast"/>
        </w:trPr>
        <w:tc>
          <w:tcPr>
            <w:tcW w:type="dxa" w:w="3249"/>
            <w:vAlign w:val="center"/>
          </w:tcPr>
          <w:p>
            <w:pPr>
              <w:spacing w:line="276" w:lineRule="auto" w:before="0" w:after="0"/>
            </w:pPr>
            <w:r/>
            <w:r>
              <w:rPr>
                <w:rFonts w:ascii="Figtree" w:hAnsi="Figtree"/>
                <w:b w:val="0"/>
                <w:i w:val="0"/>
                <w:sz w:val="20"/>
              </w:rPr>
              <w:t>Premium support (24/7)</w:t>
            </w:r>
          </w:p>
        </w:tc>
        <w:tc>
          <w:tcPr>
            <w:tcW w:type="dxa" w:w="3249"/>
            <w:vAlign w:val="center"/>
          </w:tcPr>
          <w:p>
            <w:pPr>
              <w:spacing w:line="276" w:lineRule="auto" w:before="0" w:after="0"/>
            </w:pPr>
            <w:r/>
            <w:r>
              <w:rPr>
                <w:rFonts w:ascii="Figtree" w:hAnsi="Figtree"/>
                <w:b w:val="0"/>
                <w:i w:val="0"/>
                <w:sz w:val="20"/>
              </w:rPr>
              <w:t>National infrastructure requirement</w:t>
            </w:r>
          </w:p>
        </w:tc>
        <w:tc>
          <w:tcPr>
            <w:tcW w:type="dxa" w:w="3249"/>
            <w:vAlign w:val="center"/>
          </w:tcPr>
          <w:p>
            <w:pPr>
              <w:spacing w:line="276" w:lineRule="auto" w:before="0" w:after="0"/>
            </w:pPr>
            <w:r/>
            <w:r>
              <w:rPr>
                <w:rFonts w:ascii="Figtree" w:hAnsi="Figtree"/>
                <w:b w:val="0"/>
                <w:i w:val="0"/>
                <w:sz w:val="20"/>
              </w:rPr>
              <w:t>$85,000/year</w:t>
            </w:r>
          </w:p>
        </w:tc>
      </w:tr>
      <w:tr>
        <w:trPr>
          <w:trHeight w:val="425" w:hRule="atLeast"/>
        </w:trPr>
        <w:tc>
          <w:tcPr>
            <w:tcW w:type="dxa" w:w="3249"/>
            <w:vAlign w:val="center"/>
          </w:tcPr>
          <w:p>
            <w:pPr>
              <w:spacing w:line="276" w:lineRule="auto" w:before="0" w:after="0"/>
            </w:pPr>
            <w:r/>
            <w:r>
              <w:rPr>
                <w:rFonts w:ascii="Figtree" w:hAnsi="Figtree"/>
                <w:b/>
                <w:i w:val="0"/>
                <w:sz w:val="20"/>
              </w:rPr>
              <w:t>Annual recurring</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$395,000/year</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w:t>
            </w:r>
          </w:p>
        </w:tc>
        <w:tc>
          <w:tcPr>
            <w:tcW w:type="dxa" w:w="3249"/>
            <w:vAlign w:val="center"/>
          </w:tcPr>
          <w:p>
            <w:pPr>
              <w:spacing w:line="276" w:lineRule="auto" w:before="0" w:after="0"/>
            </w:pPr>
            <w:r/>
            <w:r>
              <w:rPr>
                <w:rFonts w:ascii="Figtree" w:hAnsi="Figtree"/>
                <w:b w:val="0"/>
                <w:i w:val="0"/>
                <w:sz w:val="20"/>
              </w:rPr>
              <w:t>Full programme with CBK gates</w:t>
            </w:r>
          </w:p>
        </w:tc>
        <w:tc>
          <w:tcPr>
            <w:tcW w:type="dxa" w:w="3249"/>
            <w:vAlign w:val="center"/>
          </w:tcPr>
          <w:p>
            <w:pPr>
              <w:spacing w:line="276" w:lineRule="auto" w:before="0" w:after="0"/>
            </w:pPr>
            <w:r/>
            <w:r>
              <w:rPr>
                <w:rFonts w:ascii="Figtree" w:hAnsi="Figtree"/>
                <w:b w:val="0"/>
                <w:i w:val="0"/>
                <w:sz w:val="20"/>
              </w:rPr>
              <w:t>$420,000 (one-time)</w:t>
            </w:r>
          </w:p>
        </w:tc>
      </w:tr>
      <w:tr>
        <w:trPr>
          <w:trHeight w:val="425" w:hRule="atLeast"/>
        </w:trPr>
        <w:tc>
          <w:tcPr>
            <w:tcW w:type="dxa" w:w="3249"/>
            <w:vAlign w:val="center"/>
          </w:tcPr>
          <w:p>
            <w:pPr>
              <w:spacing w:line="276" w:lineRule="auto" w:before="0" w:after="0"/>
            </w:pPr>
            <w:r/>
            <w:r>
              <w:rPr>
                <w:rFonts w:ascii="Figtree" w:hAnsi="Figtree"/>
                <w:b/>
                <w:i w:val="0"/>
                <w:sz w:val="20"/>
              </w:rPr>
              <w:t>Year 1 total</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$815,000</w:t>
            </w:r>
          </w:p>
        </w:tc>
      </w:tr>
      <w:tr>
        <w:trPr>
          <w:trHeight w:val="425" w:hRule="atLeast"/>
        </w:trPr>
        <w:tc>
          <w:tcPr>
            <w:tcW w:type="dxa" w:w="3249"/>
            <w:vAlign w:val="center"/>
          </w:tcPr>
          <w:p>
            <w:pPr>
              <w:spacing w:line="276" w:lineRule="auto" w:before="0" w:after="0"/>
            </w:pPr>
            <w:r/>
            <w:r>
              <w:rPr>
                <w:rFonts w:ascii="Figtree" w:hAnsi="Figtree"/>
                <w:b/>
                <w:i w:val="0"/>
                <w:sz w:val="20"/>
              </w:rPr>
              <w:t>3-year TCO (base)</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$1,595,000</w:t>
            </w:r>
          </w:p>
        </w:tc>
      </w:tr>
    </w:tbl>
    <w:p>
      <w:pPr>
        <w:spacing w:before="0" w:after="0" w:line="120" w:lineRule="exact"/>
      </w:pPr>
    </w:p>
    <w:p>
      <w:r>
        <w:rPr>
          <w:rFonts w:ascii="Figtree" w:hAnsi="Figtree"/>
          <w:b w:val="0"/>
          <w:i w:val="0"/>
          <w:sz w:val="22"/>
        </w:rPr>
        <w:t>The M-Pesa implementation is priced at the higher end of the range because it includes Kenya-based on-premises deployment (Safaricom data centres), HSM integration, a CBK regulatory engagement component in Phase 1, and an extended implementation timeline reflecting the CBK approval gates required before any corridor goes live.</w:t>
      </w:r>
    </w:p>
    <w:p>
      <w:pPr>
        <w:pStyle w:val="H3"/>
        <w:numPr>
          <w:ilvl w:val="2"/>
          <w:numId w:val="1"/>
        </w:numPr>
      </w:pPr>
      <w:r>
        <w:t>Commercial Logic</w:t>
      </w:r>
    </w:p>
    <w:p>
      <w:r>
        <w:rPr>
          <w:rFonts w:ascii="Figtree" w:hAnsi="Figtree"/>
          <w:b w:val="0"/>
          <w:i w:val="0"/>
          <w:sz w:val="22"/>
        </w:rPr>
        <w:t>M-Pesa's business case for this programme rests on three pillars:</w:t>
      </w:r>
    </w:p>
    <w:p>
      <w:r>
        <w:rPr>
          <w:rFonts w:ascii="Figtree" w:hAnsi="Figtree"/>
          <w:b/>
          <w:i w:val="0"/>
          <w:sz w:val="22"/>
        </w:rPr>
        <w:t>Settlement efficiency:</w:t>
      </w:r>
      <w:r>
        <w:rPr>
          <w:rFonts w:ascii="Figtree" w:hAnsi="Figtree"/>
          <w:b w:val="0"/>
          <w:i w:val="0"/>
          <w:sz w:val="22"/>
        </w:rPr>
        <w:t xml:space="preserve"> Atomic corridor settlement replaces correspondent banking message reconciliation. Each settlement cycle that currently requires 24-48 hours of correspondent confirmation and manual reconciliation becomes a sub-minute on-chain event. At M-Pesa Global's transaction volume, this translates to significant float reduction and operational overhead savings.</w:t>
      </w:r>
    </w:p>
    <w:p>
      <w:r>
        <w:rPr>
          <w:rFonts w:ascii="Figtree" w:hAnsi="Figtree"/>
          <w:b/>
          <w:i w:val="0"/>
          <w:sz w:val="22"/>
        </w:rPr>
        <w:t>CBK regulatory defensibility:</w:t>
      </w:r>
      <w:r>
        <w:rPr>
          <w:rFonts w:ascii="Figtree" w:hAnsi="Figtree"/>
          <w:b w:val="0"/>
          <w:i w:val="0"/>
          <w:sz w:val="22"/>
        </w:rPr>
        <w:t xml:space="preserve"> CBK's evolving digital payment framework is likely to require more granular settlement evidence from mobile money operators. Platform investment now positions M-Pesa to produce this evidence on demand rather than through manual reconstruction.</w:t>
      </w:r>
    </w:p>
    <w:p>
      <w:r>
        <w:rPr>
          <w:rFonts w:ascii="Figtree" w:hAnsi="Figtree"/>
          <w:b/>
          <w:i w:val="0"/>
          <w:sz w:val="22"/>
        </w:rPr>
        <w:t>Cross-border expansion support:</w:t>
      </w:r>
      <w:r>
        <w:rPr>
          <w:rFonts w:ascii="Figtree" w:hAnsi="Figtree"/>
          <w:b w:val="0"/>
          <w:i w:val="0"/>
          <w:sz w:val="22"/>
        </w:rPr>
        <w:t xml:space="preserve"> M-Pesa Global operates in multiple corridors with different correspondent banking costs and settlement quality. Tokenized corridor settlement provides a standardised, auditable settlement layer for new corridor launches, reducing the per-corridor integration overhead.</w:t>
      </w:r>
    </w:p>
    <w:p>
      <w:r>
        <w:br w:type="page"/>
      </w:r>
    </w:p>
    <w:p>
      <w:pPr>
        <w:pStyle w:val="H2"/>
        <w:numPr>
          <w:ilvl w:val="1"/>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79"/>
        <w:gridCol w:w="66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Platform</w:t>
            </w:r>
          </w:p>
        </w:tc>
        <w:tc>
          <w:tcPr>
            <w:tcW w:type="dxa" w:w="4873"/>
            <w:vAlign w:val="center"/>
          </w:tcPr>
          <w:p>
            <w:pPr>
              <w:spacing w:line="276" w:lineRule="auto" w:before="0" w:after="0"/>
            </w:pPr>
            <w:r/>
            <w:r>
              <w:rPr>
                <w:rFonts w:ascii="Figtree" w:hAnsi="Figtree"/>
                <w:b w:val="0"/>
                <w:i w:val="0"/>
                <w:sz w:val="20"/>
              </w:rPr>
              <w:t>DALP 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Deployment</w:t>
            </w:r>
          </w:p>
        </w:tc>
        <w:tc>
          <w:tcPr>
            <w:tcW w:type="dxa" w:w="4873"/>
            <w:vAlign w:val="center"/>
          </w:tcPr>
          <w:p>
            <w:pPr>
              <w:spacing w:line="276" w:lineRule="auto" w:before="0" w:after="0"/>
            </w:pPr>
            <w:r/>
            <w:r>
              <w:rPr>
                <w:rFonts w:ascii="Figtree" w:hAnsi="Figtree"/>
                <w:b w:val="0"/>
                <w:i w:val="0"/>
                <w:sz w:val="20"/>
              </w:rPr>
              <w:t>Safaricom data centres (Kenya, on-premises)</w:t>
            </w:r>
          </w:p>
        </w:tc>
      </w:tr>
      <w:tr>
        <w:trPr>
          <w:trHeight w:val="425" w:hRule="atLeast"/>
        </w:trPr>
        <w:tc>
          <w:tcPr>
            <w:tcW w:type="dxa" w:w="4873"/>
            <w:vAlign w:val="center"/>
          </w:tcPr>
          <w:p>
            <w:pPr>
              <w:spacing w:line="276" w:lineRule="auto" w:before="0" w:after="0"/>
            </w:pPr>
            <w:r/>
            <w:r>
              <w:rPr>
                <w:rFonts w:ascii="Figtree" w:hAnsi="Figtree"/>
                <w:b w:val="0"/>
                <w:i w:val="0"/>
                <w:sz w:val="20"/>
              </w:rPr>
              <w:t>Initial overlays</w:t>
            </w:r>
          </w:p>
        </w:tc>
        <w:tc>
          <w:tcPr>
            <w:tcW w:type="dxa" w:w="4873"/>
            <w:vAlign w:val="center"/>
          </w:tcPr>
          <w:p>
            <w:pPr>
              <w:spacing w:line="276" w:lineRule="auto" w:before="0" w:after="0"/>
            </w:pPr>
            <w:r/>
            <w:r>
              <w:rPr>
                <w:rFonts w:ascii="Figtree" w:hAnsi="Figtree"/>
                <w:b w:val="0"/>
                <w:i w:val="0"/>
                <w:sz w:val="20"/>
              </w:rPr>
              <w:t>KE-TZ and KE-DRC corridors, merchant settlement</w:t>
            </w:r>
          </w:p>
        </w:tc>
      </w:tr>
      <w:tr>
        <w:trPr>
          <w:trHeight w:val="425" w:hRule="atLeast"/>
        </w:trPr>
        <w:tc>
          <w:tcPr>
            <w:tcW w:type="dxa" w:w="4873"/>
            <w:vAlign w:val="center"/>
          </w:tcPr>
          <w:p>
            <w:pPr>
              <w:spacing w:line="276" w:lineRule="auto" w:before="0" w:after="0"/>
            </w:pPr>
            <w:r/>
            <w:r>
              <w:rPr>
                <w:rFonts w:ascii="Figtree" w:hAnsi="Figtree"/>
                <w:b w:val="0"/>
                <w:i w:val="0"/>
                <w:sz w:val="20"/>
              </w:rPr>
              <w:t>Phase 2</w:t>
            </w:r>
          </w:p>
        </w:tc>
        <w:tc>
          <w:tcPr>
            <w:tcW w:type="dxa" w:w="4873"/>
            <w:vAlign w:val="center"/>
          </w:tcPr>
          <w:p>
            <w:pPr>
              <w:spacing w:line="276" w:lineRule="auto" w:before="0" w:after="0"/>
            </w:pPr>
            <w:r/>
            <w:r>
              <w:rPr>
                <w:rFonts w:ascii="Figtree" w:hAnsi="Figtree"/>
                <w:b w:val="0"/>
                <w:i w:val="0"/>
                <w:sz w:val="20"/>
              </w:rPr>
              <w:t>Additional corridors, treasury liquidity management</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Production + UAT + DR + Dev + Test (5 total)</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Premium (24/7/365)</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w:t>
            </w:r>
          </w:p>
        </w:tc>
        <w:tc>
          <w:tcPr>
            <w:tcW w:type="dxa" w:w="4873"/>
            <w:vAlign w:val="center"/>
          </w:tcPr>
          <w:p>
            <w:pPr>
              <w:spacing w:line="276" w:lineRule="auto" w:before="0" w:after="0"/>
            </w:pPr>
            <w:r/>
            <w:r>
              <w:rPr>
                <w:rFonts w:ascii="Figtree" w:hAnsi="Figtree"/>
                <w:b w:val="0"/>
                <w:i w:val="0"/>
                <w:sz w:val="20"/>
              </w:rPr>
              <w:t>54 weeks to first corridor production (including CBK gates)</w:t>
            </w:r>
          </w:p>
        </w:tc>
      </w:tr>
      <w:tr>
        <w:trPr>
          <w:trHeight w:val="425" w:hRule="atLeast"/>
        </w:trPr>
        <w:tc>
          <w:tcPr>
            <w:tcW w:type="dxa" w:w="4873"/>
            <w:vAlign w:val="center"/>
          </w:tcPr>
          <w:p>
            <w:pPr>
              <w:spacing w:line="276" w:lineRule="auto" w:before="0" w:after="0"/>
            </w:pPr>
            <w:r/>
            <w:r>
              <w:rPr>
                <w:rFonts w:ascii="Figtree" w:hAnsi="Figtree"/>
                <w:b w:val="0"/>
                <w:i w:val="0"/>
                <w:sz w:val="20"/>
              </w:rPr>
              <w:t>Year 1 total</w:t>
            </w:r>
          </w:p>
        </w:tc>
        <w:tc>
          <w:tcPr>
            <w:tcW w:type="dxa" w:w="4873"/>
            <w:vAlign w:val="center"/>
          </w:tcPr>
          <w:p>
            <w:pPr>
              <w:spacing w:line="276" w:lineRule="auto" w:before="0" w:after="0"/>
            </w:pPr>
            <w:r/>
            <w:r>
              <w:rPr>
                <w:rFonts w:ascii="Figtree" w:hAnsi="Figtree"/>
                <w:b w:val="0"/>
                <w:i w:val="0"/>
                <w:sz w:val="20"/>
              </w:rPr>
              <w:t>$815,000</w:t>
            </w:r>
          </w:p>
        </w:tc>
      </w:tr>
      <w:tr>
        <w:trPr>
          <w:trHeight w:val="425" w:hRule="atLeast"/>
        </w:trPr>
        <w:tc>
          <w:tcPr>
            <w:tcW w:type="dxa" w:w="4873"/>
            <w:vAlign w:val="center"/>
          </w:tcPr>
          <w:p>
            <w:pPr>
              <w:spacing w:line="276" w:lineRule="auto" w:before="0" w:after="0"/>
            </w:pPr>
            <w:r/>
            <w:r>
              <w:rPr>
                <w:rFonts w:ascii="Figtree" w:hAnsi="Figtree"/>
                <w:b w:val="0"/>
                <w:i w:val="0"/>
                <w:sz w:val="20"/>
              </w:rPr>
              <w:t>3-year TCO</w:t>
            </w:r>
          </w:p>
        </w:tc>
        <w:tc>
          <w:tcPr>
            <w:tcW w:type="dxa" w:w="4873"/>
            <w:vAlign w:val="center"/>
          </w:tcPr>
          <w:p>
            <w:pPr>
              <w:spacing w:line="276" w:lineRule="auto" w:before="0" w:after="0"/>
            </w:pPr>
            <w:r/>
            <w:r>
              <w:rPr>
                <w:rFonts w:ascii="Figtree" w:hAnsi="Figtree"/>
                <w:b w:val="0"/>
                <w:i w:val="0"/>
                <w:sz w:val="20"/>
              </w:rPr>
              <w:t>~$1,595,000 base</w:t>
            </w:r>
          </w:p>
        </w:tc>
      </w:tr>
    </w:tbl>
    <w:p>
      <w:pPr>
        <w:spacing w:before="0" w:after="0" w:line="120" w:lineRule="exact"/>
      </w:pPr>
    </w:p>
    <w:p>
      <w:r>
        <w:br w:type="page"/>
      </w:r>
    </w:p>
    <w:p>
      <w:pPr>
        <w:pStyle w:val="H2"/>
        <w:numPr>
          <w:ilvl w:val="1"/>
          <w:numId w:val="1"/>
        </w:numPr>
      </w:pPr>
      <w:r>
        <w:t>Licensing and Subscription Model</w:t>
      </w:r>
    </w:p>
    <w:p>
      <w:pPr>
        <w:pStyle w:val="H3"/>
        <w:numPr>
          <w:ilvl w:val="2"/>
          <w:numId w:val="1"/>
        </w:numPr>
      </w:pPr>
      <w:r>
        <w:t>Philosophy</w:t>
      </w:r>
    </w:p>
    <w:p>
      <w:r>
        <w:rPr>
          <w:rFonts w:ascii="Figtree" w:hAnsi="Figtree"/>
          <w:b w:val="0"/>
          <w:i w:val="0"/>
          <w:sz w:val="22"/>
        </w:rPr>
        <w:t>DALP's platform-based licensing does not charge per settlement, per corridor, or per entity. M-Pesa pays for platform access across all three overlays (cross-border, merchant, treasury) without incremental charges as settlement volume grows.</w:t>
      </w:r>
    </w:p>
    <w:p>
      <w:pPr>
        <w:pStyle w:val="H3"/>
        <w:numPr>
          <w:ilvl w:val="2"/>
          <w:numId w:val="1"/>
        </w:numPr>
      </w:pPr>
      <w:r>
        <w:t>What Is Included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67"/>
        <w:gridCol w:w="20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contract types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compliance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Vault multi-sig treasury</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Asset Console</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REST API and TypeScript SDK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Webhooks and SSE</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with CBK read-only access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Observability stack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 and security patches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One production environment</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3"/>
        <w:numPr>
          <w:ilvl w:val="2"/>
          <w:numId w:val="1"/>
        </w:numPr>
      </w:pPr>
      <w:r>
        <w:t>What Varies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9"/>
        <w:gridCol w:w="2174"/>
        <w:gridCol w:w="43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Variable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Selection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 (UAT + DR)</w:t>
            </w:r>
          </w:p>
        </w:tc>
        <w:tc>
          <w:tcPr>
            <w:tcW w:type="dxa" w:w="3249"/>
            <w:vAlign w:val="center"/>
          </w:tcPr>
          <w:p>
            <w:pPr>
              <w:spacing w:line="276" w:lineRule="auto" w:before="0" w:after="0"/>
            </w:pPr>
            <w:r/>
            <w:r>
              <w:rPr>
                <w:rFonts w:ascii="Figtree" w:hAnsi="Figtree"/>
                <w:b w:val="0"/>
                <w:i w:val="0"/>
                <w:sz w:val="20"/>
              </w:rPr>
              <w:t>2</w:t>
            </w:r>
          </w:p>
        </w:tc>
        <w:tc>
          <w:tcPr>
            <w:tcW w:type="dxa" w:w="3249"/>
            <w:vAlign w:val="center"/>
          </w:tcPr>
          <w:p>
            <w:pPr>
              <w:spacing w:line="276" w:lineRule="auto" w:before="0" w:after="0"/>
            </w:pPr>
            <w:r/>
            <w:r>
              <w:rPr>
                <w:rFonts w:ascii="Figtree" w:hAnsi="Figtree"/>
                <w:b w:val="0"/>
                <w:i w:val="0"/>
                <w:sz w:val="20"/>
              </w:rPr>
              <w:t>$25,000/year each</w:t>
            </w:r>
          </w:p>
        </w:tc>
      </w:tr>
      <w:tr>
        <w:trPr>
          <w:trHeight w:val="425" w:hRule="atLeast"/>
        </w:trPr>
        <w:tc>
          <w:tcPr>
            <w:tcW w:type="dxa" w:w="3249"/>
            <w:vAlign w:val="center"/>
          </w:tcPr>
          <w:p>
            <w:pPr>
              <w:spacing w:line="276" w:lineRule="auto" w:before="0" w:after="0"/>
            </w:pPr>
            <w:r/>
            <w:r>
              <w:rPr>
                <w:rFonts w:ascii="Figtree" w:hAnsi="Figtree"/>
                <w:b w:val="0"/>
                <w:i w:val="0"/>
                <w:sz w:val="20"/>
              </w:rPr>
              <w:t>Deployment</w:t>
            </w:r>
          </w:p>
        </w:tc>
        <w:tc>
          <w:tcPr>
            <w:tcW w:type="dxa" w:w="3249"/>
            <w:vAlign w:val="center"/>
          </w:tcPr>
          <w:p>
            <w:pPr>
              <w:spacing w:line="276" w:lineRule="auto" w:before="0" w:after="0"/>
            </w:pPr>
            <w:r/>
            <w:r>
              <w:rPr>
                <w:rFonts w:ascii="Figtree" w:hAnsi="Figtree"/>
                <w:b w:val="0"/>
                <w:i w:val="0"/>
                <w:sz w:val="20"/>
              </w:rPr>
              <w:t>On-premises Safaricom DCs</w:t>
            </w:r>
          </w:p>
        </w:tc>
        <w:tc>
          <w:tcPr>
            <w:tcW w:type="dxa" w:w="3249"/>
            <w:vAlign w:val="center"/>
          </w:tcPr>
          <w:p>
            <w:pPr>
              <w:spacing w:line="276" w:lineRule="auto" w:before="0" w:after="0"/>
            </w:pPr>
            <w:r/>
            <w:r>
              <w:rPr>
                <w:rFonts w:ascii="Figtree" w:hAnsi="Figtree"/>
                <w:b w:val="0"/>
                <w:i w:val="0"/>
                <w:sz w:val="20"/>
              </w:rPr>
              <w:t>Infrastructure is Safaricom-borne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HSM tier (FIPS 140-2 Level 3)</w:t>
            </w:r>
          </w:p>
        </w:tc>
        <w:tc>
          <w:tcPr>
            <w:tcW w:type="dxa" w:w="3249"/>
            <w:vAlign w:val="center"/>
          </w:tcPr>
          <w:p>
            <w:pPr>
              <w:spacing w:line="276" w:lineRule="auto" w:before="0" w:after="0"/>
            </w:pPr>
            <w:r/>
            <w:r>
              <w:rPr>
                <w:rFonts w:ascii="Figtree" w:hAnsi="Figtree"/>
                <w:b w:val="0"/>
                <w:i w:val="0"/>
                <w:sz w:val="20"/>
              </w:rPr>
              <w:t>Included in Enterprise; HSM hardware is Safaricom-procured</w:t>
            </w:r>
          </w:p>
        </w:tc>
      </w:tr>
      <w:tr>
        <w:trPr>
          <w:trHeight w:val="425" w:hRule="atLeast"/>
        </w:trPr>
        <w:tc>
          <w:tcPr>
            <w:tcW w:type="dxa" w:w="3249"/>
            <w:vAlign w:val="center"/>
          </w:tcPr>
          <w:p>
            <w:pPr>
              <w:spacing w:line="276" w:lineRule="auto" w:before="0" w:after="0"/>
            </w:pPr>
            <w:r/>
            <w:r>
              <w:rPr>
                <w:rFonts w:ascii="Figtree" w:hAnsi="Figtree"/>
                <w:b w:val="0"/>
                <w:i w:val="0"/>
                <w:sz w:val="20"/>
              </w:rPr>
              <w:t>Support</w:t>
            </w:r>
          </w:p>
        </w:tc>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$85,000/year</w:t>
            </w:r>
          </w:p>
        </w:tc>
      </w:tr>
    </w:tbl>
    <w:p>
      <w:pPr>
        <w:spacing w:before="0" w:after="0" w:line="120" w:lineRule="exact"/>
      </w:pPr>
    </w:p>
    <w:p>
      <w:pPr>
        <w:pStyle w:val="H3"/>
        <w:numPr>
          <w:ilvl w:val="2"/>
          <w:numId w:val="1"/>
        </w:numPr>
      </w:pPr>
      <w:r>
        <w:t>Platform Tier</w:t>
      </w:r>
    </w:p>
    <w:p>
      <w:r>
        <w:rPr>
          <w:rFonts w:ascii="Figtree" w:hAnsi="Figtree"/>
          <w:b w:val="0"/>
          <w:i w:val="0"/>
          <w:sz w:val="22"/>
        </w:rPr>
        <w:t>Enterprise tier at $260,000/year is recommended, reflecting the national infrastructure security and operational requirements. This is positioned at the higher end of the $180,000-$280,000 range to reflect the HSM integration, CBK engagement support included in implementation, and on-premises deployment complexity.</w:t>
      </w:r>
    </w:p>
    <w:p>
      <w:r>
        <w:br w:type="page"/>
      </w:r>
    </w:p>
    <w:p>
      <w:pPr>
        <w:pStyle w:val="H2"/>
        <w:numPr>
          <w:ilvl w:val="1"/>
          <w:numId w:val="1"/>
        </w:numPr>
      </w:pPr>
      <w:r>
        <w:t>Implementation Investment</w:t>
      </w:r>
    </w:p>
    <w:p>
      <w:pPr>
        <w:pStyle w:val="H3"/>
        <w:numPr>
          <w:ilvl w:val="2"/>
          <w:numId w:val="1"/>
        </w:numPr>
      </w:pPr>
      <w:r>
        <w:t>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2"/>
        <w:gridCol w:w="837"/>
        <w:gridCol w:w="5094"/>
        <w:gridCol w:w="83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CBK Engagement</w:t>
            </w:r>
          </w:p>
        </w:tc>
        <w:tc>
          <w:tcPr>
            <w:tcW w:type="dxa" w:w="2436"/>
            <w:vAlign w:val="center"/>
          </w:tcPr>
          <w:p>
            <w:pPr>
              <w:spacing w:line="276" w:lineRule="auto" w:before="0" w:after="0"/>
            </w:pPr>
            <w:r/>
            <w:r>
              <w:rPr>
                <w:rFonts w:ascii="Figtree" w:hAnsi="Figtree"/>
                <w:b w:val="0"/>
                <w:i w:val="0"/>
                <w:sz w:val="20"/>
              </w:rPr>
              <w:t>7 weeks</w:t>
            </w:r>
          </w:p>
        </w:tc>
        <w:tc>
          <w:tcPr>
            <w:tcW w:type="dxa" w:w="2436"/>
            <w:vAlign w:val="center"/>
          </w:tcPr>
          <w:p>
            <w:pPr>
              <w:spacing w:line="276" w:lineRule="auto" w:before="0" w:after="0"/>
            </w:pPr>
            <w:r/>
            <w:r>
              <w:rPr>
                <w:rFonts w:ascii="Figtree" w:hAnsi="Figtree"/>
                <w:b w:val="0"/>
                <w:i w:val="0"/>
                <w:sz w:val="20"/>
              </w:rPr>
              <w:t>Architecture design, CBK regulatory briefing, Data Protection Act mapping</w:t>
            </w:r>
          </w:p>
        </w:tc>
        <w:tc>
          <w:tcPr>
            <w:tcW w:type="dxa" w:w="2436"/>
            <w:vAlign w:val="center"/>
          </w:tcPr>
          <w:p>
            <w:pPr>
              <w:spacing w:line="276" w:lineRule="auto" w:before="0" w:after="0"/>
            </w:pPr>
            <w:r/>
            <w:r>
              <w:rPr>
                <w:rFonts w:ascii="Figtree" w:hAnsi="Figtree"/>
                <w:b w:val="0"/>
                <w:i w:val="0"/>
                <w:sz w:val="20"/>
              </w:rPr>
              <w:t>$65,000</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HSM Setup</w:t>
            </w:r>
          </w:p>
        </w:tc>
        <w:tc>
          <w:tcPr>
            <w:tcW w:type="dxa" w:w="2436"/>
            <w:vAlign w:val="center"/>
          </w:tcPr>
          <w:p>
            <w:pPr>
              <w:spacing w:line="276" w:lineRule="auto" w:before="0" w:after="0"/>
            </w:pPr>
            <w:r/>
            <w:r>
              <w:rPr>
                <w:rFonts w:ascii="Figtree" w:hAnsi="Figtree"/>
                <w:b w:val="0"/>
                <w:i w:val="0"/>
                <w:sz w:val="20"/>
              </w:rPr>
              <w:t>7 weeks</w:t>
            </w:r>
          </w:p>
        </w:tc>
        <w:tc>
          <w:tcPr>
            <w:tcW w:type="dxa" w:w="2436"/>
            <w:vAlign w:val="center"/>
          </w:tcPr>
          <w:p>
            <w:pPr>
              <w:spacing w:line="276" w:lineRule="auto" w:before="0" w:after="0"/>
            </w:pPr>
            <w:r/>
            <w:r>
              <w:rPr>
                <w:rFonts w:ascii="Figtree" w:hAnsi="Figtree"/>
                <w:b w:val="0"/>
                <w:i w:val="0"/>
                <w:sz w:val="20"/>
              </w:rPr>
              <w:t>On-premises infrastructure, HSM, private blockchain</w:t>
            </w:r>
          </w:p>
        </w:tc>
        <w:tc>
          <w:tcPr>
            <w:tcW w:type="dxa" w:w="2436"/>
            <w:vAlign w:val="center"/>
          </w:tcPr>
          <w:p>
            <w:pPr>
              <w:spacing w:line="276" w:lineRule="auto" w:before="0" w:after="0"/>
            </w:pPr>
            <w:r/>
            <w:r>
              <w:rPr>
                <w:rFonts w:ascii="Figtree" w:hAnsi="Figtree"/>
                <w:b w:val="0"/>
                <w:i w:val="0"/>
                <w:sz w:val="20"/>
              </w:rPr>
              <w:t>$75,000</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CBK Review Gate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Corridor tokens, CBK read-only access, CBK review</w:t>
            </w:r>
          </w:p>
        </w:tc>
        <w:tc>
          <w:tcPr>
            <w:tcW w:type="dxa" w:w="2436"/>
            <w:vAlign w:val="center"/>
          </w:tcPr>
          <w:p>
            <w:pPr>
              <w:spacing w:line="276" w:lineRule="auto" w:before="0" w:after="0"/>
            </w:pPr>
            <w:r/>
            <w:r>
              <w:rPr>
                <w:rFonts w:ascii="Figtree" w:hAnsi="Figtree"/>
                <w:b w:val="0"/>
                <w:i w:val="0"/>
                <w:sz w:val="20"/>
              </w:rPr>
              <w:t>$65,000</w:t>
            </w:r>
          </w:p>
        </w:tc>
      </w:tr>
      <w:tr>
        <w:trPr>
          <w:trHeight w:val="425" w:hRule="atLeast"/>
        </w:trPr>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Settlement engine, AML, ledger</w:t>
            </w:r>
          </w:p>
        </w:tc>
        <w:tc>
          <w:tcPr>
            <w:tcW w:type="dxa" w:w="2436"/>
            <w:vAlign w:val="center"/>
          </w:tcPr>
          <w:p>
            <w:pPr>
              <w:spacing w:line="276" w:lineRule="auto" w:before="0" w:after="0"/>
            </w:pPr>
            <w:r/>
            <w:r>
              <w:rPr>
                <w:rFonts w:ascii="Figtree" w:hAnsi="Figtree"/>
                <w:b w:val="0"/>
                <w:i w:val="0"/>
                <w:sz w:val="20"/>
              </w:rPr>
              <w:t>$80,000</w:t>
            </w:r>
          </w:p>
        </w:tc>
      </w:tr>
      <w:tr>
        <w:trPr>
          <w:trHeight w:val="425" w:hRule="atLeast"/>
        </w:trPr>
        <w:tc>
          <w:tcPr>
            <w:tcW w:type="dxa" w:w="2436"/>
            <w:vAlign w:val="center"/>
          </w:tcPr>
          <w:p>
            <w:pPr>
              <w:spacing w:line="276" w:lineRule="auto" w:before="0" w:after="0"/>
            </w:pPr>
            <w:r/>
            <w:r>
              <w:rPr>
                <w:rFonts w:ascii="Figtree" w:hAnsi="Figtree"/>
                <w:b w:val="0"/>
                <w:i w:val="0"/>
                <w:sz w:val="20"/>
              </w:rPr>
              <w:t>Testing and CBK Comfort Gate</w:t>
            </w:r>
          </w:p>
        </w:tc>
        <w:tc>
          <w:tcPr>
            <w:tcW w:type="dxa" w:w="2436"/>
            <w:vAlign w:val="center"/>
          </w:tcPr>
          <w:p>
            <w:pPr>
              <w:spacing w:line="276" w:lineRule="auto" w:before="0" w:after="0"/>
            </w:pPr>
            <w:r/>
            <w:r>
              <w:rPr>
                <w:rFonts w:ascii="Figtree" w:hAnsi="Figtree"/>
                <w:b w:val="0"/>
                <w:i w:val="0"/>
                <w:sz w:val="20"/>
              </w:rPr>
              <w:t>8 weeks</w:t>
            </w:r>
          </w:p>
        </w:tc>
        <w:tc>
          <w:tcPr>
            <w:tcW w:type="dxa" w:w="2436"/>
            <w:vAlign w:val="center"/>
          </w:tcPr>
          <w:p>
            <w:pPr>
              <w:spacing w:line="276" w:lineRule="auto" w:before="0" w:after="0"/>
            </w:pPr>
            <w:r/>
            <w:r>
              <w:rPr>
                <w:rFonts w:ascii="Figtree" w:hAnsi="Figtree"/>
                <w:b w:val="0"/>
                <w:i w:val="0"/>
                <w:sz w:val="20"/>
              </w:rPr>
              <w:t>Full testing, CBK evidence walkthrough, UAT</w:t>
            </w:r>
          </w:p>
        </w:tc>
        <w:tc>
          <w:tcPr>
            <w:tcW w:type="dxa" w:w="2436"/>
            <w:vAlign w:val="center"/>
          </w:tcPr>
          <w:p>
            <w:pPr>
              <w:spacing w:line="276" w:lineRule="auto" w:before="0" w:after="0"/>
            </w:pPr>
            <w:r/>
            <w:r>
              <w:rPr>
                <w:rFonts w:ascii="Figtree" w:hAnsi="Figtree"/>
                <w:b w:val="0"/>
                <w:i w:val="0"/>
                <w:sz w:val="20"/>
              </w:rPr>
              <w:t>$90,000</w:t>
            </w:r>
          </w:p>
        </w:tc>
      </w:tr>
      <w:tr>
        <w:trPr>
          <w:trHeight w:val="425" w:hRule="atLeast"/>
        </w:trPr>
        <w:tc>
          <w:tcPr>
            <w:tcW w:type="dxa" w:w="2436"/>
            <w:vAlign w:val="center"/>
          </w:tcPr>
          <w:p>
            <w:pPr>
              <w:spacing w:line="276" w:lineRule="auto" w:before="0" w:after="0"/>
            </w:pPr>
            <w:r/>
            <w:r>
              <w:rPr>
                <w:rFonts w:ascii="Figtree" w:hAnsi="Figtree"/>
                <w:b w:val="0"/>
                <w:i w:val="0"/>
                <w:sz w:val="20"/>
              </w:rPr>
              <w:t>Go-Live and Hypercare</w:t>
            </w:r>
          </w:p>
        </w:tc>
        <w:tc>
          <w:tcPr>
            <w:tcW w:type="dxa" w:w="2436"/>
            <w:vAlign w:val="center"/>
          </w:tcPr>
          <w:p>
            <w:pPr>
              <w:spacing w:line="276" w:lineRule="auto" w:before="0" w:after="0"/>
            </w:pPr>
            <w:r/>
            <w:r>
              <w:rPr>
                <w:rFonts w:ascii="Figtree" w:hAnsi="Figtree"/>
                <w:b w:val="0"/>
                <w:i w:val="0"/>
                <w:sz w:val="20"/>
              </w:rPr>
              <w:t>20 weeks</w:t>
            </w:r>
          </w:p>
        </w:tc>
        <w:tc>
          <w:tcPr>
            <w:tcW w:type="dxa" w:w="2436"/>
            <w:vAlign w:val="center"/>
          </w:tcPr>
          <w:p>
            <w:pPr>
              <w:spacing w:line="276" w:lineRule="auto" w:before="0" w:after="0"/>
            </w:pPr>
            <w:r/>
            <w:r>
              <w:rPr>
                <w:rFonts w:ascii="Figtree" w:hAnsi="Figtree"/>
                <w:b w:val="0"/>
                <w:i w:val="0"/>
                <w:sz w:val="20"/>
              </w:rPr>
              <w:t>Pilot corridor, rollout, merchant settlement, hypercare</w:t>
            </w:r>
          </w:p>
        </w:tc>
        <w:tc>
          <w:tcPr>
            <w:tcW w:type="dxa" w:w="2436"/>
            <w:vAlign w:val="center"/>
          </w:tcPr>
          <w:p>
            <w:pPr>
              <w:spacing w:line="276" w:lineRule="auto" w:before="0" w:after="0"/>
            </w:pPr>
            <w:r/>
            <w:r>
              <w:rPr>
                <w:rFonts w:ascii="Figtree" w:hAnsi="Figtree"/>
                <w:b w:val="0"/>
                <w:i w:val="0"/>
                <w:sz w:val="20"/>
              </w:rPr>
              <w:t>$45,000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54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val="0"/>
          <w:sz w:val="22"/>
        </w:rPr>
        <w:t>The extended timeline and higher implementation cost compared to other institutions reflects:</w:t>
      </w:r>
    </w:p>
    <w:p>
      <w:pPr>
        <w:pStyle w:val="ListParagraph"/>
        <w:numPr>
          <w:ilvl w:val="0"/>
          <w:numId w:val="4"/>
        </w:numPr>
      </w:pPr>
      <w:r>
        <w:rPr>
          <w:rFonts w:ascii="Figtree" w:hAnsi="Figtree"/>
          <w:b w:val="0"/>
          <w:i w:val="0"/>
          <w:sz w:val="22"/>
        </w:rPr>
        <w:t>CBK regulatory engagement requires structured briefings and written comfort before production go-live</w:t>
      </w:r>
    </w:p>
    <w:p>
      <w:pPr>
        <w:pStyle w:val="ListParagraph"/>
        <w:numPr>
          <w:ilvl w:val="0"/>
          <w:numId w:val="4"/>
        </w:numPr>
      </w:pPr>
      <w:r>
        <w:rPr>
          <w:rFonts w:ascii="Figtree" w:hAnsi="Figtree"/>
          <w:b w:val="0"/>
          <w:i w:val="0"/>
          <w:sz w:val="22"/>
        </w:rPr>
        <w:t>On-premises deployment in Safaricom data centres has longer infrastructure setup than cloud deployment</w:t>
      </w:r>
    </w:p>
    <w:p>
      <w:pPr>
        <w:pStyle w:val="ListParagraph"/>
        <w:numPr>
          <w:ilvl w:val="0"/>
          <w:numId w:val="4"/>
        </w:numPr>
      </w:pPr>
      <w:r>
        <w:rPr>
          <w:rFonts w:ascii="Figtree" w:hAnsi="Figtree"/>
          <w:b w:val="0"/>
          <w:i w:val="0"/>
          <w:sz w:val="22"/>
        </w:rPr>
        <w:t>HSM procurement and installation adds 3-4 weeks versus cloud KMS deployment</w:t>
      </w:r>
    </w:p>
    <w:p>
      <w:pPr>
        <w:pStyle w:val="ListParagraph"/>
        <w:numPr>
          <w:ilvl w:val="0"/>
          <w:numId w:val="4"/>
        </w:numPr>
      </w:pPr>
      <w:r>
        <w:rPr>
          <w:rFonts w:ascii="Figtree" w:hAnsi="Figtree"/>
          <w:b w:val="0"/>
          <w:i w:val="0"/>
          <w:sz w:val="22"/>
        </w:rPr>
        <w:t>Multiple CBK gate reviews (Phase 3 and Phase 5) add formal approval steps with defined evidence requirements</w:t>
      </w:r>
    </w:p>
    <w:p>
      <w:pPr>
        <w:pStyle w:val="H3"/>
        <w:numPr>
          <w:ilvl w:val="2"/>
          <w:numId w:val="1"/>
        </w:numPr>
      </w:pPr>
      <w:r>
        <w:t>Training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14"/>
        <w:gridCol w:w="5719"/>
        <w:gridCol w:w="8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System and infrastructure management</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Treasury operations</w:t>
            </w:r>
          </w:p>
        </w:tc>
        <w:tc>
          <w:tcPr>
            <w:tcW w:type="dxa" w:w="3249"/>
            <w:vAlign w:val="center"/>
          </w:tcPr>
          <w:p>
            <w:pPr>
              <w:spacing w:line="276" w:lineRule="auto" w:before="0" w:after="0"/>
            </w:pPr>
            <w:r/>
            <w:r>
              <w:rPr>
                <w:rFonts w:ascii="Figtree" w:hAnsi="Figtree"/>
                <w:b w:val="0"/>
                <w:i w:val="0"/>
                <w:sz w:val="20"/>
              </w:rPr>
              <w:t>Corridor settlement, exception handling, approval workflows</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engineers</w:t>
            </w:r>
          </w:p>
        </w:tc>
        <w:tc>
          <w:tcPr>
            <w:tcW w:type="dxa" w:w="3249"/>
            <w:vAlign w:val="center"/>
          </w:tcPr>
          <w:p>
            <w:pPr>
              <w:spacing w:line="276" w:lineRule="auto" w:before="0" w:after="0"/>
            </w:pPr>
            <w:r/>
            <w:r>
              <w:rPr>
                <w:rFonts w:ascii="Figtree" w:hAnsi="Figtree"/>
                <w:b w:val="0"/>
                <w:i w:val="0"/>
                <w:sz w:val="20"/>
              </w:rPr>
              <w:t>API integration, SDK, webhook patterns</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Compliance / CBK liaison</w:t>
            </w:r>
          </w:p>
        </w:tc>
        <w:tc>
          <w:tcPr>
            <w:tcW w:type="dxa" w:w="3249"/>
            <w:vAlign w:val="center"/>
          </w:tcPr>
          <w:p>
            <w:pPr>
              <w:spacing w:line="276" w:lineRule="auto" w:before="0" w:after="0"/>
            </w:pPr>
            <w:r/>
            <w:r>
              <w:rPr>
                <w:rFonts w:ascii="Figtree" w:hAnsi="Figtree"/>
                <w:b w:val="0"/>
                <w:i w:val="0"/>
                <w:sz w:val="20"/>
              </w:rPr>
              <w:t>Compliance module management, CBK evidence API access</w:t>
            </w:r>
          </w:p>
        </w:tc>
        <w:tc>
          <w:tcPr>
            <w:tcW w:type="dxa" w:w="3249"/>
            <w:vAlign w:val="center"/>
          </w:tcPr>
          <w:p>
            <w:pPr>
              <w:spacing w:line="276" w:lineRule="auto" w:before="0" w:after="0"/>
            </w:pPr>
            <w:r/>
            <w:r>
              <w:rPr>
                <w:rFonts w:ascii="Figtree" w:hAnsi="Figtree"/>
                <w:b w:val="0"/>
                <w:i w:val="0"/>
                <w:sz w:val="20"/>
              </w:rPr>
              <w:t>1 day</w:t>
            </w:r>
          </w:p>
        </w:tc>
      </w:tr>
      <w:tr>
        <w:trPr>
          <w:trHeight w:val="425" w:hRule="atLeast"/>
        </w:trPr>
        <w:tc>
          <w:tcPr>
            <w:tcW w:type="dxa" w:w="3249"/>
            <w:vAlign w:val="center"/>
          </w:tcPr>
          <w:p>
            <w:pPr>
              <w:spacing w:line="276" w:lineRule="auto" w:before="0" w:after="0"/>
            </w:pPr>
            <w:r/>
            <w:r>
              <w:rPr>
                <w:rFonts w:ascii="Figtree" w:hAnsi="Figtree"/>
                <w:b w:val="0"/>
                <w:i w:val="0"/>
                <w:sz w:val="20"/>
              </w:rPr>
              <w:t>Safaricom audit team</w:t>
            </w:r>
          </w:p>
        </w:tc>
        <w:tc>
          <w:tcPr>
            <w:tcW w:type="dxa" w:w="3249"/>
            <w:vAlign w:val="center"/>
          </w:tcPr>
          <w:p>
            <w:pPr>
              <w:spacing w:line="276" w:lineRule="auto" w:before="0" w:after="0"/>
            </w:pPr>
            <w:r/>
            <w:r>
              <w:rPr>
                <w:rFonts w:ascii="Figtree" w:hAnsi="Figtree"/>
                <w:b w:val="0"/>
                <w:i w:val="0"/>
                <w:sz w:val="20"/>
              </w:rPr>
              <w:t>Audit log access, evidence export procedures</w:t>
            </w:r>
          </w:p>
        </w:tc>
        <w:tc>
          <w:tcPr>
            <w:tcW w:type="dxa" w:w="3249"/>
            <w:vAlign w:val="center"/>
          </w:tcPr>
          <w:p>
            <w:pPr>
              <w:spacing w:line="276" w:lineRule="auto" w:before="0" w:after="0"/>
            </w:pPr>
            <w:r/>
            <w:r>
              <w:rPr>
                <w:rFonts w:ascii="Figtree" w:hAnsi="Figtree"/>
                <w:b w:val="0"/>
                <w:i w:val="0"/>
                <w:sz w:val="20"/>
              </w:rPr>
              <w:t>1 day</w:t>
            </w:r>
          </w:p>
        </w:tc>
      </w:tr>
    </w:tbl>
    <w:p>
      <w:pPr>
        <w:spacing w:before="0" w:after="0" w:line="120" w:lineRule="exact"/>
      </w:pPr>
    </w:p>
    <w:p>
      <w:r>
        <w:br w:type="page"/>
      </w:r>
    </w:p>
    <w:p>
      <w:pPr>
        <w:pStyle w:val="H2"/>
        <w:numPr>
          <w:ilvl w:val="1"/>
          <w:numId w:val="1"/>
        </w:numPr>
      </w:pPr>
      <w:r>
        <w:t>Support and Operational Costs</w:t>
      </w:r>
    </w:p>
    <w:p>
      <w:pPr>
        <w:pStyle w:val="H3"/>
        <w:numPr>
          <w:ilvl w:val="2"/>
          <w:numId w:val="1"/>
        </w:numPr>
      </w:pPr>
      <w:r>
        <w:t>Support Recommendation</w:t>
      </w:r>
    </w:p>
    <w:p>
      <w:r>
        <w:rPr>
          <w:rFonts w:ascii="Figtree" w:hAnsi="Figtree"/>
          <w:b w:val="0"/>
          <w:i w:val="0"/>
          <w:sz w:val="22"/>
        </w:rPr>
        <w:t>For national payment infrastructure with CBK oversight, Premium support (24/7) is required. There is no appropriate alternative.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18"/>
        <w:gridCol w:w="33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4873"/>
            <w:vAlign w:val="center"/>
          </w:tcPr>
          <w:p>
            <w:pPr>
              <w:spacing w:line="276" w:lineRule="auto" w:before="0" w:after="0"/>
            </w:pPr>
            <w:r/>
            <w:r>
              <w:rPr>
                <w:rFonts w:ascii="Figtree" w:hAnsi="Figtree"/>
                <w:b w:val="0"/>
                <w:i w:val="0"/>
                <w:sz w:val="20"/>
              </w:rPr>
              <w:t>Annual cost</w:t>
            </w:r>
          </w:p>
        </w:tc>
        <w:tc>
          <w:tcPr>
            <w:tcW w:type="dxa" w:w="4873"/>
            <w:vAlign w:val="center"/>
          </w:tcPr>
          <w:p>
            <w:pPr>
              <w:spacing w:line="276" w:lineRule="auto" w:before="0" w:after="0"/>
            </w:pPr>
            <w:r/>
            <w:r>
              <w:rPr>
                <w:rFonts w:ascii="Figtree" w:hAnsi="Figtree"/>
                <w:b w:val="0"/>
                <w:i w:val="0"/>
                <w:sz w:val="20"/>
              </w:rPr>
              <w:t>$85,000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lead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Quarterly CBK evidence pack reviews</w:t>
            </w:r>
          </w:p>
        </w:tc>
        <w:tc>
          <w:tcPr>
            <w:tcW w:type="dxa" w:w="4873"/>
            <w:vAlign w:val="center"/>
          </w:tcPr>
          <w:p>
            <w:pPr>
              <w:spacing w:line="276" w:lineRule="auto" w:before="0" w:after="0"/>
            </w:pPr>
            <w:r/>
            <w:r>
              <w:rPr>
                <w:rFonts w:ascii="Figtree" w:hAnsi="Figtree"/>
                <w:b w:val="0"/>
                <w:i w:val="0"/>
                <w:sz w:val="20"/>
              </w:rPr>
              <w:t>Included in Premium</w:t>
            </w:r>
          </w:p>
        </w:tc>
      </w:tr>
    </w:tbl>
    <w:p>
      <w:pPr>
        <w:spacing w:before="0" w:after="0" w:line="120" w:lineRule="exact"/>
      </w:pPr>
    </w:p>
    <w:p>
      <w:pPr>
        <w:pStyle w:val="H3"/>
        <w:numPr>
          <w:ilvl w:val="2"/>
          <w:numId w:val="1"/>
        </w:numPr>
      </w:pPr>
      <w:r>
        <w:t>Severity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20"/>
        <w:gridCol w:w="5480"/>
        <w:gridCol w:w="1744"/>
        <w:gridCol w:w="102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Settlement layer failure (consumer fallback activated)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Settlement delayed, corridor operations blocked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 no consumer or CBK impact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72 hours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Enhancement, documentation</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Roadmap</w:t>
            </w:r>
          </w:p>
        </w:tc>
      </w:tr>
    </w:tbl>
    <w:p>
      <w:pPr>
        <w:spacing w:before="0" w:after="0" w:line="120" w:lineRule="exact"/>
      </w:pPr>
    </w:p>
    <w:p>
      <w:r>
        <w:br w:type="page"/>
      </w:r>
    </w:p>
    <w:p>
      <w:pPr>
        <w:pStyle w:val="H2"/>
        <w:numPr>
          <w:ilvl w:val="1"/>
          <w:numId w:val="1"/>
        </w:numPr>
      </w:pPr>
      <w:r>
        <w:t>Total Cost of Ownership Analysis</w:t>
      </w:r>
    </w:p>
    <w:p>
      <w:pPr>
        <w:pStyle w:val="H3"/>
        <w:numPr>
          <w:ilvl w:val="2"/>
          <w:numId w:val="1"/>
        </w:numPr>
      </w:pPr>
      <w:r>
        <w:t>3-Year TCO: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81"/>
        <w:gridCol w:w="1413"/>
        <w:gridCol w:w="1413"/>
        <w:gridCol w:w="1413"/>
        <w:gridCol w:w="164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$260,000</w:t>
            </w:r>
          </w:p>
        </w:tc>
        <w:tc>
          <w:tcPr>
            <w:tcW w:type="dxa" w:w="1949"/>
            <w:vAlign w:val="center"/>
          </w:tcPr>
          <w:p>
            <w:pPr>
              <w:spacing w:line="276" w:lineRule="auto" w:before="0" w:after="0"/>
            </w:pPr>
            <w:r/>
            <w:r>
              <w:rPr>
                <w:rFonts w:ascii="Figtree" w:hAnsi="Figtree"/>
                <w:b w:val="0"/>
                <w:i w:val="0"/>
                <w:sz w:val="20"/>
              </w:rPr>
              <w:t>$247,000</w:t>
            </w:r>
          </w:p>
        </w:tc>
        <w:tc>
          <w:tcPr>
            <w:tcW w:type="dxa" w:w="1949"/>
            <w:vAlign w:val="center"/>
          </w:tcPr>
          <w:p>
            <w:pPr>
              <w:spacing w:line="276" w:lineRule="auto" w:before="0" w:after="0"/>
            </w:pPr>
            <w:r/>
            <w:r>
              <w:rPr>
                <w:rFonts w:ascii="Figtree" w:hAnsi="Figtree"/>
                <w:b w:val="0"/>
                <w:i w:val="0"/>
                <w:sz w:val="20"/>
              </w:rPr>
              <w:t>$247,000</w:t>
            </w:r>
          </w:p>
        </w:tc>
        <w:tc>
          <w:tcPr>
            <w:tcW w:type="dxa" w:w="1949"/>
            <w:vAlign w:val="center"/>
          </w:tcPr>
          <w:p>
            <w:pPr>
              <w:spacing w:line="276" w:lineRule="auto" w:before="0" w:after="0"/>
            </w:pPr>
            <w:r/>
            <w:r>
              <w:rPr>
                <w:rFonts w:ascii="Figtree" w:hAnsi="Figtree"/>
                <w:b w:val="0"/>
                <w:i w:val="0"/>
                <w:sz w:val="20"/>
              </w:rPr>
              <w:t>$754,000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environments (2)</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$150,000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$255,000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$420,000</w:t>
            </w:r>
          </w:p>
        </w:tc>
      </w:tr>
      <w:tr>
        <w:trPr>
          <w:trHeight w:val="425" w:hRule="atLeast"/>
        </w:trPr>
        <w:tc>
          <w:tcPr>
            <w:tcW w:type="dxa" w:w="1949"/>
            <w:vAlign w:val="center"/>
          </w:tcPr>
          <w:p>
            <w:pPr>
              <w:spacing w:line="276" w:lineRule="auto" w:before="0" w:after="0"/>
            </w:pPr>
            <w:r/>
            <w:r>
              <w:rPr>
                <w:rFonts w:ascii="Figtree" w:hAnsi="Figtree"/>
                <w:b w:val="0"/>
                <w:i w:val="0"/>
                <w:sz w:val="20"/>
              </w:rPr>
              <w:t>Post-launch enablement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$20,000</w:t>
            </w:r>
          </w:p>
        </w:tc>
        <w:tc>
          <w:tcPr>
            <w:tcW w:type="dxa" w:w="1949"/>
            <w:vAlign w:val="center"/>
          </w:tcPr>
          <w:p>
            <w:pPr>
              <w:spacing w:line="276" w:lineRule="auto" w:before="0" w:after="0"/>
            </w:pPr>
            <w:r/>
            <w:r>
              <w:rPr>
                <w:rFonts w:ascii="Figtree" w:hAnsi="Figtree"/>
                <w:b w:val="0"/>
                <w:i w:val="0"/>
                <w:sz w:val="20"/>
              </w:rPr>
              <w:t>$20,000</w:t>
            </w:r>
          </w:p>
        </w:tc>
        <w:tc>
          <w:tcPr>
            <w:tcW w:type="dxa" w:w="1949"/>
            <w:vAlign w:val="center"/>
          </w:tcPr>
          <w:p>
            <w:pPr>
              <w:spacing w:line="276" w:lineRule="auto" w:before="0" w:after="0"/>
            </w:pPr>
            <w:r/>
            <w:r>
              <w:rPr>
                <w:rFonts w:ascii="Figtree" w:hAnsi="Figtree"/>
                <w:b w:val="0"/>
                <w:i w:val="0"/>
                <w:sz w:val="20"/>
              </w:rPr>
              <w:t>$40,000</w:t>
            </w:r>
          </w:p>
        </w:tc>
      </w:tr>
      <w:tr>
        <w:trPr>
          <w:trHeight w:val="425" w:hRule="atLeast"/>
        </w:trPr>
        <w:tc>
          <w:tcPr>
            <w:tcW w:type="dxa" w:w="1949"/>
            <w:vAlign w:val="center"/>
          </w:tcPr>
          <w:p>
            <w:pPr>
              <w:spacing w:line="276" w:lineRule="auto" w:before="0" w:after="0"/>
            </w:pPr>
            <w:r/>
            <w:r>
              <w:rPr>
                <w:rFonts w:ascii="Figtree" w:hAnsi="Figtree"/>
                <w:b/>
                <w:i w:val="0"/>
                <w:sz w:val="20"/>
              </w:rPr>
              <w:t>Subtotal</w:t>
            </w:r>
          </w:p>
        </w:tc>
        <w:tc>
          <w:tcPr>
            <w:tcW w:type="dxa" w:w="1949"/>
            <w:vAlign w:val="center"/>
          </w:tcPr>
          <w:p>
            <w:pPr>
              <w:spacing w:line="276" w:lineRule="auto" w:before="0" w:after="0"/>
            </w:pPr>
            <w:r/>
            <w:r>
              <w:rPr>
                <w:rFonts w:ascii="Figtree" w:hAnsi="Figtree"/>
                <w:b/>
                <w:i w:val="0"/>
                <w:sz w:val="20"/>
              </w:rPr>
              <w:t>$815,000</w:t>
            </w:r>
          </w:p>
        </w:tc>
        <w:tc>
          <w:tcPr>
            <w:tcW w:type="dxa" w:w="1949"/>
            <w:vAlign w:val="center"/>
          </w:tcPr>
          <w:p>
            <w:pPr>
              <w:spacing w:line="276" w:lineRule="auto" w:before="0" w:after="0"/>
            </w:pPr>
            <w:r/>
            <w:r>
              <w:rPr>
                <w:rFonts w:ascii="Figtree" w:hAnsi="Figtree"/>
                <w:b/>
                <w:i w:val="0"/>
                <w:sz w:val="20"/>
              </w:rPr>
              <w:t>$402,000</w:t>
            </w:r>
          </w:p>
        </w:tc>
        <w:tc>
          <w:tcPr>
            <w:tcW w:type="dxa" w:w="1949"/>
            <w:vAlign w:val="center"/>
          </w:tcPr>
          <w:p>
            <w:pPr>
              <w:spacing w:line="276" w:lineRule="auto" w:before="0" w:after="0"/>
            </w:pPr>
            <w:r/>
            <w:r>
              <w:rPr>
                <w:rFonts w:ascii="Figtree" w:hAnsi="Figtree"/>
                <w:b/>
                <w:i w:val="0"/>
                <w:sz w:val="20"/>
              </w:rPr>
              <w:t>$402,000</w:t>
            </w:r>
          </w:p>
        </w:tc>
        <w:tc>
          <w:tcPr>
            <w:tcW w:type="dxa" w:w="1949"/>
            <w:vAlign w:val="center"/>
          </w:tcPr>
          <w:p>
            <w:pPr>
              <w:spacing w:line="276" w:lineRule="auto" w:before="0" w:after="0"/>
            </w:pPr>
            <w:r/>
            <w:r>
              <w:rPr>
                <w:rFonts w:ascii="Figtree" w:hAnsi="Figtree"/>
                <w:b/>
                <w:i w:val="0"/>
                <w:sz w:val="20"/>
              </w:rPr>
              <w:t>$1,619,000</w:t>
            </w:r>
          </w:p>
        </w:tc>
      </w:tr>
    </w:tbl>
    <w:p>
      <w:pPr>
        <w:spacing w:before="0" w:after="0" w:line="120" w:lineRule="exact"/>
      </w:pPr>
    </w:p>
    <w:p>
      <w:r>
        <w:rPr>
          <w:rFonts w:ascii="Figtree" w:hAnsi="Figtree"/>
          <w:b w:val="0"/>
          <w:i/>
          <w:sz w:val="22"/>
        </w:rPr>
        <w:t>Year 2-3 license at 5% multi-year discount. Infrastructure (Safaricom DCs, HSM, Kubernetes) is Safaricom-borne, estimated $120,000-$150,000/year for on-premises production-grade with HSM.</w:t>
      </w:r>
    </w:p>
    <w:p>
      <w:r>
        <w:rPr>
          <w:rFonts w:ascii="Figtree" w:hAnsi="Figtree"/>
          <w:b/>
          <w:i w:val="0"/>
          <w:sz w:val="22"/>
        </w:rPr>
        <w:t>3-year TCO including infrastructure: approximately $1,980,000-$2,070,000</w:t>
      </w:r>
    </w:p>
    <w:p>
      <w:r>
        <w:rPr>
          <w:rFonts w:ascii="Figtree" w:hAnsi="Figtree"/>
          <w:b w:val="0"/>
          <w:i w:val="0"/>
          <w:sz w:val="22"/>
        </w:rPr>
        <w:t>Note: The 3-year base software cost ($1,619,000) is slightly above the generic $1,400,000 ceiling. This reflects M-Pesa's national infrastructure profile and includes CBK engagement support in implementation pricing. The full TCO including Safaricom-borne infrastructure represents the complete economic picture.</w:t>
      </w:r>
    </w:p>
    <w:p>
      <w:pPr>
        <w:pStyle w:val="H3"/>
        <w:numPr>
          <w:ilvl w:val="2"/>
          <w:numId w:val="1"/>
        </w:numPr>
      </w:pPr>
      <w:r>
        <w:t>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6"/>
        <w:gridCol w:w="1979"/>
        <w:gridCol w:w="2804"/>
        <w:gridCol w:w="173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w:t>
            </w:r>
          </w:p>
        </w:tc>
      </w:tr>
      <w:tr>
        <w:trPr>
          <w:trHeight w:val="425" w:hRule="atLeast"/>
        </w:trPr>
        <w:tc>
          <w:tcPr>
            <w:tcW w:type="dxa" w:w="2436"/>
            <w:vAlign w:val="center"/>
          </w:tcPr>
          <w:p>
            <w:pPr>
              <w:spacing w:line="276" w:lineRule="auto" w:before="0" w:after="0"/>
            </w:pPr>
            <w:r/>
            <w:r>
              <w:rPr>
                <w:rFonts w:ascii="Figtree" w:hAnsi="Figtree"/>
                <w:b w:val="0"/>
                <w:i w:val="0"/>
                <w:sz w:val="20"/>
              </w:rPr>
              <w:t>3-year software cost</w:t>
            </w:r>
          </w:p>
        </w:tc>
        <w:tc>
          <w:tcPr>
            <w:tcW w:type="dxa" w:w="2436"/>
            <w:vAlign w:val="center"/>
          </w:tcPr>
          <w:p>
            <w:pPr>
              <w:spacing w:line="276" w:lineRule="auto" w:before="0" w:after="0"/>
            </w:pPr>
            <w:r/>
            <w:r>
              <w:rPr>
                <w:rFonts w:ascii="Figtree" w:hAnsi="Figtree"/>
                <w:b w:val="0"/>
                <w:i w:val="0"/>
                <w:sz w:val="20"/>
              </w:rPr>
              <w:t>~$1.6M</w:t>
            </w:r>
          </w:p>
        </w:tc>
        <w:tc>
          <w:tcPr>
            <w:tcW w:type="dxa" w:w="2436"/>
            <w:vAlign w:val="center"/>
          </w:tcPr>
          <w:p>
            <w:pPr>
              <w:spacing w:line="276" w:lineRule="auto" w:before="0" w:after="0"/>
            </w:pPr>
            <w:r/>
            <w:r>
              <w:rPr>
                <w:rFonts w:ascii="Figtree" w:hAnsi="Figtree"/>
                <w:b w:val="0"/>
                <w:i w:val="0"/>
                <w:sz w:val="20"/>
              </w:rPr>
              <w:t>~$4-5M (national infra complexity)</w:t>
            </w:r>
          </w:p>
        </w:tc>
        <w:tc>
          <w:tcPr>
            <w:tcW w:type="dxa" w:w="2436"/>
            <w:vAlign w:val="center"/>
          </w:tcPr>
          <w:p>
            <w:pPr>
              <w:spacing w:line="276" w:lineRule="auto" w:before="0" w:after="0"/>
            </w:pPr>
            <w:r/>
            <w:r>
              <w:rPr>
                <w:rFonts w:ascii="Figtree" w:hAnsi="Figtree"/>
                <w:b w:val="0"/>
                <w:i w:val="0"/>
                <w:sz w:val="20"/>
              </w:rPr>
              <w:t>~$3M</w:t>
            </w:r>
          </w:p>
        </w:tc>
      </w:tr>
      <w:tr>
        <w:trPr>
          <w:trHeight w:val="425" w:hRule="atLeast"/>
        </w:trPr>
        <w:tc>
          <w:tcPr>
            <w:tcW w:type="dxa" w:w="2436"/>
            <w:vAlign w:val="center"/>
          </w:tcPr>
          <w:p>
            <w:pPr>
              <w:spacing w:line="276" w:lineRule="auto" w:before="0" w:after="0"/>
            </w:pPr>
            <w:r/>
            <w:r>
              <w:rPr>
                <w:rFonts w:ascii="Figtree" w:hAnsi="Figtree"/>
                <w:b w:val="0"/>
                <w:i w:val="0"/>
                <w:sz w:val="20"/>
              </w:rPr>
              <w:t>Time to CBK-approved production</w:t>
            </w:r>
          </w:p>
        </w:tc>
        <w:tc>
          <w:tcPr>
            <w:tcW w:type="dxa" w:w="2436"/>
            <w:vAlign w:val="center"/>
          </w:tcPr>
          <w:p>
            <w:pPr>
              <w:spacing w:line="276" w:lineRule="auto" w:before="0" w:after="0"/>
            </w:pPr>
            <w:r/>
            <w:r>
              <w:rPr>
                <w:rFonts w:ascii="Figtree" w:hAnsi="Figtree"/>
                <w:b w:val="0"/>
                <w:i w:val="0"/>
                <w:sz w:val="20"/>
              </w:rPr>
              <w:t>54 weeks</w:t>
            </w:r>
          </w:p>
        </w:tc>
        <w:tc>
          <w:tcPr>
            <w:tcW w:type="dxa" w:w="2436"/>
            <w:vAlign w:val="center"/>
          </w:tcPr>
          <w:p>
            <w:pPr>
              <w:spacing w:line="276" w:lineRule="auto" w:before="0" w:after="0"/>
            </w:pPr>
            <w:r/>
            <w:r>
              <w:rPr>
                <w:rFonts w:ascii="Figtree" w:hAnsi="Figtree"/>
                <w:b w:val="0"/>
                <w:i w:val="0"/>
                <w:sz w:val="20"/>
              </w:rPr>
              <w:t>30-40 months</w:t>
            </w:r>
          </w:p>
        </w:tc>
        <w:tc>
          <w:tcPr>
            <w:tcW w:type="dxa" w:w="2436"/>
            <w:vAlign w:val="center"/>
          </w:tcPr>
          <w:p>
            <w:pPr>
              <w:spacing w:line="276" w:lineRule="auto" w:before="0" w:after="0"/>
            </w:pPr>
            <w:r/>
            <w:r>
              <w:rPr>
                <w:rFonts w:ascii="Figtree" w:hAnsi="Figtree"/>
                <w:b w:val="0"/>
                <w:i w:val="0"/>
                <w:sz w:val="20"/>
              </w:rPr>
              <w:t>24-36 months</w:t>
            </w:r>
          </w:p>
        </w:tc>
      </w:tr>
      <w:tr>
        <w:trPr>
          <w:trHeight w:val="425" w:hRule="atLeast"/>
        </w:trPr>
        <w:tc>
          <w:tcPr>
            <w:tcW w:type="dxa" w:w="2436"/>
            <w:vAlign w:val="center"/>
          </w:tcPr>
          <w:p>
            <w:pPr>
              <w:spacing w:line="276" w:lineRule="auto" w:before="0" w:after="0"/>
            </w:pPr>
            <w:r/>
            <w:r>
              <w:rPr>
                <w:rFonts w:ascii="Figtree" w:hAnsi="Figtree"/>
                <w:b w:val="0"/>
                <w:i w:val="0"/>
                <w:sz w:val="20"/>
              </w:rPr>
              <w:t>CBK evidence architecture</w:t>
            </w:r>
          </w:p>
        </w:tc>
        <w:tc>
          <w:tcPr>
            <w:tcW w:type="dxa" w:w="2436"/>
            <w:vAlign w:val="center"/>
          </w:tcPr>
          <w:p>
            <w:pPr>
              <w:spacing w:line="276" w:lineRule="auto" w:before="0" w:after="0"/>
            </w:pPr>
            <w:r/>
            <w:r>
              <w:rPr>
                <w:rFonts w:ascii="Figtree" w:hAnsi="Figtree"/>
                <w:b w:val="0"/>
                <w:i w:val="0"/>
                <w:sz w:val="20"/>
              </w:rPr>
              <w:t>Built-in, API-accessible</w:t>
            </w:r>
          </w:p>
        </w:tc>
        <w:tc>
          <w:tcPr>
            <w:tcW w:type="dxa" w:w="2436"/>
            <w:vAlign w:val="center"/>
          </w:tcPr>
          <w:p>
            <w:pPr>
              <w:spacing w:line="276" w:lineRule="auto" w:before="0" w:after="0"/>
            </w:pPr>
            <w:r/>
            <w:r>
              <w:rPr>
                <w:rFonts w:ascii="Figtree" w:hAnsi="Figtree"/>
                <w:b w:val="0"/>
                <w:i w:val="0"/>
                <w:sz w:val="20"/>
              </w:rPr>
              <w:t>Must be designed and audited</w:t>
            </w:r>
          </w:p>
        </w:tc>
        <w:tc>
          <w:tcPr>
            <w:tcW w:type="dxa" w:w="2436"/>
            <w:vAlign w:val="center"/>
          </w:tcPr>
          <w:p>
            <w:pPr>
              <w:spacing w:line="276" w:lineRule="auto" w:before="0" w:after="0"/>
            </w:pPr>
            <w:r/>
            <w:r>
              <w:rPr>
                <w:rFonts w:ascii="Figtree" w:hAnsi="Figtree"/>
                <w:b w:val="0"/>
                <w:i w:val="0"/>
                <w:sz w:val="20"/>
              </w:rPr>
              <w:t>Cross-vendor gap risk</w:t>
            </w:r>
          </w:p>
        </w:tc>
      </w:tr>
      <w:tr>
        <w:trPr>
          <w:trHeight w:val="425" w:hRule="atLeast"/>
        </w:trPr>
        <w:tc>
          <w:tcPr>
            <w:tcW w:type="dxa" w:w="2436"/>
            <w:vAlign w:val="center"/>
          </w:tcPr>
          <w:p>
            <w:pPr>
              <w:spacing w:line="276" w:lineRule="auto" w:before="0" w:after="0"/>
            </w:pPr>
            <w:r/>
            <w:r>
              <w:rPr>
                <w:rFonts w:ascii="Figtree" w:hAnsi="Figtree"/>
                <w:b w:val="0"/>
                <w:i w:val="0"/>
                <w:sz w:val="20"/>
              </w:rPr>
              <w:t>Consumer protection segregation</w:t>
            </w:r>
          </w:p>
        </w:tc>
        <w:tc>
          <w:tcPr>
            <w:tcW w:type="dxa" w:w="2436"/>
            <w:vAlign w:val="center"/>
          </w:tcPr>
          <w:p>
            <w:pPr>
              <w:spacing w:line="276" w:lineRule="auto" w:before="0" w:after="0"/>
            </w:pPr>
            <w:r/>
            <w:r>
              <w:rPr>
                <w:rFonts w:ascii="Figtree" w:hAnsi="Figtree"/>
                <w:b w:val="0"/>
                <w:i w:val="0"/>
                <w:sz w:val="20"/>
              </w:rPr>
              <w:t>Structural, verifiable</w:t>
            </w:r>
          </w:p>
        </w:tc>
        <w:tc>
          <w:tcPr>
            <w:tcW w:type="dxa" w:w="2436"/>
            <w:vAlign w:val="center"/>
          </w:tcPr>
          <w:p>
            <w:pPr>
              <w:spacing w:line="276" w:lineRule="auto" w:before="0" w:after="0"/>
            </w:pPr>
            <w:r/>
            <w:r>
              <w:rPr>
                <w:rFonts w:ascii="Figtree" w:hAnsi="Figtree"/>
                <w:b w:val="0"/>
                <w:i w:val="0"/>
                <w:sz w:val="20"/>
              </w:rPr>
              <w:t>Must be proven</w:t>
            </w:r>
          </w:p>
        </w:tc>
        <w:tc>
          <w:tcPr>
            <w:tcW w:type="dxa" w:w="2436"/>
            <w:vAlign w:val="center"/>
          </w:tcPr>
          <w:p>
            <w:pPr>
              <w:spacing w:line="276" w:lineRule="auto" w:before="0" w:after="0"/>
            </w:pPr>
            <w:r/>
            <w:r>
              <w:rPr>
                <w:rFonts w:ascii="Figtree" w:hAnsi="Figtree"/>
                <w:b w:val="0"/>
                <w:i w:val="0"/>
                <w:sz w:val="20"/>
              </w:rPr>
              <w:t>Not guaranteed</w:t>
            </w:r>
          </w:p>
        </w:tc>
      </w:tr>
    </w:tbl>
    <w:p>
      <w:pPr>
        <w:spacing w:before="0" w:after="0" w:line="120" w:lineRule="exact"/>
      </w:pPr>
    </w:p>
    <w:p>
      <w:r>
        <w:br w:type="page"/>
      </w:r>
    </w:p>
    <w:p>
      <w:pPr>
        <w:pStyle w:val="H2"/>
        <w:numPr>
          <w:ilvl w:val="1"/>
          <w:numId w:val="1"/>
        </w:numPr>
      </w:pPr>
      <w:r>
        <w:t>Payment Terms and Commercial Structure</w:t>
      </w:r>
    </w:p>
    <w:p>
      <w:pPr>
        <w:pStyle w:val="H3"/>
        <w:numPr>
          <w:ilvl w:val="2"/>
          <w:numId w:val="1"/>
        </w:numPr>
      </w:pPr>
      <w:r>
        <w:t>Platform License</w:t>
      </w:r>
    </w:p>
    <w:p>
      <w:r>
        <w:rPr>
          <w:rFonts w:ascii="Figtree" w:hAnsi="Figtree"/>
          <w:b w:val="0"/>
          <w:i w:val="0"/>
          <w:sz w:val="22"/>
        </w:rPr>
        <w:t>Annual, invoiced in advance. Year 2-3 at 5% multi-year discount with commitment at signature.</w:t>
      </w:r>
    </w:p>
    <w:p>
      <w:pPr>
        <w:pStyle w:val="H3"/>
        <w:numPr>
          <w:ilvl w:val="2"/>
          <w:numId w:val="1"/>
        </w:numPr>
      </w:pPr>
      <w:r>
        <w:t>Implementation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16"/>
        <w:gridCol w:w="901"/>
        <w:gridCol w:w="1352"/>
        <w:gridCol w:w="8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$84,000</w:t>
            </w:r>
          </w:p>
        </w:tc>
        <w:tc>
          <w:tcPr>
            <w:tcW w:type="dxa" w:w="2436"/>
            <w:vAlign w:val="center"/>
          </w:tcPr>
          <w:p>
            <w:pPr>
              <w:spacing w:line="276" w:lineRule="auto" w:before="0" w:after="0"/>
            </w:pPr>
            <w:r/>
            <w:r>
              <w:rPr>
                <w:rFonts w:ascii="Figtree" w:hAnsi="Figtree"/>
                <w:b w:val="0"/>
                <w:i w:val="0"/>
                <w:sz w:val="20"/>
              </w:rPr>
              <w:t>Week 0</w:t>
            </w:r>
          </w:p>
        </w:tc>
      </w:tr>
      <w:tr>
        <w:trPr>
          <w:trHeight w:val="425" w:hRule="atLeast"/>
        </w:trPr>
        <w:tc>
          <w:tcPr>
            <w:tcW w:type="dxa" w:w="2436"/>
            <w:vAlign w:val="center"/>
          </w:tcPr>
          <w:p>
            <w:pPr>
              <w:spacing w:line="276" w:lineRule="auto" w:before="0" w:after="0"/>
            </w:pPr>
            <w:r/>
            <w:r>
              <w:rPr>
                <w:rFonts w:ascii="Figtree" w:hAnsi="Figtree"/>
                <w:b w:val="0"/>
                <w:i w:val="0"/>
                <w:sz w:val="20"/>
              </w:rPr>
              <w:t>Phase 1 gate (CBK engagement completed, architecture approved)</w:t>
            </w:r>
          </w:p>
        </w:tc>
        <w:tc>
          <w:tcPr>
            <w:tcW w:type="dxa" w:w="2436"/>
            <w:vAlign w:val="center"/>
          </w:tcPr>
          <w:p>
            <w:pPr>
              <w:spacing w:line="276" w:lineRule="auto" w:before="0" w:after="0"/>
            </w:pPr>
            <w:r/>
            <w:r>
              <w:rPr>
                <w:rFonts w:ascii="Figtree" w:hAnsi="Figtree"/>
                <w:b w:val="0"/>
                <w:i w:val="0"/>
                <w:sz w:val="20"/>
              </w:rPr>
              <w:t>15%</w:t>
            </w:r>
          </w:p>
        </w:tc>
        <w:tc>
          <w:tcPr>
            <w:tcW w:type="dxa" w:w="2436"/>
            <w:vAlign w:val="center"/>
          </w:tcPr>
          <w:p>
            <w:pPr>
              <w:spacing w:line="276" w:lineRule="auto" w:before="0" w:after="0"/>
            </w:pPr>
            <w:r/>
            <w:r>
              <w:rPr>
                <w:rFonts w:ascii="Figtree" w:hAnsi="Figtree"/>
                <w:b w:val="0"/>
                <w:i w:val="0"/>
                <w:sz w:val="20"/>
              </w:rPr>
              <w:t>$63,000</w:t>
            </w:r>
          </w:p>
        </w:tc>
        <w:tc>
          <w:tcPr>
            <w:tcW w:type="dxa" w:w="2436"/>
            <w:vAlign w:val="center"/>
          </w:tcPr>
          <w:p>
            <w:pPr>
              <w:spacing w:line="276" w:lineRule="auto" w:before="0" w:after="0"/>
            </w:pPr>
            <w:r/>
            <w:r>
              <w:rPr>
                <w:rFonts w:ascii="Figtree" w:hAnsi="Figtree"/>
                <w:b w:val="0"/>
                <w:i w:val="0"/>
                <w:sz w:val="20"/>
              </w:rPr>
              <w:t>Week 7</w:t>
            </w:r>
          </w:p>
        </w:tc>
      </w:tr>
      <w:tr>
        <w:trPr>
          <w:trHeight w:val="425" w:hRule="atLeast"/>
        </w:trPr>
        <w:tc>
          <w:tcPr>
            <w:tcW w:type="dxa" w:w="2436"/>
            <w:vAlign w:val="center"/>
          </w:tcPr>
          <w:p>
            <w:pPr>
              <w:spacing w:line="276" w:lineRule="auto" w:before="0" w:after="0"/>
            </w:pPr>
            <w:r/>
            <w:r>
              <w:rPr>
                <w:rFonts w:ascii="Figtree" w:hAnsi="Figtree"/>
                <w:b w:val="0"/>
                <w:i w:val="0"/>
                <w:sz w:val="20"/>
              </w:rPr>
              <w:t>Phase 3 gate (CBK review of deployed layer completed)</w:t>
            </w:r>
          </w:p>
        </w:tc>
        <w:tc>
          <w:tcPr>
            <w:tcW w:type="dxa" w:w="2436"/>
            <w:vAlign w:val="center"/>
          </w:tcPr>
          <w:p>
            <w:pPr>
              <w:spacing w:line="276" w:lineRule="auto" w:before="0" w:after="0"/>
            </w:pPr>
            <w:r/>
            <w:r>
              <w:rPr>
                <w:rFonts w:ascii="Figtree" w:hAnsi="Figtree"/>
                <w:b w:val="0"/>
                <w:i w:val="0"/>
                <w:sz w:val="20"/>
              </w:rPr>
              <w:t>25%</w:t>
            </w:r>
          </w:p>
        </w:tc>
        <w:tc>
          <w:tcPr>
            <w:tcW w:type="dxa" w:w="2436"/>
            <w:vAlign w:val="center"/>
          </w:tcPr>
          <w:p>
            <w:pPr>
              <w:spacing w:line="276" w:lineRule="auto" w:before="0" w:after="0"/>
            </w:pPr>
            <w:r/>
            <w:r>
              <w:rPr>
                <w:rFonts w:ascii="Figtree" w:hAnsi="Figtree"/>
                <w:b w:val="0"/>
                <w:i w:val="0"/>
                <w:sz w:val="20"/>
              </w:rPr>
              <w:t>$105,000</w:t>
            </w:r>
          </w:p>
        </w:tc>
        <w:tc>
          <w:tcPr>
            <w:tcW w:type="dxa" w:w="2436"/>
            <w:vAlign w:val="center"/>
          </w:tcPr>
          <w:p>
            <w:pPr>
              <w:spacing w:line="276" w:lineRule="auto" w:before="0" w:after="0"/>
            </w:pPr>
            <w:r/>
            <w:r>
              <w:rPr>
                <w:rFonts w:ascii="Figtree" w:hAnsi="Figtree"/>
                <w:b w:val="0"/>
                <w:i w:val="0"/>
                <w:sz w:val="20"/>
              </w:rPr>
              <w:t>Week 20</w:t>
            </w:r>
          </w:p>
        </w:tc>
      </w:tr>
      <w:tr>
        <w:trPr>
          <w:trHeight w:val="425" w:hRule="atLeast"/>
        </w:trPr>
        <w:tc>
          <w:tcPr>
            <w:tcW w:type="dxa" w:w="2436"/>
            <w:vAlign w:val="center"/>
          </w:tcPr>
          <w:p>
            <w:pPr>
              <w:spacing w:line="276" w:lineRule="auto" w:before="0" w:after="0"/>
            </w:pPr>
            <w:r/>
            <w:r>
              <w:rPr>
                <w:rFonts w:ascii="Figtree" w:hAnsi="Figtree"/>
                <w:b w:val="0"/>
                <w:i w:val="0"/>
                <w:sz w:val="20"/>
              </w:rPr>
              <w:t>Phase 5 gate (CBK written comfort, UAT complete)</w:t>
            </w:r>
          </w:p>
        </w:tc>
        <w:tc>
          <w:tcPr>
            <w:tcW w:type="dxa" w:w="2436"/>
            <w:vAlign w:val="center"/>
          </w:tcPr>
          <w:p>
            <w:pPr>
              <w:spacing w:line="276" w:lineRule="auto" w:before="0" w:after="0"/>
            </w:pPr>
            <w:r/>
            <w:r>
              <w:rPr>
                <w:rFonts w:ascii="Figtree" w:hAnsi="Figtree"/>
                <w:b w:val="0"/>
                <w:i w:val="0"/>
                <w:sz w:val="20"/>
              </w:rPr>
              <w:t>25%</w:t>
            </w:r>
          </w:p>
        </w:tc>
        <w:tc>
          <w:tcPr>
            <w:tcW w:type="dxa" w:w="2436"/>
            <w:vAlign w:val="center"/>
          </w:tcPr>
          <w:p>
            <w:pPr>
              <w:spacing w:line="276" w:lineRule="auto" w:before="0" w:after="0"/>
            </w:pPr>
            <w:r/>
            <w:r>
              <w:rPr>
                <w:rFonts w:ascii="Figtree" w:hAnsi="Figtree"/>
                <w:b w:val="0"/>
                <w:i w:val="0"/>
                <w:sz w:val="20"/>
              </w:rPr>
              <w:t>$105,000</w:t>
            </w:r>
          </w:p>
        </w:tc>
        <w:tc>
          <w:tcPr>
            <w:tcW w:type="dxa" w:w="2436"/>
            <w:vAlign w:val="center"/>
          </w:tcPr>
          <w:p>
            <w:pPr>
              <w:spacing w:line="276" w:lineRule="auto" w:before="0" w:after="0"/>
            </w:pPr>
            <w:r/>
            <w:r>
              <w:rPr>
                <w:rFonts w:ascii="Figtree" w:hAnsi="Figtree"/>
                <w:b w:val="0"/>
                <w:i w:val="0"/>
                <w:sz w:val="20"/>
              </w:rPr>
              <w:t>Week 34</w:t>
            </w:r>
          </w:p>
        </w:tc>
      </w:tr>
      <w:tr>
        <w:trPr>
          <w:trHeight w:val="425" w:hRule="atLeast"/>
        </w:trPr>
        <w:tc>
          <w:tcPr>
            <w:tcW w:type="dxa" w:w="2436"/>
            <w:vAlign w:val="center"/>
          </w:tcPr>
          <w:p>
            <w:pPr>
              <w:spacing w:line="276" w:lineRule="auto" w:before="0" w:after="0"/>
            </w:pPr>
            <w:r/>
            <w:r>
              <w:rPr>
                <w:rFonts w:ascii="Figtree" w:hAnsi="Figtree"/>
                <w:b w:val="0"/>
                <w:i w:val="0"/>
                <w:sz w:val="20"/>
              </w:rPr>
              <w:t>Phase 6 gate (first corridor production)</w:t>
            </w:r>
          </w:p>
        </w:tc>
        <w:tc>
          <w:tcPr>
            <w:tcW w:type="dxa" w:w="2436"/>
            <w:vAlign w:val="center"/>
          </w:tcPr>
          <w:p>
            <w:pPr>
              <w:spacing w:line="276" w:lineRule="auto" w:before="0" w:after="0"/>
            </w:pPr>
            <w:r/>
            <w:r>
              <w:rPr>
                <w:rFonts w:ascii="Figtree" w:hAnsi="Figtree"/>
                <w:b w:val="0"/>
                <w:i w:val="0"/>
                <w:sz w:val="20"/>
              </w:rPr>
              <w:t>15%</w:t>
            </w:r>
          </w:p>
        </w:tc>
        <w:tc>
          <w:tcPr>
            <w:tcW w:type="dxa" w:w="2436"/>
            <w:vAlign w:val="center"/>
          </w:tcPr>
          <w:p>
            <w:pPr>
              <w:spacing w:line="276" w:lineRule="auto" w:before="0" w:after="0"/>
            </w:pPr>
            <w:r/>
            <w:r>
              <w:rPr>
                <w:rFonts w:ascii="Figtree" w:hAnsi="Figtree"/>
                <w:b w:val="0"/>
                <w:i w:val="0"/>
                <w:sz w:val="20"/>
              </w:rPr>
              <w:t>$63,000</w:t>
            </w:r>
          </w:p>
        </w:tc>
        <w:tc>
          <w:tcPr>
            <w:tcW w:type="dxa" w:w="2436"/>
            <w:vAlign w:val="center"/>
          </w:tcPr>
          <w:p>
            <w:pPr>
              <w:spacing w:line="276" w:lineRule="auto" w:before="0" w:after="0"/>
            </w:pPr>
            <w:r/>
            <w:r>
              <w:rPr>
                <w:rFonts w:ascii="Figtree" w:hAnsi="Figtree"/>
                <w:b w:val="0"/>
                <w:i w:val="0"/>
                <w:sz w:val="20"/>
              </w:rPr>
              <w:t>Week 54</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100%</w:t>
            </w:r>
          </w:p>
        </w:tc>
        <w:tc>
          <w:tcPr>
            <w:tcW w:type="dxa" w:w="2436"/>
            <w:vAlign w:val="center"/>
          </w:tcPr>
          <w:p>
            <w:pPr>
              <w:spacing w:line="276" w:lineRule="auto" w:before="0" w:after="0"/>
            </w:pPr>
            <w:r/>
            <w:r>
              <w:rPr>
                <w:rFonts w:ascii="Figtree" w:hAnsi="Figtree"/>
                <w:b/>
                <w:i w:val="0"/>
                <w:sz w:val="20"/>
              </w:rPr>
              <w:t>$420,000</w:t>
            </w:r>
          </w:p>
        </w:tc>
        <w:tc>
          <w:tcPr>
            <w:tcW w:type="dxa" w:w="2436"/>
            <w:vAlign w:val="center"/>
          </w:tcPr>
          <w:p>
            <w:pPr>
              <w:spacing w:line="276" w:lineRule="auto" w:before="0" w:after="0"/>
            </w:pPr>
            <w:r/>
          </w:p>
        </w:tc>
      </w:tr>
    </w:tbl>
    <w:p>
      <w:pPr>
        <w:spacing w:before="0" w:after="0" w:line="120" w:lineRule="exact"/>
      </w:pPr>
    </w:p>
    <w:p>
      <w:r>
        <w:rPr>
          <w:rFonts w:ascii="Figtree" w:hAnsi="Figtree"/>
          <w:b w:val="0"/>
          <w:i w:val="0"/>
          <w:sz w:val="22"/>
        </w:rPr>
        <w:t>The implementation payment schedule reflects the CBK gate structure: larger milestone payments are tied to CBK approval events to ensure Safaricom is not making full payment before regulatory comfort is achieved.</w:t>
      </w:r>
    </w:p>
    <w:p>
      <w:pPr>
        <w:pStyle w:val="H3"/>
        <w:numPr>
          <w:ilvl w:val="2"/>
          <w:numId w:val="1"/>
        </w:numPr>
      </w:pPr>
      <w:r>
        <w:t>Contract Duration</w:t>
      </w:r>
    </w:p>
    <w:p>
      <w:r>
        <w:rPr>
          <w:rFonts w:ascii="Figtree" w:hAnsi="Figtree"/>
          <w:b w:val="0"/>
          <w:i w:val="0"/>
          <w:sz w:val="22"/>
        </w:rPr>
        <w:t>3-year initial term from Phase 6 production go-live. Renewal: 90-day written notice. Duration clock starts at go-live, not at contract signature, reflecting the extended implementation timeline.</w:t>
      </w:r>
    </w:p>
    <w:p>
      <w:r>
        <w:br w:type="page"/>
      </w:r>
    </w:p>
    <w:p>
      <w:pPr>
        <w:pStyle w:val="H2"/>
        <w:numPr>
          <w:ilvl w:val="1"/>
          <w:numId w:val="1"/>
        </w:numPr>
      </w:pPr>
      <w:r>
        <w:t>Value Realisation and ROI Analysis</w:t>
      </w:r>
    </w:p>
    <w:p>
      <w:pPr>
        <w:pStyle w:val="H3"/>
        <w:numPr>
          <w:ilvl w:val="2"/>
          <w:numId w:val="1"/>
        </w:numPr>
      </w:pPr>
      <w:r>
        <w:t>Value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2"/>
        <w:gridCol w:w="4219"/>
        <w:gridCol w:w="22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Benefit</w:t>
            </w:r>
          </w:p>
        </w:tc>
      </w:tr>
      <w:tr>
        <w:trPr>
          <w:trHeight w:val="425" w:hRule="atLeast"/>
        </w:trPr>
        <w:tc>
          <w:tcPr>
            <w:tcW w:type="dxa" w:w="3249"/>
            <w:vAlign w:val="center"/>
          </w:tcPr>
          <w:p>
            <w:pPr>
              <w:spacing w:line="276" w:lineRule="auto" w:before="0" w:after="0"/>
            </w:pPr>
            <w:r/>
            <w:r>
              <w:rPr>
                <w:rFonts w:ascii="Figtree" w:hAnsi="Figtree"/>
                <w:b w:val="0"/>
                <w:i w:val="0"/>
                <w:sz w:val="20"/>
              </w:rPr>
              <w:t>Correspondent banking float reduction</w:t>
            </w:r>
          </w:p>
        </w:tc>
        <w:tc>
          <w:tcPr>
            <w:tcW w:type="dxa" w:w="3249"/>
            <w:vAlign w:val="center"/>
          </w:tcPr>
          <w:p>
            <w:pPr>
              <w:spacing w:line="276" w:lineRule="auto" w:before="0" w:after="0"/>
            </w:pPr>
            <w:r/>
            <w:r>
              <w:rPr>
                <w:rFonts w:ascii="Figtree" w:hAnsi="Figtree"/>
                <w:b w:val="0"/>
                <w:i w:val="0"/>
                <w:sz w:val="20"/>
              </w:rPr>
              <w:t>Faster corridor settlement frees float capital</w:t>
            </w:r>
          </w:p>
        </w:tc>
        <w:tc>
          <w:tcPr>
            <w:tcW w:type="dxa" w:w="3249"/>
            <w:vAlign w:val="center"/>
          </w:tcPr>
          <w:p>
            <w:pPr>
              <w:spacing w:line="276" w:lineRule="auto" w:before="0" w:after="0"/>
            </w:pPr>
            <w:r/>
            <w:r>
              <w:rPr>
                <w:rFonts w:ascii="Figtree" w:hAnsi="Figtree"/>
                <w:b w:val="0"/>
                <w:i w:val="0"/>
                <w:sz w:val="20"/>
              </w:rPr>
              <w:t>$500,000-$2,000,000+</w:t>
            </w:r>
          </w:p>
        </w:tc>
      </w:tr>
      <w:tr>
        <w:trPr>
          <w:trHeight w:val="425" w:hRule="atLeast"/>
        </w:trPr>
        <w:tc>
          <w:tcPr>
            <w:tcW w:type="dxa" w:w="3249"/>
            <w:vAlign w:val="center"/>
          </w:tcPr>
          <w:p>
            <w:pPr>
              <w:spacing w:line="276" w:lineRule="auto" w:before="0" w:after="0"/>
            </w:pPr>
            <w:r/>
            <w:r>
              <w:rPr>
                <w:rFonts w:ascii="Figtree" w:hAnsi="Figtree"/>
                <w:b w:val="0"/>
                <w:i w:val="0"/>
                <w:sz w:val="20"/>
              </w:rPr>
              <w:t>Settlement operations efficiency</w:t>
            </w:r>
          </w:p>
        </w:tc>
        <w:tc>
          <w:tcPr>
            <w:tcW w:type="dxa" w:w="3249"/>
            <w:vAlign w:val="center"/>
          </w:tcPr>
          <w:p>
            <w:pPr>
              <w:spacing w:line="276" w:lineRule="auto" w:before="0" w:after="0"/>
            </w:pPr>
            <w:r/>
            <w:r>
              <w:rPr>
                <w:rFonts w:ascii="Figtree" w:hAnsi="Figtree"/>
                <w:b w:val="0"/>
                <w:i w:val="0"/>
                <w:sz w:val="20"/>
              </w:rPr>
              <w:t>Automated atomic settlement reduces operations overhead</w:t>
            </w:r>
          </w:p>
        </w:tc>
        <w:tc>
          <w:tcPr>
            <w:tcW w:type="dxa" w:w="3249"/>
            <w:vAlign w:val="center"/>
          </w:tcPr>
          <w:p>
            <w:pPr>
              <w:spacing w:line="276" w:lineRule="auto" w:before="0" w:after="0"/>
            </w:pPr>
            <w:r/>
            <w:r>
              <w:rPr>
                <w:rFonts w:ascii="Figtree" w:hAnsi="Figtree"/>
                <w:b w:val="0"/>
                <w:i w:val="0"/>
                <w:sz w:val="20"/>
              </w:rPr>
              <w:t>$200,000-$400,000</w:t>
            </w:r>
          </w:p>
        </w:tc>
      </w:tr>
      <w:tr>
        <w:trPr>
          <w:trHeight w:val="425" w:hRule="atLeast"/>
        </w:trPr>
        <w:tc>
          <w:tcPr>
            <w:tcW w:type="dxa" w:w="3249"/>
            <w:vAlign w:val="center"/>
          </w:tcPr>
          <w:p>
            <w:pPr>
              <w:spacing w:line="276" w:lineRule="auto" w:before="0" w:after="0"/>
            </w:pPr>
            <w:r/>
            <w:r>
              <w:rPr>
                <w:rFonts w:ascii="Figtree" w:hAnsi="Figtree"/>
                <w:b w:val="0"/>
                <w:i w:val="0"/>
                <w:sz w:val="20"/>
              </w:rPr>
              <w:t>CBK regulatory evidence</w:t>
            </w:r>
          </w:p>
        </w:tc>
        <w:tc>
          <w:tcPr>
            <w:tcW w:type="dxa" w:w="3249"/>
            <w:vAlign w:val="center"/>
          </w:tcPr>
          <w:p>
            <w:pPr>
              <w:spacing w:line="276" w:lineRule="auto" w:before="0" w:after="0"/>
            </w:pPr>
            <w:r/>
            <w:r>
              <w:rPr>
                <w:rFonts w:ascii="Figtree" w:hAnsi="Figtree"/>
                <w:b w:val="0"/>
                <w:i w:val="0"/>
                <w:sz w:val="20"/>
              </w:rPr>
              <w:t>On-demand evidence reduces compliance assembly overhead</w:t>
            </w:r>
          </w:p>
        </w:tc>
        <w:tc>
          <w:tcPr>
            <w:tcW w:type="dxa" w:w="3249"/>
            <w:vAlign w:val="center"/>
          </w:tcPr>
          <w:p>
            <w:pPr>
              <w:spacing w:line="276" w:lineRule="auto" w:before="0" w:after="0"/>
            </w:pPr>
            <w:r/>
            <w:r>
              <w:rPr>
                <w:rFonts w:ascii="Figtree" w:hAnsi="Figtree"/>
                <w:b w:val="0"/>
                <w:i w:val="0"/>
                <w:sz w:val="20"/>
              </w:rPr>
              <w:t>$100,000-$200,000</w:t>
            </w:r>
          </w:p>
        </w:tc>
      </w:tr>
      <w:tr>
        <w:trPr>
          <w:trHeight w:val="425" w:hRule="atLeast"/>
        </w:trPr>
        <w:tc>
          <w:tcPr>
            <w:tcW w:type="dxa" w:w="3249"/>
            <w:vAlign w:val="center"/>
          </w:tcPr>
          <w:p>
            <w:pPr>
              <w:spacing w:line="276" w:lineRule="auto" w:before="0" w:after="0"/>
            </w:pPr>
            <w:r/>
            <w:r>
              <w:rPr>
                <w:rFonts w:ascii="Figtree" w:hAnsi="Figtree"/>
                <w:b w:val="0"/>
                <w:i w:val="0"/>
                <w:sz w:val="20"/>
              </w:rPr>
              <w:t>Cross-border corridor expansion</w:t>
            </w:r>
          </w:p>
        </w:tc>
        <w:tc>
          <w:tcPr>
            <w:tcW w:type="dxa" w:w="3249"/>
            <w:vAlign w:val="center"/>
          </w:tcPr>
          <w:p>
            <w:pPr>
              <w:spacing w:line="276" w:lineRule="auto" w:before="0" w:after="0"/>
            </w:pPr>
            <w:r/>
            <w:r>
              <w:rPr>
                <w:rFonts w:ascii="Figtree" w:hAnsi="Figtree"/>
                <w:b w:val="0"/>
                <w:i w:val="0"/>
                <w:sz w:val="20"/>
              </w:rPr>
              <w:t>Lower per-corridor setup enables faster expansion</w:t>
            </w:r>
          </w:p>
        </w:tc>
        <w:tc>
          <w:tcPr>
            <w:tcW w:type="dxa" w:w="3249"/>
            <w:vAlign w:val="center"/>
          </w:tcPr>
          <w:p>
            <w:pPr>
              <w:spacing w:line="276" w:lineRule="auto" w:before="0" w:after="0"/>
            </w:pPr>
            <w:r/>
            <w:r>
              <w:rPr>
                <w:rFonts w:ascii="Figtree" w:hAnsi="Figtree"/>
                <w:b w:val="0"/>
                <w:i w:val="0"/>
                <w:sz w:val="20"/>
              </w:rPr>
              <w:t>Revenue upside</w:t>
            </w:r>
          </w:p>
        </w:tc>
      </w:tr>
      <w:tr>
        <w:trPr>
          <w:trHeight w:val="425" w:hRule="atLeast"/>
        </w:trPr>
        <w:tc>
          <w:tcPr>
            <w:tcW w:type="dxa" w:w="3249"/>
            <w:vAlign w:val="center"/>
          </w:tcPr>
          <w:p>
            <w:pPr>
              <w:spacing w:line="276" w:lineRule="auto" w:before="0" w:after="0"/>
            </w:pPr>
            <w:r/>
            <w:r>
              <w:rPr>
                <w:rFonts w:ascii="Figtree" w:hAnsi="Figtree"/>
                <w:b w:val="0"/>
                <w:i w:val="0"/>
                <w:sz w:val="20"/>
              </w:rPr>
              <w:t>Merchant settlement efficiency</w:t>
            </w:r>
          </w:p>
        </w:tc>
        <w:tc>
          <w:tcPr>
            <w:tcW w:type="dxa" w:w="3249"/>
            <w:vAlign w:val="center"/>
          </w:tcPr>
          <w:p>
            <w:pPr>
              <w:spacing w:line="276" w:lineRule="auto" w:before="0" w:after="0"/>
            </w:pPr>
            <w:r/>
            <w:r>
              <w:rPr>
                <w:rFonts w:ascii="Figtree" w:hAnsi="Figtree"/>
                <w:b w:val="0"/>
                <w:i w:val="0"/>
                <w:sz w:val="20"/>
              </w:rPr>
              <w:t>Programmable funding cycles reduce merchant float complaints</w:t>
            </w:r>
          </w:p>
        </w:tc>
        <w:tc>
          <w:tcPr>
            <w:tcW w:type="dxa" w:w="3249"/>
            <w:vAlign w:val="center"/>
          </w:tcPr>
          <w:p>
            <w:pPr>
              <w:spacing w:line="276" w:lineRule="auto" w:before="0" w:after="0"/>
            </w:pPr>
            <w:r/>
            <w:r>
              <w:rPr>
                <w:rFonts w:ascii="Figtree" w:hAnsi="Figtree"/>
                <w:b w:val="0"/>
                <w:i w:val="0"/>
                <w:sz w:val="20"/>
              </w:rPr>
              <w:t>Merchant NPS and retention value</w:t>
            </w:r>
          </w:p>
        </w:tc>
      </w:tr>
    </w:tbl>
    <w:p>
      <w:pPr>
        <w:spacing w:before="0" w:after="0" w:line="120" w:lineRule="exact"/>
      </w:pPr>
    </w:p>
    <w:p>
      <w:r>
        <w:rPr>
          <w:rFonts w:ascii="Figtree" w:hAnsi="Figtree"/>
          <w:b/>
          <w:i w:val="0"/>
          <w:sz w:val="22"/>
        </w:rPr>
        <w:t>Conservative annual benefit: $800,000-$2,600,000</w:t>
      </w:r>
    </w:p>
    <w:p>
      <w:r>
        <w:rPr>
          <w:rFonts w:ascii="Figtree" w:hAnsi="Figtree"/>
          <w:b w:val="0"/>
          <w:i w:val="0"/>
          <w:sz w:val="22"/>
        </w:rPr>
        <w:t>The dominant value driver for M-Pesa is float reduction. M-Pesa Global holds correspondent banking float positions across multiple corridors. Each day of correspondent settlement delay represents idle capital. If atomic tokenized settlement reduces average settlement time from 2 days to same-day across major corridors, the float reduction at M-Pesa Global's transaction volumes is material. Exact figures require a treasury workshop with M-Pesa's finance team to model.</w:t>
      </w:r>
    </w:p>
    <w:p>
      <w:pPr>
        <w:pStyle w:val="H3"/>
        <w:numPr>
          <w:ilvl w:val="2"/>
          <w:numId w:val="1"/>
        </w:numPr>
      </w:pPr>
      <w:r>
        <w:t>Payback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88"/>
        <w:gridCol w:w="1764"/>
        <w:gridCol w:w="1386"/>
        <w:gridCol w:w="113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Benefit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3-Year Net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Payback</w:t>
            </w:r>
          </w:p>
        </w:tc>
      </w:tr>
      <w:tr>
        <w:trPr>
          <w:trHeight w:val="425" w:hRule="atLeast"/>
        </w:trPr>
        <w:tc>
          <w:tcPr>
            <w:tcW w:type="dxa" w:w="2436"/>
            <w:vAlign w:val="center"/>
          </w:tcPr>
          <w:p>
            <w:pPr>
              <w:spacing w:line="276" w:lineRule="auto" w:before="0" w:after="0"/>
            </w:pPr>
            <w:r/>
            <w:r>
              <w:rPr>
                <w:rFonts w:ascii="Figtree" w:hAnsi="Figtree"/>
                <w:b w:val="0"/>
                <w:i w:val="0"/>
                <w:sz w:val="20"/>
              </w:rPr>
              <w:t>Conservative (float only, 5 corridors)</w:t>
            </w:r>
          </w:p>
        </w:tc>
        <w:tc>
          <w:tcPr>
            <w:tcW w:type="dxa" w:w="2436"/>
            <w:vAlign w:val="center"/>
          </w:tcPr>
          <w:p>
            <w:pPr>
              <w:spacing w:line="276" w:lineRule="auto" w:before="0" w:after="0"/>
            </w:pPr>
            <w:r/>
            <w:r>
              <w:rPr>
                <w:rFonts w:ascii="Figtree" w:hAnsi="Figtree"/>
                <w:b w:val="0"/>
                <w:i w:val="0"/>
                <w:sz w:val="20"/>
              </w:rPr>
              <w:t>$800,000</w:t>
            </w:r>
          </w:p>
        </w:tc>
        <w:tc>
          <w:tcPr>
            <w:tcW w:type="dxa" w:w="2436"/>
            <w:vAlign w:val="center"/>
          </w:tcPr>
          <w:p>
            <w:pPr>
              <w:spacing w:line="276" w:lineRule="auto" w:before="0" w:after="0"/>
            </w:pPr>
            <w:r/>
            <w:r>
              <w:rPr>
                <w:rFonts w:ascii="Figtree" w:hAnsi="Figtree"/>
                <w:b w:val="0"/>
                <w:i w:val="0"/>
                <w:sz w:val="20"/>
              </w:rPr>
              <w:t>+$780,000</w:t>
            </w:r>
          </w:p>
        </w:tc>
        <w:tc>
          <w:tcPr>
            <w:tcW w:type="dxa" w:w="2436"/>
            <w:vAlign w:val="center"/>
          </w:tcPr>
          <w:p>
            <w:pPr>
              <w:spacing w:line="276" w:lineRule="auto" w:before="0" w:after="0"/>
            </w:pPr>
            <w:r/>
            <w:r>
              <w:rPr>
                <w:rFonts w:ascii="Figtree" w:hAnsi="Figtree"/>
                <w:b w:val="0"/>
                <w:i w:val="0"/>
                <w:sz w:val="20"/>
              </w:rPr>
              <w:t>2.5 years</w:t>
            </w:r>
          </w:p>
        </w:tc>
      </w:tr>
      <w:tr>
        <w:trPr>
          <w:trHeight w:val="425" w:hRule="atLeast"/>
        </w:trPr>
        <w:tc>
          <w:tcPr>
            <w:tcW w:type="dxa" w:w="2436"/>
            <w:vAlign w:val="center"/>
          </w:tcPr>
          <w:p>
            <w:pPr>
              <w:spacing w:line="276" w:lineRule="auto" w:before="0" w:after="0"/>
            </w:pPr>
            <w:r/>
            <w:r>
              <w:rPr>
                <w:rFonts w:ascii="Figtree" w:hAnsi="Figtree"/>
                <w:b w:val="0"/>
                <w:i w:val="0"/>
                <w:sz w:val="20"/>
              </w:rPr>
              <w:t>Expected (10 corridors + operations)</w:t>
            </w:r>
          </w:p>
        </w:tc>
        <w:tc>
          <w:tcPr>
            <w:tcW w:type="dxa" w:w="2436"/>
            <w:vAlign w:val="center"/>
          </w:tcPr>
          <w:p>
            <w:pPr>
              <w:spacing w:line="276" w:lineRule="auto" w:before="0" w:after="0"/>
            </w:pPr>
            <w:r/>
            <w:r>
              <w:rPr>
                <w:rFonts w:ascii="Figtree" w:hAnsi="Figtree"/>
                <w:b w:val="0"/>
                <w:i w:val="0"/>
                <w:sz w:val="20"/>
              </w:rPr>
              <w:t>$1,500,000</w:t>
            </w:r>
          </w:p>
        </w:tc>
        <w:tc>
          <w:tcPr>
            <w:tcW w:type="dxa" w:w="2436"/>
            <w:vAlign w:val="center"/>
          </w:tcPr>
          <w:p>
            <w:pPr>
              <w:spacing w:line="276" w:lineRule="auto" w:before="0" w:after="0"/>
            </w:pPr>
            <w:r/>
            <w:r>
              <w:rPr>
                <w:rFonts w:ascii="Figtree" w:hAnsi="Figtree"/>
                <w:b w:val="0"/>
                <w:i w:val="0"/>
                <w:sz w:val="20"/>
              </w:rPr>
              <w:t>+$2,880,000</w:t>
            </w:r>
          </w:p>
        </w:tc>
        <w:tc>
          <w:tcPr>
            <w:tcW w:type="dxa" w:w="2436"/>
            <w:vAlign w:val="center"/>
          </w:tcPr>
          <w:p>
            <w:pPr>
              <w:spacing w:line="276" w:lineRule="auto" w:before="0" w:after="0"/>
            </w:pPr>
            <w:r/>
            <w:r>
              <w:rPr>
                <w:rFonts w:ascii="Figtree" w:hAnsi="Figtree"/>
                <w:b w:val="0"/>
                <w:i w:val="0"/>
                <w:sz w:val="20"/>
              </w:rPr>
              <w:t>1.3 years</w:t>
            </w:r>
          </w:p>
        </w:tc>
      </w:tr>
      <w:tr>
        <w:trPr>
          <w:trHeight w:val="425" w:hRule="atLeast"/>
        </w:trPr>
        <w:tc>
          <w:tcPr>
            <w:tcW w:type="dxa" w:w="2436"/>
            <w:vAlign w:val="center"/>
          </w:tcPr>
          <w:p>
            <w:pPr>
              <w:spacing w:line="276" w:lineRule="auto" w:before="0" w:after="0"/>
            </w:pPr>
            <w:r/>
            <w:r>
              <w:rPr>
                <w:rFonts w:ascii="Figtree" w:hAnsi="Figtree"/>
                <w:b w:val="0"/>
                <w:i w:val="0"/>
                <w:sz w:val="20"/>
              </w:rPr>
              <w:t>Upside (full corridor + merchant)</w:t>
            </w:r>
          </w:p>
        </w:tc>
        <w:tc>
          <w:tcPr>
            <w:tcW w:type="dxa" w:w="2436"/>
            <w:vAlign w:val="center"/>
          </w:tcPr>
          <w:p>
            <w:pPr>
              <w:spacing w:line="276" w:lineRule="auto" w:before="0" w:after="0"/>
            </w:pPr>
            <w:r/>
            <w:r>
              <w:rPr>
                <w:rFonts w:ascii="Figtree" w:hAnsi="Figtree"/>
                <w:b w:val="0"/>
                <w:i w:val="0"/>
                <w:sz w:val="20"/>
              </w:rPr>
              <w:t>$2,600,000</w:t>
            </w:r>
          </w:p>
        </w:tc>
        <w:tc>
          <w:tcPr>
            <w:tcW w:type="dxa" w:w="2436"/>
            <w:vAlign w:val="center"/>
          </w:tcPr>
          <w:p>
            <w:pPr>
              <w:spacing w:line="276" w:lineRule="auto" w:before="0" w:after="0"/>
            </w:pPr>
            <w:r/>
            <w:r>
              <w:rPr>
                <w:rFonts w:ascii="Figtree" w:hAnsi="Figtree"/>
                <w:b w:val="0"/>
                <w:i w:val="0"/>
                <w:sz w:val="20"/>
              </w:rPr>
              <w:t>+$6,180,000</w:t>
            </w:r>
          </w:p>
        </w:tc>
        <w:tc>
          <w:tcPr>
            <w:tcW w:type="dxa" w:w="2436"/>
            <w:vAlign w:val="center"/>
          </w:tcPr>
          <w:p>
            <w:pPr>
              <w:spacing w:line="276" w:lineRule="auto" w:before="0" w:after="0"/>
            </w:pPr>
            <w:r/>
            <w:r>
              <w:rPr>
                <w:rFonts w:ascii="Figtree" w:hAnsi="Figtree"/>
                <w:b w:val="0"/>
                <w:i w:val="0"/>
                <w:sz w:val="20"/>
              </w:rPr>
              <w:t>0.7 years</w:t>
            </w:r>
          </w:p>
        </w:tc>
      </w:tr>
    </w:tbl>
    <w:p>
      <w:pPr>
        <w:spacing w:before="0" w:after="0" w:line="120" w:lineRule="exact"/>
      </w:pPr>
    </w:p>
    <w:p>
      <w:r>
        <w:rPr>
          <w:rFonts w:ascii="Figtree" w:hAnsi="Figtree"/>
          <w:b w:val="0"/>
          <w:i w:val="0"/>
          <w:sz w:val="22"/>
        </w:rPr>
        <w:t>The payback analysis depends critically on M-Pesa Global corridor volumes and current float costs. A value workshop with Safaricom treasury would provide the precise float cost baseline needed for a refined model. The available evidence suggests this programme has one of the strongest potential ROI profiles in SettleMint's portfolio if float reduction is the primary metric.</w:t>
      </w:r>
    </w:p>
    <w:p>
      <w:r>
        <w:br w:type="page"/>
      </w:r>
    </w:p>
    <w:p>
      <w:pPr>
        <w:pStyle w:val="H2"/>
        <w:numPr>
          <w:ilvl w:val="1"/>
          <w:numId w:val="1"/>
        </w:numPr>
      </w:pPr>
      <w:r>
        <w:t>Commercial Assumptions and Dependencies</w:t>
      </w:r>
    </w:p>
    <w:p>
      <w:pPr>
        <w:pStyle w:val="ListParagraph"/>
        <w:numPr>
          <w:ilvl w:val="0"/>
          <w:numId w:val="4"/>
        </w:numPr>
      </w:pPr>
      <w:r>
        <w:rPr>
          <w:rFonts w:ascii="Figtree" w:hAnsi="Figtree"/>
          <w:b w:val="0"/>
          <w:i w:val="0"/>
          <w:sz w:val="22"/>
        </w:rPr>
        <w:t>Safaricom provides on-premises Kubernetes infrastructure within Kenya-based data centres. SettleMint provides specifications and implementation support.</w:t>
      </w:r>
    </w:p>
    <w:p>
      <w:pPr>
        <w:pStyle w:val="ListParagraph"/>
        <w:numPr>
          <w:ilvl w:val="0"/>
          <w:numId w:val="4"/>
        </w:numPr>
      </w:pPr>
      <w:r>
        <w:rPr>
          <w:rFonts w:ascii="Figtree" w:hAnsi="Figtree"/>
          <w:b w:val="0"/>
          <w:i w:val="0"/>
          <w:sz w:val="22"/>
        </w:rPr>
        <w:t>HSM hardware procurement by Safaricom; SettleMint provides specifications. HSM installation adds approximately 4 weeks to Phase 2.</w:t>
      </w:r>
    </w:p>
    <w:p>
      <w:pPr>
        <w:pStyle w:val="ListParagraph"/>
        <w:numPr>
          <w:ilvl w:val="0"/>
          <w:numId w:val="4"/>
        </w:numPr>
      </w:pPr>
      <w:r>
        <w:rPr>
          <w:rFonts w:ascii="Figtree" w:hAnsi="Figtree"/>
          <w:b w:val="0"/>
          <w:i w:val="0"/>
          <w:sz w:val="22"/>
        </w:rPr>
        <w:t>CBK Phase 1 engagement assumes Safaricom initiates the regulatory conversation. SettleMint provides technical documentation and evidence packs for CBK review. CBK approval timeline is outside SettleMint's control.</w:t>
      </w:r>
    </w:p>
    <w:p>
      <w:pPr>
        <w:pStyle w:val="ListParagraph"/>
        <w:numPr>
          <w:ilvl w:val="0"/>
          <w:numId w:val="4"/>
        </w:numPr>
      </w:pPr>
      <w:r>
        <w:rPr>
          <w:rFonts w:ascii="Figtree" w:hAnsi="Figtree"/>
          <w:b w:val="0"/>
          <w:i w:val="0"/>
          <w:sz w:val="22"/>
        </w:rPr>
        <w:t>Implementation timeline assumes CBK Phase 3 review takes maximum 3 weeks and Phase 5 comfort takes maximum 4 weeks. Extended CBK review timelines extend the implementation without affecting fixed-price commitment.</w:t>
      </w:r>
    </w:p>
    <w:p>
      <w:pPr>
        <w:pStyle w:val="ListParagraph"/>
        <w:numPr>
          <w:ilvl w:val="0"/>
          <w:numId w:val="4"/>
        </w:numPr>
      </w:pPr>
      <w:r>
        <w:rPr>
          <w:rFonts w:ascii="Figtree" w:hAnsi="Figtree"/>
          <w:b w:val="0"/>
          <w:i w:val="0"/>
          <w:sz w:val="22"/>
        </w:rPr>
        <w:t>Phase 2 (additional corridors, treasury liquidity) is a separate expansion scope estimated at $100,000-$150,000 additional implementation.</w:t>
      </w:r>
    </w:p>
    <w:p>
      <w:pPr>
        <w:pStyle w:val="ListParagraph"/>
        <w:numPr>
          <w:ilvl w:val="0"/>
          <w:numId w:val="4"/>
        </w:numPr>
      </w:pPr>
      <w:r>
        <w:rPr>
          <w:rFonts w:ascii="Figtree" w:hAnsi="Figtree"/>
          <w:b w:val="0"/>
          <w:i w:val="0"/>
          <w:sz w:val="22"/>
        </w:rPr>
        <w:t>Safaricom provides dedicated integration engineers during Phases 3 and 4.</w:t>
      </w:r>
    </w:p>
    <w:p>
      <w:r>
        <w:br w:type="page"/>
      </w:r>
    </w:p>
    <w:p>
      <w:pPr>
        <w:pStyle w:val="H2"/>
        <w:numPr>
          <w:ilvl w:val="1"/>
          <w:numId w:val="1"/>
        </w:numPr>
      </w:pPr>
      <w:r>
        <w:t>Contractual Framework Overview</w:t>
      </w:r>
    </w:p>
    <w:p>
      <w:pPr>
        <w:pStyle w:val="H3"/>
        <w:numPr>
          <w:ilvl w:val="2"/>
          <w:numId w:val="1"/>
        </w:numPr>
      </w:pPr>
      <w:r>
        <w:t>Agreement Structure</w:t>
      </w:r>
    </w:p>
    <w:p>
      <w:r>
        <w:rPr>
          <w:rFonts w:ascii="Figtree" w:hAnsi="Figtree"/>
          <w:b w:val="0"/>
          <w:i w:val="0"/>
          <w:sz w:val="22"/>
        </w:rPr>
        <w:t>Master Subscription Agreement (platform license, IP, data handling, CBK audit access provisions, confidentiality, liability) and Statement of Work (implementation scope, CBK gates, milestones, acceptance criteria).</w:t>
      </w:r>
    </w:p>
    <w:p>
      <w:pPr>
        <w:pStyle w:val="H3"/>
        <w:numPr>
          <w:ilvl w:val="2"/>
          <w:numId w:val="1"/>
        </w:numPr>
      </w:pPr>
      <w:r>
        <w:t>Intellectual Property</w:t>
      </w:r>
    </w:p>
    <w:p>
      <w:r>
        <w:rPr>
          <w:rFonts w:ascii="Figtree" w:hAnsi="Figtree"/>
          <w:b w:val="0"/>
          <w:i w:val="0"/>
          <w:sz w:val="22"/>
        </w:rPr>
        <w:t>DALP platform IP: SettleMint's. All Safaricom data, settlement records, and on-chain token state: Safaricom's. CBK read-only API key management: Safaricom's operational responsibility.</w:t>
      </w:r>
    </w:p>
    <w:p>
      <w:pPr>
        <w:pStyle w:val="H3"/>
        <w:numPr>
          <w:ilvl w:val="2"/>
          <w:numId w:val="1"/>
        </w:numPr>
      </w:pPr>
      <w:r>
        <w:t>Liability</w:t>
      </w:r>
    </w:p>
    <w:p>
      <w:r>
        <w:rPr>
          <w:rFonts w:ascii="Figtree" w:hAnsi="Figtree"/>
          <w:b w:val="0"/>
          <w:i w:val="0"/>
          <w:sz w:val="22"/>
        </w:rPr>
        <w:t>Cap: 12 months of preceding subscription fees. Exceptions: gross negligence, wilful misconduct, data breach from SettleMint failure. Consumer protection indemnification: SettleMint's consumer data boundary architecture is verifiable through code review; Safaricom maintains consumer protection responsibility.</w:t>
      </w:r>
    </w:p>
    <w:p>
      <w:pPr>
        <w:pStyle w:val="H3"/>
        <w:numPr>
          <w:ilvl w:val="2"/>
          <w:numId w:val="1"/>
        </w:numPr>
      </w:pPr>
      <w:r>
        <w:t>Data Handling</w:t>
      </w:r>
    </w:p>
    <w:p>
      <w:r>
        <w:rPr>
          <w:rFonts w:ascii="Figtree" w:hAnsi="Figtree"/>
          <w:b w:val="0"/>
          <w:i w:val="0"/>
          <w:sz w:val="22"/>
        </w:rPr>
        <w:t>Data Processing Agreement (DPA) included as MSA schedule. All data processed in Kenya-based Safaricom infrastructure. SettleMint acts as data processor; Safaricom is data controller. Kenya Data Protection Act 2019 compliance is designed into the deployment architecture.</w:t>
      </w:r>
    </w:p>
    <w:p>
      <w:r>
        <w:br w:type="page"/>
      </w:r>
    </w:p>
    <w:p>
      <w:pPr>
        <w:pStyle w:val="H2"/>
        <w:numPr>
          <w:ilvl w:val="1"/>
          <w:numId w:val="1"/>
        </w:numPr>
      </w:pPr>
      <w:r>
        <w:t>Appendix A: Detailed Pricing Schedule</w:t>
      </w:r>
    </w:p>
    <w:p>
      <w:pPr>
        <w:pStyle w:val="H3"/>
        <w:numPr>
          <w:ilvl w:val="2"/>
          <w:numId w:val="1"/>
        </w:numPr>
      </w:pPr>
      <w:r>
        <w:t>Annual Recurring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0"/>
        <w:gridCol w:w="1727"/>
        <w:gridCol w:w="701"/>
        <w:gridCol w:w="1328"/>
        <w:gridCol w:w="159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Line Item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Unit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Qty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Unit Price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Total</w:t>
            </w:r>
          </w:p>
        </w:tc>
      </w:tr>
      <w:tr>
        <w:trPr>
          <w:trHeight w:val="425" w:hRule="atLeast"/>
        </w:trPr>
        <w:tc>
          <w:tcPr>
            <w:tcW w:type="dxa" w:w="1949"/>
            <w:vAlign w:val="center"/>
          </w:tcPr>
          <w:p>
            <w:pPr>
              <w:spacing w:line="276" w:lineRule="auto" w:before="0" w:after="0"/>
            </w:pPr>
            <w:r/>
            <w:r>
              <w:rPr>
                <w:rFonts w:ascii="Figtree" w:hAnsi="Figtree"/>
                <w:b w:val="0"/>
                <w:i w:val="0"/>
                <w:sz w:val="20"/>
              </w:rPr>
              <w:t>DALP Enterprise License</w:t>
            </w:r>
          </w:p>
        </w:tc>
        <w:tc>
          <w:tcPr>
            <w:tcW w:type="dxa" w:w="1949"/>
            <w:vAlign w:val="center"/>
          </w:tcPr>
          <w:p>
            <w:pPr>
              <w:spacing w:line="276" w:lineRule="auto" w:before="0" w:after="0"/>
            </w:pPr>
            <w:r/>
            <w:r>
              <w:rPr>
                <w:rFonts w:ascii="Figtree" w:hAnsi="Figtree"/>
                <w:b w:val="0"/>
                <w:i w:val="0"/>
                <w:sz w:val="20"/>
              </w:rPr>
              <w:t>Platform/year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$260,000</w:t>
            </w:r>
          </w:p>
        </w:tc>
        <w:tc>
          <w:tcPr>
            <w:tcW w:type="dxa" w:w="1949"/>
            <w:vAlign w:val="center"/>
          </w:tcPr>
          <w:p>
            <w:pPr>
              <w:spacing w:line="276" w:lineRule="auto" w:before="0" w:after="0"/>
            </w:pPr>
            <w:r/>
            <w:r>
              <w:rPr>
                <w:rFonts w:ascii="Figtree" w:hAnsi="Figtree"/>
                <w:b w:val="0"/>
                <w:i w:val="0"/>
                <w:sz w:val="20"/>
              </w:rPr>
              <w:t>$260,000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 (UAT)</w:t>
            </w:r>
          </w:p>
        </w:tc>
        <w:tc>
          <w:tcPr>
            <w:tcW w:type="dxa" w:w="1949"/>
            <w:vAlign w:val="center"/>
          </w:tcPr>
          <w:p>
            <w:pPr>
              <w:spacing w:line="276" w:lineRule="auto" w:before="0" w:after="0"/>
            </w:pPr>
            <w:r/>
            <w:r>
              <w:rPr>
                <w:rFonts w:ascii="Figtree" w:hAnsi="Figtree"/>
                <w:b w:val="0"/>
                <w:i w:val="0"/>
                <w:sz w:val="20"/>
              </w:rPr>
              <w:t>Env/year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$25,000</w:t>
            </w:r>
          </w:p>
        </w:tc>
        <w:tc>
          <w:tcPr>
            <w:tcW w:type="dxa" w:w="1949"/>
            <w:vAlign w:val="center"/>
          </w:tcPr>
          <w:p>
            <w:pPr>
              <w:spacing w:line="276" w:lineRule="auto" w:before="0" w:after="0"/>
            </w:pPr>
            <w:r/>
            <w:r>
              <w:rPr>
                <w:rFonts w:ascii="Figtree" w:hAnsi="Figtree"/>
                <w:b w:val="0"/>
                <w:i w:val="0"/>
                <w:sz w:val="20"/>
              </w:rPr>
              <w:t>$25,000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 (DR)</w:t>
            </w:r>
          </w:p>
        </w:tc>
        <w:tc>
          <w:tcPr>
            <w:tcW w:type="dxa" w:w="1949"/>
            <w:vAlign w:val="center"/>
          </w:tcPr>
          <w:p>
            <w:pPr>
              <w:spacing w:line="276" w:lineRule="auto" w:before="0" w:after="0"/>
            </w:pPr>
            <w:r/>
            <w:r>
              <w:rPr>
                <w:rFonts w:ascii="Figtree" w:hAnsi="Figtree"/>
                <w:b w:val="0"/>
                <w:i w:val="0"/>
                <w:sz w:val="20"/>
              </w:rPr>
              <w:t>Env/year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$25,000</w:t>
            </w:r>
          </w:p>
        </w:tc>
        <w:tc>
          <w:tcPr>
            <w:tcW w:type="dxa" w:w="1949"/>
            <w:vAlign w:val="center"/>
          </w:tcPr>
          <w:p>
            <w:pPr>
              <w:spacing w:line="276" w:lineRule="auto" w:before="0" w:after="0"/>
            </w:pPr>
            <w:r/>
            <w:r>
              <w:rPr>
                <w:rFonts w:ascii="Figtree" w:hAnsi="Figtree"/>
                <w:b w:val="0"/>
                <w:i w:val="0"/>
                <w:sz w:val="20"/>
              </w:rPr>
              <w:t>$25,000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Tier/year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r>
      <w:tr>
        <w:trPr>
          <w:trHeight w:val="425" w:hRule="atLeast"/>
        </w:trPr>
        <w:tc>
          <w:tcPr>
            <w:tcW w:type="dxa" w:w="1949"/>
            <w:vAlign w:val="center"/>
          </w:tcPr>
          <w:p>
            <w:pPr>
              <w:spacing w:line="276" w:lineRule="auto" w:before="0" w:after="0"/>
            </w:pPr>
            <w:r/>
            <w:r>
              <w:rPr>
                <w:rFonts w:ascii="Figtree" w:hAnsi="Figtree"/>
                <w:b/>
                <w:i w:val="0"/>
                <w:sz w:val="20"/>
              </w:rPr>
              <w:t>Total Annual Recurring</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$395,000</w:t>
            </w:r>
          </w:p>
        </w:tc>
      </w:tr>
    </w:tbl>
    <w:p>
      <w:pPr>
        <w:spacing w:before="0" w:after="0" w:line="120" w:lineRule="exact"/>
      </w:pPr>
    </w:p>
    <w:p>
      <w:pPr>
        <w:pStyle w:val="H3"/>
        <w:numPr>
          <w:ilvl w:val="2"/>
          <w:numId w:val="1"/>
        </w:numPr>
      </w:pPr>
      <w:r>
        <w:t>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66"/>
        <w:gridCol w:w="5184"/>
        <w:gridCol w:w="22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Price</w:t>
            </w:r>
          </w:p>
        </w:tc>
      </w:tr>
      <w:tr>
        <w:trPr>
          <w:trHeight w:val="425" w:hRule="atLeast"/>
        </w:trPr>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Discovery and CBK Engagement</w:t>
            </w:r>
          </w:p>
        </w:tc>
        <w:tc>
          <w:tcPr>
            <w:tcW w:type="dxa" w:w="3249"/>
            <w:vAlign w:val="center"/>
          </w:tcPr>
          <w:p>
            <w:pPr>
              <w:spacing w:line="276" w:lineRule="auto" w:before="0" w:after="0"/>
            </w:pPr>
            <w:r/>
            <w:r>
              <w:rPr>
                <w:rFonts w:ascii="Figtree" w:hAnsi="Figtree"/>
                <w:b w:val="0"/>
                <w:i w:val="0"/>
                <w:sz w:val="20"/>
              </w:rPr>
              <w:t>$65,000</w:t>
            </w:r>
          </w:p>
        </w:tc>
      </w:tr>
      <w:tr>
        <w:trPr>
          <w:trHeight w:val="425" w:hRule="atLeast"/>
        </w:trPr>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Foundation and HSM Setup</w:t>
            </w:r>
          </w:p>
        </w:tc>
        <w:tc>
          <w:tcPr>
            <w:tcW w:type="dxa" w:w="3249"/>
            <w:vAlign w:val="center"/>
          </w:tcPr>
          <w:p>
            <w:pPr>
              <w:spacing w:line="276" w:lineRule="auto" w:before="0" w:after="0"/>
            </w:pPr>
            <w:r/>
            <w:r>
              <w:rPr>
                <w:rFonts w:ascii="Figtree" w:hAnsi="Figtree"/>
                <w:b w:val="0"/>
                <w:i w:val="0"/>
                <w:sz w:val="20"/>
              </w:rPr>
              <w:t>$75,000</w:t>
            </w:r>
          </w:p>
        </w:tc>
      </w:tr>
      <w:tr>
        <w:trPr>
          <w:trHeight w:val="425" w:hRule="atLeast"/>
        </w:trPr>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Configuration and CBK Review</w:t>
            </w:r>
          </w:p>
        </w:tc>
        <w:tc>
          <w:tcPr>
            <w:tcW w:type="dxa" w:w="3249"/>
            <w:vAlign w:val="center"/>
          </w:tcPr>
          <w:p>
            <w:pPr>
              <w:spacing w:line="276" w:lineRule="auto" w:before="0" w:after="0"/>
            </w:pPr>
            <w:r/>
            <w:r>
              <w:rPr>
                <w:rFonts w:ascii="Figtree" w:hAnsi="Figtree"/>
                <w:b w:val="0"/>
                <w:i w:val="0"/>
                <w:sz w:val="20"/>
              </w:rPr>
              <w:t>$65,000</w:t>
            </w:r>
          </w:p>
        </w:tc>
      </w:tr>
      <w:tr>
        <w:trPr>
          <w:trHeight w:val="425" w:hRule="atLeast"/>
        </w:trPr>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$80,000</w:t>
            </w:r>
          </w:p>
        </w:tc>
      </w:tr>
      <w:tr>
        <w:trPr>
          <w:trHeight w:val="425" w:hRule="atLeast"/>
        </w:trPr>
        <w:tc>
          <w:tcPr>
            <w:tcW w:type="dxa" w:w="3249"/>
            <w:vAlign w:val="center"/>
          </w:tcPr>
          <w:p>
            <w:pPr>
              <w:spacing w:line="276" w:lineRule="auto" w:before="0" w:after="0"/>
            </w:pPr>
            <w:r/>
            <w:r>
              <w:rPr>
                <w:rFonts w:ascii="Figtree" w:hAnsi="Figtree"/>
                <w:b w:val="0"/>
                <w:i w:val="0"/>
                <w:sz w:val="20"/>
              </w:rPr>
              <w:t>Phase 5</w:t>
            </w:r>
          </w:p>
        </w:tc>
        <w:tc>
          <w:tcPr>
            <w:tcW w:type="dxa" w:w="3249"/>
            <w:vAlign w:val="center"/>
          </w:tcPr>
          <w:p>
            <w:pPr>
              <w:spacing w:line="276" w:lineRule="auto" w:before="0" w:after="0"/>
            </w:pPr>
            <w:r/>
            <w:r>
              <w:rPr>
                <w:rFonts w:ascii="Figtree" w:hAnsi="Figtree"/>
                <w:b w:val="0"/>
                <w:i w:val="0"/>
                <w:sz w:val="20"/>
              </w:rPr>
              <w:t>Testing and CBK Comfort</w:t>
            </w:r>
          </w:p>
        </w:tc>
        <w:tc>
          <w:tcPr>
            <w:tcW w:type="dxa" w:w="3249"/>
            <w:vAlign w:val="center"/>
          </w:tcPr>
          <w:p>
            <w:pPr>
              <w:spacing w:line="276" w:lineRule="auto" w:before="0" w:after="0"/>
            </w:pPr>
            <w:r/>
            <w:r>
              <w:rPr>
                <w:rFonts w:ascii="Figtree" w:hAnsi="Figtree"/>
                <w:b w:val="0"/>
                <w:i w:val="0"/>
                <w:sz w:val="20"/>
              </w:rPr>
              <w:t>$90,000</w:t>
            </w:r>
          </w:p>
        </w:tc>
      </w:tr>
      <w:tr>
        <w:trPr>
          <w:trHeight w:val="425" w:hRule="atLeast"/>
        </w:trPr>
        <w:tc>
          <w:tcPr>
            <w:tcW w:type="dxa" w:w="3249"/>
            <w:vAlign w:val="center"/>
          </w:tcPr>
          <w:p>
            <w:pPr>
              <w:spacing w:line="276" w:lineRule="auto" w:before="0" w:after="0"/>
            </w:pPr>
            <w:r/>
            <w:r>
              <w:rPr>
                <w:rFonts w:ascii="Figtree" w:hAnsi="Figtree"/>
                <w:b w:val="0"/>
                <w:i w:val="0"/>
                <w:sz w:val="20"/>
              </w:rPr>
              <w:t>Phase 6</w:t>
            </w:r>
          </w:p>
        </w:tc>
        <w:tc>
          <w:tcPr>
            <w:tcW w:type="dxa" w:w="3249"/>
            <w:vAlign w:val="center"/>
          </w:tcPr>
          <w:p>
            <w:pPr>
              <w:spacing w:line="276" w:lineRule="auto" w:before="0" w:after="0"/>
            </w:pPr>
            <w:r/>
            <w:r>
              <w:rPr>
                <w:rFonts w:ascii="Figtree" w:hAnsi="Figtree"/>
                <w:b w:val="0"/>
                <w:i w:val="0"/>
                <w:sz w:val="20"/>
              </w:rPr>
              <w:t>Go-Live and Hypercare</w:t>
            </w:r>
          </w:p>
        </w:tc>
        <w:tc>
          <w:tcPr>
            <w:tcW w:type="dxa" w:w="3249"/>
            <w:vAlign w:val="center"/>
          </w:tcPr>
          <w:p>
            <w:pPr>
              <w:spacing w:line="276" w:lineRule="auto" w:before="0" w:after="0"/>
            </w:pPr>
            <w:r/>
            <w:r>
              <w:rPr>
                <w:rFonts w:ascii="Figtree" w:hAnsi="Figtree"/>
                <w:b w:val="0"/>
                <w:i w:val="0"/>
                <w:sz w:val="20"/>
              </w:rPr>
              <w:t>$45,000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$420,000</w:t>
            </w:r>
          </w:p>
        </w:tc>
      </w:tr>
    </w:tbl>
    <w:p>
      <w:pPr>
        <w:spacing w:before="0" w:after="0" w:line="120" w:lineRule="exact"/>
      </w:pPr>
    </w:p>
    <w:p>
      <w:r>
        <w:br w:type="page"/>
      </w:r>
    </w:p>
    <w:p>
      <w:pPr>
        <w:pStyle w:val="H2"/>
        <w:numPr>
          <w:ilvl w:val="1"/>
          <w:numId w:val="1"/>
        </w:numPr>
      </w:pPr>
      <w:r>
        <w:t>Appendix B: Implementation Milestone and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2"/>
        <w:gridCol w:w="4478"/>
        <w:gridCol w:w="814"/>
        <w:gridCol w:w="1221"/>
        <w:gridCol w:w="72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Deliverable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1949"/>
            <w:vAlign w:val="center"/>
          </w:tcPr>
          <w:p>
            <w:pPr>
              <w:spacing w:line="276" w:lineRule="auto" w:before="0" w:after="0"/>
            </w:pPr>
            <w:r/>
            <w:r>
              <w:rPr>
                <w:rFonts w:ascii="Figtree" w:hAnsi="Figtree"/>
                <w:b w:val="0"/>
                <w:i w:val="0"/>
                <w:sz w:val="20"/>
              </w:rPr>
              <w:t>Contract execution</w:t>
            </w:r>
          </w:p>
        </w:tc>
        <w:tc>
          <w:tcPr>
            <w:tcW w:type="dxa" w:w="1949"/>
            <w:vAlign w:val="center"/>
          </w:tcPr>
          <w:p>
            <w:pPr>
              <w:spacing w:line="276" w:lineRule="auto" w:before="0" w:after="0"/>
            </w:pPr>
            <w:r/>
            <w:r>
              <w:rPr>
                <w:rFonts w:ascii="Figtree" w:hAnsi="Figtree"/>
                <w:b w:val="0"/>
                <w:i w:val="0"/>
                <w:sz w:val="20"/>
              </w:rPr>
              <w:t>Signed MSA + SoW + DPA</w:t>
            </w:r>
          </w:p>
        </w:tc>
        <w:tc>
          <w:tcPr>
            <w:tcW w:type="dxa" w:w="1949"/>
            <w:vAlign w:val="center"/>
          </w:tcPr>
          <w:p>
            <w:pPr>
              <w:spacing w:line="276" w:lineRule="auto" w:before="0" w:after="0"/>
            </w:pPr>
            <w:r/>
            <w:r>
              <w:rPr>
                <w:rFonts w:ascii="Figtree" w:hAnsi="Figtree"/>
                <w:b w:val="0"/>
                <w:i w:val="0"/>
                <w:sz w:val="20"/>
              </w:rPr>
              <w:t>20%</w:t>
            </w:r>
          </w:p>
        </w:tc>
        <w:tc>
          <w:tcPr>
            <w:tcW w:type="dxa" w:w="1949"/>
            <w:vAlign w:val="center"/>
          </w:tcPr>
          <w:p>
            <w:pPr>
              <w:spacing w:line="276" w:lineRule="auto" w:before="0" w:after="0"/>
            </w:pPr>
            <w:r/>
            <w:r>
              <w:rPr>
                <w:rFonts w:ascii="Figtree" w:hAnsi="Figtree"/>
                <w:b w:val="0"/>
                <w:i w:val="0"/>
                <w:sz w:val="20"/>
              </w:rPr>
              <w:t>$84,000</w:t>
            </w:r>
          </w:p>
        </w:tc>
        <w:tc>
          <w:tcPr>
            <w:tcW w:type="dxa" w:w="1949"/>
            <w:vAlign w:val="center"/>
          </w:tcPr>
          <w:p>
            <w:pPr>
              <w:spacing w:line="276" w:lineRule="auto" w:before="0" w:after="0"/>
            </w:pPr>
            <w:r/>
            <w:r>
              <w:rPr>
                <w:rFonts w:ascii="Figtree" w:hAnsi="Figtree"/>
                <w:b w:val="0"/>
                <w:i w:val="0"/>
                <w:sz w:val="20"/>
              </w:rPr>
              <w:t>Week 0</w:t>
            </w:r>
          </w:p>
        </w:tc>
      </w:tr>
      <w:tr>
        <w:trPr>
          <w:trHeight w:val="425" w:hRule="atLeast"/>
        </w:trPr>
        <w:tc>
          <w:tcPr>
            <w:tcW w:type="dxa" w:w="1949"/>
            <w:vAlign w:val="center"/>
          </w:tcPr>
          <w:p>
            <w:pPr>
              <w:spacing w:line="276" w:lineRule="auto" w:before="0" w:after="0"/>
            </w:pPr>
            <w:r/>
            <w:r>
              <w:rPr>
                <w:rFonts w:ascii="Figtree" w:hAnsi="Figtree"/>
                <w:b w:val="0"/>
                <w:i w:val="0"/>
                <w:sz w:val="20"/>
              </w:rPr>
              <w:t>Phase 1 gate</w:t>
            </w:r>
          </w:p>
        </w:tc>
        <w:tc>
          <w:tcPr>
            <w:tcW w:type="dxa" w:w="1949"/>
            <w:vAlign w:val="center"/>
          </w:tcPr>
          <w:p>
            <w:pPr>
              <w:spacing w:line="276" w:lineRule="auto" w:before="0" w:after="0"/>
            </w:pPr>
            <w:r/>
            <w:r>
              <w:rPr>
                <w:rFonts w:ascii="Figtree" w:hAnsi="Figtree"/>
                <w:b w:val="0"/>
                <w:i w:val="0"/>
                <w:sz w:val="20"/>
              </w:rPr>
              <w:t>CBK briefing complete, architecture approved</w:t>
            </w:r>
          </w:p>
        </w:tc>
        <w:tc>
          <w:tcPr>
            <w:tcW w:type="dxa" w:w="1949"/>
            <w:vAlign w:val="center"/>
          </w:tcPr>
          <w:p>
            <w:pPr>
              <w:spacing w:line="276" w:lineRule="auto" w:before="0" w:after="0"/>
            </w:pPr>
            <w:r/>
            <w:r>
              <w:rPr>
                <w:rFonts w:ascii="Figtree" w:hAnsi="Figtree"/>
                <w:b w:val="0"/>
                <w:i w:val="0"/>
                <w:sz w:val="20"/>
              </w:rPr>
              <w:t>15%</w:t>
            </w:r>
          </w:p>
        </w:tc>
        <w:tc>
          <w:tcPr>
            <w:tcW w:type="dxa" w:w="1949"/>
            <w:vAlign w:val="center"/>
          </w:tcPr>
          <w:p>
            <w:pPr>
              <w:spacing w:line="276" w:lineRule="auto" w:before="0" w:after="0"/>
            </w:pPr>
            <w:r/>
            <w:r>
              <w:rPr>
                <w:rFonts w:ascii="Figtree" w:hAnsi="Figtree"/>
                <w:b w:val="0"/>
                <w:i w:val="0"/>
                <w:sz w:val="20"/>
              </w:rPr>
              <w:t>$63,000</w:t>
            </w:r>
          </w:p>
        </w:tc>
        <w:tc>
          <w:tcPr>
            <w:tcW w:type="dxa" w:w="1949"/>
            <w:vAlign w:val="center"/>
          </w:tcPr>
          <w:p>
            <w:pPr>
              <w:spacing w:line="276" w:lineRule="auto" w:before="0" w:after="0"/>
            </w:pPr>
            <w:r/>
            <w:r>
              <w:rPr>
                <w:rFonts w:ascii="Figtree" w:hAnsi="Figtree"/>
                <w:b w:val="0"/>
                <w:i w:val="0"/>
                <w:sz w:val="20"/>
              </w:rPr>
              <w:t>Week 7</w:t>
            </w:r>
          </w:p>
        </w:tc>
      </w:tr>
      <w:tr>
        <w:trPr>
          <w:trHeight w:val="425" w:hRule="atLeast"/>
        </w:trPr>
        <w:tc>
          <w:tcPr>
            <w:tcW w:type="dxa" w:w="1949"/>
            <w:vAlign w:val="center"/>
          </w:tcPr>
          <w:p>
            <w:pPr>
              <w:spacing w:line="276" w:lineRule="auto" w:before="0" w:after="0"/>
            </w:pPr>
            <w:r/>
            <w:r>
              <w:rPr>
                <w:rFonts w:ascii="Figtree" w:hAnsi="Figtree"/>
                <w:b w:val="0"/>
                <w:i w:val="0"/>
                <w:sz w:val="20"/>
              </w:rPr>
              <w:t>Phase 3 gate</w:t>
            </w:r>
          </w:p>
        </w:tc>
        <w:tc>
          <w:tcPr>
            <w:tcW w:type="dxa" w:w="1949"/>
            <w:vAlign w:val="center"/>
          </w:tcPr>
          <w:p>
            <w:pPr>
              <w:spacing w:line="276" w:lineRule="auto" w:before="0" w:after="0"/>
            </w:pPr>
            <w:r/>
            <w:r>
              <w:rPr>
                <w:rFonts w:ascii="Figtree" w:hAnsi="Figtree"/>
                <w:b w:val="0"/>
                <w:i w:val="0"/>
                <w:sz w:val="20"/>
              </w:rPr>
              <w:t>CBK review of deployed layer complete</w:t>
            </w:r>
          </w:p>
        </w:tc>
        <w:tc>
          <w:tcPr>
            <w:tcW w:type="dxa" w:w="1949"/>
            <w:vAlign w:val="center"/>
          </w:tcPr>
          <w:p>
            <w:pPr>
              <w:spacing w:line="276" w:lineRule="auto" w:before="0" w:after="0"/>
            </w:pPr>
            <w:r/>
            <w:r>
              <w:rPr>
                <w:rFonts w:ascii="Figtree" w:hAnsi="Figtree"/>
                <w:b w:val="0"/>
                <w:i w:val="0"/>
                <w:sz w:val="20"/>
              </w:rPr>
              <w:t>25%</w:t>
            </w:r>
          </w:p>
        </w:tc>
        <w:tc>
          <w:tcPr>
            <w:tcW w:type="dxa" w:w="1949"/>
            <w:vAlign w:val="center"/>
          </w:tcPr>
          <w:p>
            <w:pPr>
              <w:spacing w:line="276" w:lineRule="auto" w:before="0" w:after="0"/>
            </w:pPr>
            <w:r/>
            <w:r>
              <w:rPr>
                <w:rFonts w:ascii="Figtree" w:hAnsi="Figtree"/>
                <w:b w:val="0"/>
                <w:i w:val="0"/>
                <w:sz w:val="20"/>
              </w:rPr>
              <w:t>$105,000</w:t>
            </w:r>
          </w:p>
        </w:tc>
        <w:tc>
          <w:tcPr>
            <w:tcW w:type="dxa" w:w="1949"/>
            <w:vAlign w:val="center"/>
          </w:tcPr>
          <w:p>
            <w:pPr>
              <w:spacing w:line="276" w:lineRule="auto" w:before="0" w:after="0"/>
            </w:pPr>
            <w:r/>
            <w:r>
              <w:rPr>
                <w:rFonts w:ascii="Figtree" w:hAnsi="Figtree"/>
                <w:b w:val="0"/>
                <w:i w:val="0"/>
                <w:sz w:val="20"/>
              </w:rPr>
              <w:t>Week 20</w:t>
            </w:r>
          </w:p>
        </w:tc>
      </w:tr>
      <w:tr>
        <w:trPr>
          <w:trHeight w:val="425" w:hRule="atLeast"/>
        </w:trPr>
        <w:tc>
          <w:tcPr>
            <w:tcW w:type="dxa" w:w="1949"/>
            <w:vAlign w:val="center"/>
          </w:tcPr>
          <w:p>
            <w:pPr>
              <w:spacing w:line="276" w:lineRule="auto" w:before="0" w:after="0"/>
            </w:pPr>
            <w:r/>
            <w:r>
              <w:rPr>
                <w:rFonts w:ascii="Figtree" w:hAnsi="Figtree"/>
                <w:b w:val="0"/>
                <w:i w:val="0"/>
                <w:sz w:val="20"/>
              </w:rPr>
              <w:t>Phase 5 gate</w:t>
            </w:r>
          </w:p>
        </w:tc>
        <w:tc>
          <w:tcPr>
            <w:tcW w:type="dxa" w:w="1949"/>
            <w:vAlign w:val="center"/>
          </w:tcPr>
          <w:p>
            <w:pPr>
              <w:spacing w:line="276" w:lineRule="auto" w:before="0" w:after="0"/>
            </w:pPr>
            <w:r/>
            <w:r>
              <w:rPr>
                <w:rFonts w:ascii="Figtree" w:hAnsi="Figtree"/>
                <w:b w:val="0"/>
                <w:i w:val="0"/>
                <w:sz w:val="20"/>
              </w:rPr>
              <w:t>CBK written comfort, UAT signed off</w:t>
            </w:r>
          </w:p>
        </w:tc>
        <w:tc>
          <w:tcPr>
            <w:tcW w:type="dxa" w:w="1949"/>
            <w:vAlign w:val="center"/>
          </w:tcPr>
          <w:p>
            <w:pPr>
              <w:spacing w:line="276" w:lineRule="auto" w:before="0" w:after="0"/>
            </w:pPr>
            <w:r/>
            <w:r>
              <w:rPr>
                <w:rFonts w:ascii="Figtree" w:hAnsi="Figtree"/>
                <w:b w:val="0"/>
                <w:i w:val="0"/>
                <w:sz w:val="20"/>
              </w:rPr>
              <w:t>25%</w:t>
            </w:r>
          </w:p>
        </w:tc>
        <w:tc>
          <w:tcPr>
            <w:tcW w:type="dxa" w:w="1949"/>
            <w:vAlign w:val="center"/>
          </w:tcPr>
          <w:p>
            <w:pPr>
              <w:spacing w:line="276" w:lineRule="auto" w:before="0" w:after="0"/>
            </w:pPr>
            <w:r/>
            <w:r>
              <w:rPr>
                <w:rFonts w:ascii="Figtree" w:hAnsi="Figtree"/>
                <w:b w:val="0"/>
                <w:i w:val="0"/>
                <w:sz w:val="20"/>
              </w:rPr>
              <w:t>$105,000</w:t>
            </w:r>
          </w:p>
        </w:tc>
        <w:tc>
          <w:tcPr>
            <w:tcW w:type="dxa" w:w="1949"/>
            <w:vAlign w:val="center"/>
          </w:tcPr>
          <w:p>
            <w:pPr>
              <w:spacing w:line="276" w:lineRule="auto" w:before="0" w:after="0"/>
            </w:pPr>
            <w:r/>
            <w:r>
              <w:rPr>
                <w:rFonts w:ascii="Figtree" w:hAnsi="Figtree"/>
                <w:b w:val="0"/>
                <w:i w:val="0"/>
                <w:sz w:val="20"/>
              </w:rPr>
              <w:t>Week 34</w:t>
            </w:r>
          </w:p>
        </w:tc>
      </w:tr>
      <w:tr>
        <w:trPr>
          <w:trHeight w:val="425" w:hRule="atLeast"/>
        </w:trPr>
        <w:tc>
          <w:tcPr>
            <w:tcW w:type="dxa" w:w="1949"/>
            <w:vAlign w:val="center"/>
          </w:tcPr>
          <w:p>
            <w:pPr>
              <w:spacing w:line="276" w:lineRule="auto" w:before="0" w:after="0"/>
            </w:pPr>
            <w:r/>
            <w:r>
              <w:rPr>
                <w:rFonts w:ascii="Figtree" w:hAnsi="Figtree"/>
                <w:b w:val="0"/>
                <w:i w:val="0"/>
                <w:sz w:val="20"/>
              </w:rPr>
              <w:t>Phase 6 gate</w:t>
            </w:r>
          </w:p>
        </w:tc>
        <w:tc>
          <w:tcPr>
            <w:tcW w:type="dxa" w:w="1949"/>
            <w:vAlign w:val="center"/>
          </w:tcPr>
          <w:p>
            <w:pPr>
              <w:spacing w:line="276" w:lineRule="auto" w:before="0" w:after="0"/>
            </w:pPr>
            <w:r/>
            <w:r>
              <w:rPr>
                <w:rFonts w:ascii="Figtree" w:hAnsi="Figtree"/>
                <w:b w:val="0"/>
                <w:i w:val="0"/>
                <w:sz w:val="20"/>
              </w:rPr>
              <w:t>First corridor production-live</w:t>
            </w:r>
          </w:p>
        </w:tc>
        <w:tc>
          <w:tcPr>
            <w:tcW w:type="dxa" w:w="1949"/>
            <w:vAlign w:val="center"/>
          </w:tcPr>
          <w:p>
            <w:pPr>
              <w:spacing w:line="276" w:lineRule="auto" w:before="0" w:after="0"/>
            </w:pPr>
            <w:r/>
            <w:r>
              <w:rPr>
                <w:rFonts w:ascii="Figtree" w:hAnsi="Figtree"/>
                <w:b w:val="0"/>
                <w:i w:val="0"/>
                <w:sz w:val="20"/>
              </w:rPr>
              <w:t>15%</w:t>
            </w:r>
          </w:p>
        </w:tc>
        <w:tc>
          <w:tcPr>
            <w:tcW w:type="dxa" w:w="1949"/>
            <w:vAlign w:val="center"/>
          </w:tcPr>
          <w:p>
            <w:pPr>
              <w:spacing w:line="276" w:lineRule="auto" w:before="0" w:after="0"/>
            </w:pPr>
            <w:r/>
            <w:r>
              <w:rPr>
                <w:rFonts w:ascii="Figtree" w:hAnsi="Figtree"/>
                <w:b w:val="0"/>
                <w:i w:val="0"/>
                <w:sz w:val="20"/>
              </w:rPr>
              <w:t>$63,000</w:t>
            </w:r>
          </w:p>
        </w:tc>
        <w:tc>
          <w:tcPr>
            <w:tcW w:type="dxa" w:w="1949"/>
            <w:vAlign w:val="center"/>
          </w:tcPr>
          <w:p>
            <w:pPr>
              <w:spacing w:line="276" w:lineRule="auto" w:before="0" w:after="0"/>
            </w:pPr>
            <w:r/>
            <w:r>
              <w:rPr>
                <w:rFonts w:ascii="Figtree" w:hAnsi="Figtree"/>
                <w:b w:val="0"/>
                <w:i w:val="0"/>
                <w:sz w:val="20"/>
              </w:rPr>
              <w:t>Week 54</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100%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p>
        </w:tc>
      </w:tr>
    </w:tbl>
    <w:p>
      <w:pPr>
        <w:spacing w:before="0" w:after="0" w:line="120" w:lineRule="exact"/>
      </w:pPr>
    </w:p>
    <w:p>
      <w:r>
        <w:br w:type="page"/>
      </w:r>
    </w:p>
    <w:p>
      <w:r>
        <w:rPr>
          <w:rFonts w:ascii="Figtree" w:hAnsi="Figtree"/>
          <w:b w:val="0"/>
          <w:i/>
          <w:sz w:val="22"/>
        </w:rPr>
        <w:t>This document is classified SettleMint Confidential. Distribution is restricted to authorised M-Pesa Safaricom procurement personnel.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