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1"/>
            <w:tabs>
              <w:tab w:val="right" w:leader="dot" w:pos="9072"/>
            </w:tabs>
          </w:pPr>
          <w:r>
            <w:t xml:space="preserve">Executive Summary</w:t>
          </w:r>
          <w:r>
            <w:tab/>
          </w:r>
          <w:r>
            <w:t xml:space="preserve">4</w:t>
          </w:r>
        </w:p>
        <w:p>
          <w:pPr>
            <w:pStyle w:val="TOC2"/>
            <w:tabs>
              <w:tab w:val="right" w:leader="dot" w:pos="9072"/>
            </w:tabs>
          </w:pPr>
          <w:r>
            <w:t xml:space="preserve">Commercial Context</w:t>
          </w:r>
          <w:r>
            <w:tab/>
          </w:r>
          <w:r>
            <w:t xml:space="preserve">5</w:t>
          </w:r>
        </w:p>
        <w:p>
          <w:pPr>
            <w:pStyle w:val="TOC2"/>
            <w:tabs>
              <w:tab w:val="right" w:leader="dot" w:pos="9072"/>
            </w:tabs>
          </w:pPr>
          <w:r>
            <w:t xml:space="preserve">Recommended Commercial Model</w:t>
          </w:r>
          <w:r>
            <w:tab/>
          </w:r>
          <w:r>
            <w:t xml:space="preserve">6</w:t>
          </w:r>
        </w:p>
        <w:p>
          <w:pPr>
            <w:pStyle w:val="TOC2"/>
            <w:tabs>
              <w:tab w:val="right" w:leader="dot" w:pos="9072"/>
            </w:tabs>
          </w:pPr>
          <w:r>
            <w:t xml:space="preserve">Headline TCO</w:t>
          </w:r>
          <w:r>
            <w:tab/>
          </w:r>
          <w:r>
            <w:t xml:space="preserve">7</w:t>
          </w:r>
        </w:p>
        <w:p>
          <w:pPr>
            <w:pStyle w:val="TOC1"/>
            <w:tabs>
              <w:tab w:val="right" w:leader="dot" w:pos="9072"/>
            </w:tabs>
          </w:pPr>
          <w:r>
            <w:t xml:space="preserve">Investment Rationale</w:t>
          </w:r>
          <w:r>
            <w:tab/>
          </w:r>
          <w:r>
            <w:t xml:space="preserve">8</w:t>
          </w:r>
        </w:p>
        <w:p>
          <w:pPr>
            <w:pStyle w:val="TOC2"/>
            <w:tabs>
              <w:tab w:val="right" w:leader="dot" w:pos="9072"/>
            </w:tabs>
          </w:pPr>
          <w:r>
            <w:t xml:space="preserve">Cost of the Current Approach</w:t>
          </w:r>
          <w:r>
            <w:tab/>
          </w:r>
          <w:r>
            <w:t xml:space="preserve">9</w:t>
          </w:r>
        </w:p>
        <w:p>
          <w:pPr>
            <w:pStyle w:val="TOC2"/>
            <w:tabs>
              <w:tab w:val="right" w:leader="dot" w:pos="9072"/>
            </w:tabs>
          </w:pPr>
          <w:r>
            <w:t xml:space="preserve">Why DALP Changes the Economics</w:t>
          </w:r>
          <w:r>
            <w:tab/>
          </w:r>
          <w:r>
            <w:t xml:space="preserve">10</w:t>
          </w:r>
        </w:p>
        <w:p>
          <w:pPr>
            <w:pStyle w:val="TOC1"/>
            <w:tabs>
              <w:tab w:val="right" w:leader="dot" w:pos="9072"/>
            </w:tabs>
          </w:pPr>
          <w:r>
            <w:t xml:space="preserve">Pricing Structure</w:t>
          </w:r>
          <w:r>
            <w:tab/>
          </w:r>
          <w:r>
            <w:t xml:space="preserve">11</w:t>
          </w:r>
        </w:p>
        <w:p>
          <w:pPr>
            <w:pStyle w:val="TOC2"/>
            <w:tabs>
              <w:tab w:val="right" w:leader="dot" w:pos="9072"/>
            </w:tabs>
          </w:pPr>
          <w:r>
            <w:t xml:space="preserve">Platform License</w:t>
          </w:r>
          <w:r>
            <w:tab/>
          </w:r>
          <w:r>
            <w:t xml:space="preserve">12</w:t>
          </w:r>
        </w:p>
        <w:p>
          <w:pPr>
            <w:pStyle w:val="TOC2"/>
            <w:tabs>
              <w:tab w:val="right" w:leader="dot" w:pos="9072"/>
            </w:tabs>
          </w:pPr>
          <w:r>
            <w:t xml:space="preserve">Implementation Fee</w:t>
          </w:r>
          <w:r>
            <w:tab/>
          </w:r>
          <w:r>
            <w:t xml:space="preserve">13</w:t>
          </w:r>
        </w:p>
        <w:p>
          <w:pPr>
            <w:pStyle w:val="TOC2"/>
            <w:tabs>
              <w:tab w:val="right" w:leader="dot" w:pos="9072"/>
            </w:tabs>
          </w:pPr>
          <w:r>
            <w:t xml:space="preserve">Annual Support</w:t>
          </w:r>
          <w:r>
            <w:tab/>
          </w:r>
          <w:r>
            <w:t xml:space="preserve">14</w:t>
          </w:r>
        </w:p>
        <w:p>
          <w:pPr>
            <w:pStyle w:val="TOC1"/>
            <w:tabs>
              <w:tab w:val="right" w:leader="dot" w:pos="9072"/>
            </w:tabs>
          </w:pPr>
          <w:r>
            <w:t xml:space="preserve">Implementation Cost Schedule</w:t>
          </w:r>
          <w:r>
            <w:tab/>
          </w:r>
          <w:r>
            <w:t xml:space="preserve">15</w:t>
          </w:r>
        </w:p>
        <w:p>
          <w:pPr>
            <w:pStyle w:val="TOC2"/>
            <w:tabs>
              <w:tab w:val="right" w:leader="dot" w:pos="9072"/>
            </w:tabs>
          </w:pPr>
          <w:r>
            <w:t xml:space="preserve">By Phase and Workstream</w:t>
          </w:r>
          <w:r>
            <w:tab/>
          </w:r>
          <w:r>
            <w:t xml:space="preserve">16</w:t>
          </w:r>
        </w:p>
        <w:p>
          <w:pPr>
            <w:pStyle w:val="TOC2"/>
            <w:tabs>
              <w:tab w:val="right" w:leader="dot" w:pos="9072"/>
            </w:tabs>
          </w:pPr>
          <w:r>
            <w:t xml:space="preserve">SettleMint Delivery Team Composition</w:t>
          </w:r>
          <w:r>
            <w:tab/>
          </w:r>
          <w:r>
            <w:t xml:space="preserve">17</w:t>
          </w:r>
        </w:p>
        <w:p>
          <w:pPr>
            <w:pStyle w:val="TOC1"/>
            <w:tabs>
              <w:tab w:val="right" w:leader="dot" w:pos="9072"/>
            </w:tabs>
          </w:pPr>
          <w:r>
            <w:t xml:space="preserve">Support and SLA Costs</w:t>
          </w:r>
          <w:r>
            <w:tab/>
          </w:r>
          <w:r>
            <w:t xml:space="preserve">18</w:t>
          </w:r>
        </w:p>
        <w:p>
          <w:pPr>
            <w:pStyle w:val="TOC2"/>
            <w:tabs>
              <w:tab w:val="right" w:leader="dot" w:pos="9072"/>
            </w:tabs>
          </w:pPr>
          <w:r>
            <w:t xml:space="preserve">Enterprise Support Package (Recommended)</w:t>
          </w:r>
          <w:r>
            <w:tab/>
          </w:r>
          <w:r>
            <w:t xml:space="preserve">19</w:t>
          </w:r>
        </w:p>
        <w:p>
          <w:pPr>
            <w:pStyle w:val="TOC2"/>
            <w:tabs>
              <w:tab w:val="right" w:leader="dot" w:pos="9072"/>
            </w:tabs>
          </w:pPr>
          <w:r>
            <w:t xml:space="preserve">SLA Financial Commitments</w:t>
          </w:r>
          <w:r>
            <w:tab/>
          </w:r>
          <w:r>
            <w:t xml:space="preserve">20</w:t>
          </w:r>
        </w:p>
        <w:p>
          <w:pPr>
            <w:pStyle w:val="TOC1"/>
            <w:tabs>
              <w:tab w:val="right" w:leader="dot" w:pos="9072"/>
            </w:tabs>
          </w:pPr>
          <w:r>
            <w:t xml:space="preserve">Three-Year TCO Analysis</w:t>
          </w:r>
          <w:r>
            <w:tab/>
          </w:r>
          <w:r>
            <w:t xml:space="preserve">21</w:t>
          </w:r>
        </w:p>
        <w:p>
          <w:pPr>
            <w:pStyle w:val="TOC2"/>
            <w:tabs>
              <w:tab w:val="right" w:leader="dot" w:pos="9072"/>
            </w:tabs>
          </w:pPr>
          <w:r>
            <w:t xml:space="preserve">Foundation Tier Deployment</w:t>
          </w:r>
          <w:r>
            <w:tab/>
          </w:r>
          <w:r>
            <w:t xml:space="preserve">22</w:t>
          </w:r>
        </w:p>
        <w:p>
          <w:pPr>
            <w:pStyle w:val="TOC2"/>
            <w:tabs>
              <w:tab w:val="right" w:leader="dot" w:pos="9072"/>
            </w:tabs>
          </w:pPr>
          <w:r>
            <w:t xml:space="preserve">Enterprise Tier Deployment (Recommended)</w:t>
          </w:r>
          <w:r>
            <w:tab/>
          </w:r>
          <w:r>
            <w:t xml:space="preserve">23</w:t>
          </w:r>
        </w:p>
        <w:p>
          <w:pPr>
            <w:pStyle w:val="TOC1"/>
            <w:tabs>
              <w:tab w:val="right" w:leader="dot" w:pos="9072"/>
            </w:tabs>
          </w:pPr>
          <w:r>
            <w:t xml:space="preserve">ROI Framework</w:t>
          </w:r>
          <w:r>
            <w:tab/>
          </w:r>
          <w:r>
            <w:t xml:space="preserve">24</w:t>
          </w:r>
        </w:p>
        <w:p>
          <w:pPr>
            <w:pStyle w:val="TOC2"/>
            <w:tabs>
              <w:tab w:val="right" w:leader="dot" w:pos="9072"/>
            </w:tabs>
          </w:pPr>
          <w:r>
            <w:t xml:space="preserve">Efficiency Gains</w:t>
          </w:r>
          <w:r>
            <w:tab/>
          </w:r>
          <w:r>
            <w:t xml:space="preserve">25</w:t>
          </w:r>
        </w:p>
        <w:p>
          <w:pPr>
            <w:pStyle w:val="TOC2"/>
            <w:tabs>
              <w:tab w:val="right" w:leader="dot" w:pos="9072"/>
            </w:tabs>
          </w:pPr>
          <w:r>
            <w:t xml:space="preserve">Settlement Cost Reduction</w:t>
          </w:r>
          <w:r>
            <w:tab/>
          </w:r>
          <w:r>
            <w:t xml:space="preserve">26</w:t>
          </w:r>
        </w:p>
        <w:p>
          <w:pPr>
            <w:pStyle w:val="TOC2"/>
            <w:tabs>
              <w:tab w:val="right" w:leader="dot" w:pos="9072"/>
            </w:tabs>
          </w:pPr>
          <w:r>
            <w:t xml:space="preserve">Audit Cost Savings</w:t>
          </w:r>
          <w:r>
            <w:tab/>
          </w:r>
          <w:r>
            <w:t xml:space="preserve">27</w:t>
          </w:r>
        </w:p>
        <w:p>
          <w:pPr>
            <w:pStyle w:val="TOC2"/>
            <w:tabs>
              <w:tab w:val="right" w:leader="dot" w:pos="9072"/>
            </w:tabs>
          </w:pPr>
          <w:r>
            <w:t xml:space="preserve">Total Estimated Annual ROI (Year 2 onwards)</w:t>
          </w:r>
          <w:r>
            <w:tab/>
          </w:r>
          <w:r>
            <w:t xml:space="preserve">28</w:t>
          </w:r>
        </w:p>
        <w:p>
          <w:pPr>
            <w:pStyle w:val="TOC1"/>
            <w:tabs>
              <w:tab w:val="right" w:leader="dot" w:pos="9072"/>
            </w:tabs>
          </w:pPr>
          <w:r>
            <w:t xml:space="preserve">Payment Terms</w:t>
          </w:r>
          <w:r>
            <w:tab/>
          </w:r>
          <w:r>
            <w:t xml:space="preserve">29</w:t>
          </w:r>
        </w:p>
        <w:p>
          <w:pPr>
            <w:pStyle w:val="TOC2"/>
            <w:tabs>
              <w:tab w:val="right" w:leader="dot" w:pos="9072"/>
            </w:tabs>
          </w:pPr>
          <w:r>
            <w:t xml:space="preserve">Milestone-Based Structure</w:t>
          </w:r>
          <w:r>
            <w:tab/>
          </w:r>
          <w:r>
            <w:t xml:space="preserve">30</w:t>
          </w:r>
        </w:p>
        <w:p>
          <w:pPr>
            <w:pStyle w:val="TOC2"/>
            <w:tabs>
              <w:tab w:val="right" w:leader="dot" w:pos="9072"/>
            </w:tabs>
          </w:pPr>
          <w:r>
            <w:t xml:space="preserve">Invoicing Schedule</w:t>
          </w:r>
          <w:r>
            <w:tab/>
          </w:r>
          <w:r>
            <w:t xml:space="preserve">31</w:t>
          </w:r>
        </w:p>
        <w:p>
          <w:pPr>
            <w:pStyle w:val="TOC2"/>
            <w:tabs>
              <w:tab w:val="right" w:leader="dot" w:pos="9072"/>
            </w:tabs>
          </w:pPr>
          <w:r>
            <w:t xml:space="preserve">Phase Gate Conditions</w:t>
          </w:r>
          <w:r>
            <w:tab/>
          </w:r>
          <w:r>
            <w:t xml:space="preserve">32</w:t>
          </w:r>
        </w:p>
        <w:p>
          <w:pPr>
            <w:pStyle w:val="TOC1"/>
            <w:tabs>
              <w:tab w:val="right" w:leader="dot" w:pos="9072"/>
            </w:tabs>
          </w:pPr>
          <w:r>
            <w:t xml:space="preserve">Commercial Terms and SLAs</w:t>
          </w:r>
          <w:r>
            <w:tab/>
          </w:r>
          <w:r>
            <w:t xml:space="preserve">33</w:t>
          </w:r>
        </w:p>
        <w:p>
          <w:pPr>
            <w:pStyle w:val="TOC2"/>
            <w:tabs>
              <w:tab w:val="right" w:leader="dot" w:pos="9072"/>
            </w:tabs>
          </w:pPr>
          <w:r>
            <w:t xml:space="preserve">Key Contractual Positions</w:t>
          </w:r>
          <w:r>
            <w:tab/>
          </w:r>
          <w:r>
            <w:t xml:space="preserve">34</w:t>
          </w:r>
        </w:p>
        <w:p>
          <w:pPr>
            <w:pStyle w:val="TOC2"/>
            <w:tabs>
              <w:tab w:val="right" w:leader="dot" w:pos="9072"/>
            </w:tabs>
          </w:pPr>
          <w:r>
            <w:t xml:space="preserve">SLA Summary</w:t>
          </w:r>
          <w:r>
            <w:tab/>
          </w:r>
          <w:r>
            <w:t xml:space="preserve">35</w:t>
          </w:r>
        </w:p>
        <w:p>
          <w:pPr>
            <w:pStyle w:val="TOC2"/>
            <w:tabs>
              <w:tab w:val="right" w:leader="dot" w:pos="9072"/>
            </w:tabs>
          </w:pPr>
          <w:r>
            <w:t xml:space="preserve">Financial Stability</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OPay (Nigeria)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OPAY-RFP-TOKENIZED-PAYMENT-INFRASTRUCTURE-202603</w:t>
      </w:r>
    </w:p>
    <w:p>
      <w:r>
        <w:rPr>
          <w:rFonts w:ascii="Figtree" w:hAnsi="Figtree"/>
          <w:b/>
          <w:i w:val="0"/>
          <w:sz w:val="22"/>
        </w:rPr>
        <w:t>Classification:</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Rationale</w:t>
      </w:r>
    </w:p>
    <w:p>
      <w:pPr>
        <w:pStyle w:val="ListParagraph"/>
        <w:numPr>
          <w:ilvl w:val="0"/>
          <w:numId w:val="4"/>
        </w:numPr>
      </w:pPr>
      <w:r>
        <w:rPr>
          <w:rFonts w:ascii="Figtree" w:hAnsi="Figtree"/>
          <w:b w:val="0"/>
          <w:i w:val="0"/>
          <w:sz w:val="22"/>
        </w:rPr>
        <w:t>Pricing Structure</w:t>
      </w:r>
    </w:p>
    <w:p>
      <w:pPr>
        <w:pStyle w:val="ListParagraph"/>
        <w:numPr>
          <w:ilvl w:val="0"/>
          <w:numId w:val="4"/>
        </w:numPr>
      </w:pPr>
      <w:r>
        <w:rPr>
          <w:rFonts w:ascii="Figtree" w:hAnsi="Figtree"/>
          <w:b w:val="0"/>
          <w:i w:val="0"/>
          <w:sz w:val="22"/>
        </w:rPr>
        <w:t>Implementation Cost Schedule</w:t>
      </w:r>
    </w:p>
    <w:p>
      <w:pPr>
        <w:pStyle w:val="ListParagraph"/>
        <w:numPr>
          <w:ilvl w:val="0"/>
          <w:numId w:val="4"/>
        </w:numPr>
      </w:pPr>
      <w:r>
        <w:rPr>
          <w:rFonts w:ascii="Figtree" w:hAnsi="Figtree"/>
          <w:b w:val="0"/>
          <w:i w:val="0"/>
          <w:sz w:val="22"/>
        </w:rPr>
        <w:t>Support and SLA Costs</w:t>
      </w:r>
    </w:p>
    <w:p>
      <w:pPr>
        <w:pStyle w:val="ListParagraph"/>
        <w:numPr>
          <w:ilvl w:val="0"/>
          <w:numId w:val="4"/>
        </w:numPr>
      </w:pPr>
      <w:r>
        <w:rPr>
          <w:rFonts w:ascii="Figtree" w:hAnsi="Figtree"/>
          <w:b w:val="0"/>
          <w:i w:val="0"/>
          <w:sz w:val="22"/>
        </w:rPr>
        <w:t>Three-Year TCO Analysis</w:t>
      </w:r>
    </w:p>
    <w:p>
      <w:pPr>
        <w:pStyle w:val="ListParagraph"/>
        <w:numPr>
          <w:ilvl w:val="0"/>
          <w:numId w:val="4"/>
        </w:numPr>
      </w:pPr>
      <w:r>
        <w:rPr>
          <w:rFonts w:ascii="Figtree" w:hAnsi="Figtree"/>
          <w:b w:val="0"/>
          <w:i w:val="0"/>
          <w:sz w:val="22"/>
        </w:rPr>
        <w:t>ROI Framework</w:t>
      </w:r>
    </w:p>
    <w:p>
      <w:pPr>
        <w:pStyle w:val="ListParagraph"/>
        <w:numPr>
          <w:ilvl w:val="0"/>
          <w:numId w:val="4"/>
        </w:numPr>
      </w:pPr>
      <w:r>
        <w:rPr>
          <w:rFonts w:ascii="Figtree" w:hAnsi="Figtree"/>
          <w:b w:val="0"/>
          <w:i w:val="0"/>
          <w:sz w:val="22"/>
        </w:rPr>
        <w:t>Payment Terms</w:t>
      </w:r>
    </w:p>
    <w:p>
      <w:pPr>
        <w:pStyle w:val="ListParagraph"/>
        <w:numPr>
          <w:ilvl w:val="0"/>
          <w:numId w:val="4"/>
        </w:numPr>
      </w:pPr>
      <w:r>
        <w:rPr>
          <w:rFonts w:ascii="Figtree" w:hAnsi="Figtree"/>
          <w:b w:val="0"/>
          <w:i w:val="0"/>
          <w:sz w:val="22"/>
        </w:rPr>
        <w:t>Commercial Terms and SLAs</w:t>
      </w:r>
    </w:p>
    <w:p>
      <w:r>
        <w:br w:type="page"/>
      </w:r>
    </w:p>
    <w:p>
      <w:pPr>
        <w:pStyle w:val="H1"/>
        <w:numPr>
          <w:ilvl w:val="0"/>
          <w:numId w:val="1"/>
        </w:numPr>
      </w:pPr>
      <w:r>
        <w:t>Executive Summary</w:t>
      </w:r>
    </w:p>
    <w:p>
      <w:pPr>
        <w:pStyle w:val="H2"/>
        <w:numPr>
          <w:ilvl w:val="1"/>
          <w:numId w:val="1"/>
        </w:numPr>
      </w:pPr>
      <w:r>
        <w:t>Commercial Context</w:t>
      </w:r>
    </w:p>
    <w:p>
      <w:r>
        <w:rPr>
          <w:rFonts w:ascii="Figtree" w:hAnsi="Figtree"/>
          <w:b w:val="0"/>
          <w:i w:val="0"/>
          <w:sz w:val="22"/>
        </w:rPr>
        <w:t>OPay's settlement infrastructure processes millions of daily payment transactions across wallet operations, merchant acquiring, and banking partner relationships. The current settlement architecture relies on batch reconciliation processes that generate operational cost through manual exception handling, settlement float, and multi-system investigation when breaks occur. These costs scale with transaction volume and partner count, creating a structural efficiency constraint as OPay's business grows.</w:t>
      </w:r>
    </w:p>
    <w:p>
      <w:r>
        <w:rPr>
          <w:rFonts w:ascii="Figtree" w:hAnsi="Figtree"/>
          <w:b w:val="0"/>
          <w:i w:val="0"/>
          <w:sz w:val="22"/>
        </w:rPr>
        <w:t>This commercial proposal presents the investment required to deploy DALP as a tokenized settlement infrastructure layer beneath OPay's existing payment operations. The deployment follows a three-phase approach: internal treasury settlement (Phase 1), merchant settlement network (Phase 2), and partner bank connectivity (Phase 3), spanning 36 weeks from mobilisation to full production.</w:t>
      </w:r>
    </w:p>
    <w:p>
      <w:pPr>
        <w:pStyle w:val="H2"/>
        <w:numPr>
          <w:ilvl w:val="1"/>
          <w:numId w:val="1"/>
        </w:numPr>
      </w:pPr>
      <w:r>
        <w:t>Recommended Commercial Model</w:t>
      </w:r>
    </w:p>
    <w:p>
      <w:r>
        <w:rPr>
          <w:rFonts w:ascii="Figtree" w:hAnsi="Figtree"/>
          <w:b w:val="0"/>
          <w:i w:val="0"/>
          <w:sz w:val="22"/>
        </w:rPr>
        <w:t>SettleMint recommends a platform licensing model combined with phased implementation services and Enterprise-tier support. This structure provides:</w:t>
      </w:r>
    </w:p>
    <w:p>
      <w:pPr>
        <w:pStyle w:val="ListParagraph"/>
        <w:numPr>
          <w:ilvl w:val="0"/>
          <w:numId w:val="4"/>
        </w:numPr>
      </w:pPr>
      <w:r>
        <w:rPr>
          <w:rFonts w:ascii="Figtree" w:hAnsi="Figtree"/>
          <w:b/>
          <w:i w:val="0"/>
          <w:sz w:val="22"/>
        </w:rPr>
        <w:t>Predictable annual costs.</w:t>
      </w:r>
      <w:r>
        <w:rPr>
          <w:rFonts w:ascii="Figtree" w:hAnsi="Figtree"/>
          <w:b w:val="0"/>
          <w:i w:val="0"/>
          <w:sz w:val="22"/>
        </w:rPr>
        <w:t xml:space="preserve"> DALP is licensed as a platform, not billed per transaction. Settlement volume growth does not trigger incremental licensing charges. This is critical for a payment infrastructure provider where transaction volumes scale rapidly.</w:t>
      </w:r>
    </w:p>
    <w:p>
      <w:pPr>
        <w:pStyle w:val="ListParagraph"/>
        <w:numPr>
          <w:ilvl w:val="0"/>
          <w:numId w:val="4"/>
        </w:numPr>
      </w:pPr>
      <w:r>
        <w:rPr>
          <w:rFonts w:ascii="Figtree" w:hAnsi="Figtree"/>
          <w:b/>
          <w:i w:val="0"/>
          <w:sz w:val="22"/>
        </w:rPr>
        <w:t>Phased implementation investment.</w:t>
      </w:r>
      <w:r>
        <w:rPr>
          <w:rFonts w:ascii="Figtree" w:hAnsi="Figtree"/>
          <w:b w:val="0"/>
          <w:i w:val="0"/>
          <w:sz w:val="22"/>
        </w:rPr>
        <w:t xml:space="preserve"> Implementation fees are structured by phase, allowing OPay to validate value delivery at each stage before committing to subsequent phases.</w:t>
      </w:r>
    </w:p>
    <w:p>
      <w:pPr>
        <w:pStyle w:val="ListParagraph"/>
        <w:numPr>
          <w:ilvl w:val="0"/>
          <w:numId w:val="4"/>
        </w:numPr>
      </w:pPr>
      <w:r>
        <w:rPr>
          <w:rFonts w:ascii="Figtree" w:hAnsi="Figtree"/>
          <w:b/>
          <w:i w:val="0"/>
          <w:sz w:val="22"/>
        </w:rPr>
        <w:t>Production-grade support.</w:t>
      </w:r>
      <w:r>
        <w:rPr>
          <w:rFonts w:ascii="Figtree" w:hAnsi="Figtree"/>
          <w:b w:val="0"/>
          <w:i w:val="0"/>
          <w:sz w:val="22"/>
        </w:rPr>
        <w:t xml:space="preserve"> Enterprise support with 24/7 coverage and 15-minute P1 response times, appropriate for nationally significant payment infrastructure.</w:t>
      </w:r>
    </w:p>
    <w:p>
      <w:pPr>
        <w:pStyle w:val="H2"/>
        <w:numPr>
          <w:ilvl w:val="1"/>
          <w:numId w:val="1"/>
        </w:numPr>
      </w:pPr>
      <w:r>
        <w:t>Headline TCO</w:t>
      </w:r>
    </w:p>
    <w:p>
      <w:r>
        <w:rPr>
          <w:rFonts w:ascii="Figtree" w:hAnsi="Figtree"/>
          <w:b w:val="0"/>
          <w:i w:val="0"/>
          <w:sz w:val="22"/>
        </w:rPr>
        <w:t>The three-year total cost of ownership for the recommended deployment is between $1,296,000 and $2,040,000, depending on tier selection, deployment model, and support level. This range reflects the difference between a Foundation-tier deployment for Phase 1 treasury settlement and an Enterprise-tier deployment supporting all three phases at full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92"/>
        <w:gridCol w:w="43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Three-Year Range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$540,000 to $840,000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(Phases 1 to 3)</w:t>
            </w:r>
          </w:p>
        </w:tc>
        <w:tc>
          <w:tcPr>
            <w:tcW w:type="dxa" w:w="4873"/>
            <w:vAlign w:val="center"/>
          </w:tcPr>
          <w:p>
            <w:pPr>
              <w:spacing w:line="276" w:lineRule="auto" w:before="0" w:after="0"/>
            </w:pPr>
            <w:r/>
            <w:r>
              <w:rPr>
                <w:rFonts w:ascii="Figtree" w:hAnsi="Figtree"/>
                <w:b w:val="0"/>
                <w:i w:val="0"/>
                <w:sz w:val="20"/>
              </w:rPr>
              <w:t>$320,000 to $480,000</w:t>
            </w:r>
          </w:p>
        </w:tc>
      </w:tr>
      <w:tr>
        <w:trPr>
          <w:trHeight w:val="425" w:hRule="atLeast"/>
        </w:trPr>
        <w:tc>
          <w:tcPr>
            <w:tcW w:type="dxa" w:w="4873"/>
            <w:vAlign w:val="center"/>
          </w:tcPr>
          <w:p>
            <w:pPr>
              <w:spacing w:line="276" w:lineRule="auto" w:before="0" w:after="0"/>
            </w:pPr>
            <w:r/>
            <w:r>
              <w:rPr>
                <w:rFonts w:ascii="Figtree" w:hAnsi="Figtree"/>
                <w:b w:val="0"/>
                <w:i w:val="0"/>
                <w:sz w:val="20"/>
              </w:rPr>
              <w:t>Annual support</w:t>
            </w:r>
          </w:p>
        </w:tc>
        <w:tc>
          <w:tcPr>
            <w:tcW w:type="dxa" w:w="4873"/>
            <w:vAlign w:val="center"/>
          </w:tcPr>
          <w:p>
            <w:pPr>
              <w:spacing w:line="276" w:lineRule="auto" w:before="0" w:after="0"/>
            </w:pPr>
            <w:r/>
            <w:r>
              <w:rPr>
                <w:rFonts w:ascii="Figtree" w:hAnsi="Figtree"/>
                <w:b w:val="0"/>
                <w:i w:val="0"/>
                <w:sz w:val="20"/>
              </w:rPr>
              <w:t>$216,000 to $360,000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(OPay-managed)</w:t>
            </w:r>
          </w:p>
        </w:tc>
        <w:tc>
          <w:tcPr>
            <w:tcW w:type="dxa" w:w="4873"/>
            <w:vAlign w:val="center"/>
          </w:tcPr>
          <w:p>
            <w:pPr>
              <w:spacing w:line="276" w:lineRule="auto" w:before="0" w:after="0"/>
            </w:pPr>
            <w:r/>
            <w:r>
              <w:rPr>
                <w:rFonts w:ascii="Figtree" w:hAnsi="Figtree"/>
                <w:b w:val="0"/>
                <w:i w:val="0"/>
                <w:sz w:val="20"/>
              </w:rPr>
              <w:t>$220,000 to $360,000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$1,296,000 to $2,040,000</w:t>
            </w:r>
          </w:p>
        </w:tc>
      </w:tr>
    </w:tbl>
    <w:p>
      <w:pPr>
        <w:spacing w:before="0" w:after="0" w:line="120" w:lineRule="exact"/>
      </w:pPr>
    </w:p>
    <w:p>
      <w:r>
        <w:rPr>
          <w:rFonts w:ascii="Figtree" w:hAnsi="Figtree"/>
          <w:b w:val="0"/>
          <w:i w:val="0"/>
          <w:sz w:val="22"/>
        </w:rPr>
        <w:t>Infrastructure costs are estimated for OPay's budgeting purposes. Actual infrastructure costs depend on OPay's deployment model choice (self-hosted vs. dedicated cloud) and existing infrastructure capacity.</w:t>
      </w:r>
    </w:p>
    <w:p>
      <w:r>
        <w:br w:type="page"/>
      </w:r>
    </w:p>
    <w:p>
      <w:pPr>
        <w:pStyle w:val="H1"/>
        <w:numPr>
          <w:ilvl w:val="0"/>
          <w:numId w:val="1"/>
        </w:numPr>
      </w:pPr>
      <w:r>
        <w:t>Investment Rationale</w:t>
      </w:r>
    </w:p>
    <w:p>
      <w:pPr>
        <w:pStyle w:val="H2"/>
        <w:numPr>
          <w:ilvl w:val="1"/>
          <w:numId w:val="1"/>
        </w:numPr>
      </w:pPr>
      <w:r>
        <w:t>Cost of the Current Approach</w:t>
      </w:r>
    </w:p>
    <w:p>
      <w:r>
        <w:rPr>
          <w:rFonts w:ascii="Figtree" w:hAnsi="Figtree"/>
          <w:b w:val="0"/>
          <w:i w:val="0"/>
          <w:sz w:val="22"/>
        </w:rPr>
        <w:t>OPay's current settlement operations incur costs that are partially visible in operational budgets and partially hidden in process inefficiency:</w:t>
      </w:r>
    </w:p>
    <w:p>
      <w:r>
        <w:rPr>
          <w:rFonts w:ascii="Figtree" w:hAnsi="Figtree"/>
          <w:b/>
          <w:i w:val="0"/>
          <w:sz w:val="22"/>
        </w:rPr>
        <w:t>Visible costs.</w:t>
      </w:r>
      <w:r>
        <w:rPr>
          <w:rFonts w:ascii="Figtree" w:hAnsi="Figtree"/>
          <w:b w:val="0"/>
          <w:i w:val="0"/>
          <w:sz w:val="22"/>
        </w:rPr>
        <w:t xml:space="preserve"> Manual reconciliation effort across banking partners (estimated at 15 to 25 full-time equivalent staff hours per day for a platform of OPay's scale), exception investigation and resolution (average 2 to 4 hours per break across multiple systems), and audit preparation costs (quarterly audit evidence compilation from distributed systems).</w:t>
      </w:r>
    </w:p>
    <w:p>
      <w:r>
        <w:rPr>
          <w:rFonts w:ascii="Figtree" w:hAnsi="Figtree"/>
          <w:b/>
          <w:i w:val="0"/>
          <w:sz w:val="22"/>
        </w:rPr>
        <w:t>Hidden costs.</w:t>
      </w:r>
      <w:r>
        <w:rPr>
          <w:rFonts w:ascii="Figtree" w:hAnsi="Figtree"/>
          <w:b w:val="0"/>
          <w:i w:val="0"/>
          <w:sz w:val="22"/>
        </w:rPr>
        <w:t xml:space="preserve"> Settlement float (the cost of capital tied up during batch settlement cycles, typically 24 to 48 hours for banking partner settlement), opportunity cost of delayed merchant settlement (merchants waiting for periodic settlement cycles rather than receiving near-real-time funding), and regulatory risk exposure (the cost of incomplete evidence trails when CBN requests settlement records that span multiple systems).</w:t>
      </w:r>
    </w:p>
    <w:p>
      <w:r>
        <w:rPr>
          <w:rFonts w:ascii="Figtree" w:hAnsi="Figtree"/>
          <w:b/>
          <w:i w:val="0"/>
          <w:sz w:val="22"/>
        </w:rPr>
        <w:t>Scaling costs.</w:t>
      </w:r>
      <w:r>
        <w:rPr>
          <w:rFonts w:ascii="Figtree" w:hAnsi="Figtree"/>
          <w:b w:val="0"/>
          <w:i w:val="0"/>
          <w:sz w:val="22"/>
        </w:rPr>
        <w:t xml:space="preserve"> Every new banking partner adds a bilateral reconciliation point. Every increase in merchant network size multiplies settlement volume without reducing per-transaction reconciliation effort. The current architecture's cost scales linearly or worse with business growth.</w:t>
      </w:r>
    </w:p>
    <w:p>
      <w:pPr>
        <w:pStyle w:val="H2"/>
        <w:numPr>
          <w:ilvl w:val="1"/>
          <w:numId w:val="1"/>
        </w:numPr>
      </w:pPr>
      <w:r>
        <w:t>Why DALP Changes the Economics</w:t>
      </w:r>
    </w:p>
    <w:p>
      <w:r>
        <w:rPr>
          <w:rFonts w:ascii="Figtree" w:hAnsi="Figtree"/>
          <w:b w:val="0"/>
          <w:i w:val="0"/>
          <w:sz w:val="22"/>
        </w:rPr>
        <w:t>DALP's platform model changes the cost structure in three ways:</w:t>
      </w:r>
    </w:p>
    <w:p>
      <w:r>
        <w:rPr>
          <w:rFonts w:ascii="Figtree" w:hAnsi="Figtree"/>
          <w:b/>
          <w:i w:val="0"/>
          <w:sz w:val="22"/>
        </w:rPr>
        <w:t>Reconciliation automation.</w:t>
      </w:r>
      <w:r>
        <w:rPr>
          <w:rFonts w:ascii="Figtree" w:hAnsi="Figtree"/>
          <w:b w:val="0"/>
          <w:i w:val="0"/>
          <w:sz w:val="22"/>
        </w:rPr>
        <w:t xml:space="preserve"> Atomic settlement with on-chain evidence eliminates the manual matching that drives current reconciliation costs. Settlement records are authoritative from the moment of execution, not reconstructed after the fact from distributed system logs.</w:t>
      </w:r>
    </w:p>
    <w:p>
      <w:r>
        <w:rPr>
          <w:rFonts w:ascii="Figtree" w:hAnsi="Figtree"/>
          <w:b/>
          <w:i w:val="0"/>
          <w:sz w:val="22"/>
        </w:rPr>
        <w:t>Settlement cycle compression.</w:t>
      </w:r>
      <w:r>
        <w:rPr>
          <w:rFonts w:ascii="Figtree" w:hAnsi="Figtree"/>
          <w:b w:val="0"/>
          <w:i w:val="0"/>
          <w:sz w:val="22"/>
        </w:rPr>
        <w:t xml:space="preserve"> Atomic settlement replaces batch processing. Treasury positions settle in seconds rather than hours or days. Merchant funding can shift from periodic batch settlement to near-real-time settlement as operations mature. The capital freed from settlement float represents a direct financial benefit.</w:t>
      </w:r>
    </w:p>
    <w:p>
      <w:r>
        <w:rPr>
          <w:rFonts w:ascii="Figtree" w:hAnsi="Figtree"/>
          <w:b/>
          <w:i w:val="0"/>
          <w:sz w:val="22"/>
        </w:rPr>
        <w:t>Marginal cost reduction.</w:t>
      </w:r>
      <w:r>
        <w:rPr>
          <w:rFonts w:ascii="Figtree" w:hAnsi="Figtree"/>
          <w:b w:val="0"/>
          <w:i w:val="0"/>
          <w:sz w:val="22"/>
        </w:rPr>
        <w:t xml:space="preserve"> The platform licensing model means that adding new banking partners, expanding the merchant network, or increasing settlement volumes does not increase DALP licensing costs. The marginal cost of the next million settlements is infrastructure compute, not software fees.</w:t>
      </w:r>
    </w:p>
    <w:p>
      <w:r>
        <w:br w:type="page"/>
      </w:r>
    </w:p>
    <w:p>
      <w:pPr>
        <w:pStyle w:val="H1"/>
        <w:numPr>
          <w:ilvl w:val="0"/>
          <w:numId w:val="1"/>
        </w:numPr>
      </w:pPr>
      <w:r>
        <w:t>Pricing Structure</w:t>
      </w:r>
    </w:p>
    <w:p>
      <w:pPr>
        <w:pStyle w:val="H2"/>
        <w:numPr>
          <w:ilvl w:val="1"/>
          <w:numId w:val="1"/>
        </w:numPr>
      </w:pPr>
      <w:r>
        <w:t>Platform License</w:t>
      </w:r>
    </w:p>
    <w:p>
      <w:r>
        <w:rPr>
          <w:rFonts w:ascii="Figtree" w:hAnsi="Figtree"/>
          <w:b w:val="0"/>
          <w:i w:val="0"/>
          <w:sz w:val="22"/>
        </w:rPr>
        <w:t>DALP platform licensing is structured into tiers based on deployment complexity and institutional requirements, not transaction volume.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3"/>
        <w:gridCol w:w="2341"/>
        <w:gridCol w:w="4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Foundation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3249"/>
            <w:vAlign w:val="center"/>
          </w:tcPr>
          <w:p>
            <w:pPr>
              <w:spacing w:line="276" w:lineRule="auto" w:before="0" w:after="0"/>
            </w:pPr>
            <w:r/>
            <w:r>
              <w:rPr>
                <w:rFonts w:ascii="Figtree" w:hAnsi="Figtree"/>
                <w:b/>
                <w:i w:val="0"/>
                <w:sz w:val="20"/>
              </w:rPr>
              <w:t>Annual platform license</w:t>
            </w:r>
          </w:p>
        </w:tc>
        <w:tc>
          <w:tcPr>
            <w:tcW w:type="dxa" w:w="3249"/>
            <w:vAlign w:val="center"/>
          </w:tcPr>
          <w:p>
            <w:pPr>
              <w:spacing w:line="276" w:lineRule="auto" w:before="0" w:after="0"/>
            </w:pPr>
            <w:r/>
            <w:r>
              <w:rPr>
                <w:rFonts w:ascii="Figtree" w:hAnsi="Figtree"/>
                <w:b/>
                <w:i w:val="0"/>
                <w:sz w:val="20"/>
              </w:rPr>
              <w:t>$180,000/year</w:t>
            </w:r>
          </w:p>
        </w:tc>
        <w:tc>
          <w:tcPr>
            <w:tcW w:type="dxa" w:w="3249"/>
            <w:vAlign w:val="center"/>
          </w:tcPr>
          <w:p>
            <w:pPr>
              <w:spacing w:line="276" w:lineRule="auto" w:before="0" w:after="0"/>
            </w:pPr>
            <w:r/>
            <w:r>
              <w:rPr>
                <w:rFonts w:ascii="Figtree" w:hAnsi="Figtree"/>
                <w:b/>
                <w:i w:val="0"/>
                <w:sz w:val="20"/>
              </w:rPr>
              <w:t>$280,000/year</w:t>
            </w:r>
          </w:p>
        </w:tc>
      </w:tr>
      <w:tr>
        <w:trPr>
          <w:trHeight w:val="425" w:hRule="atLeast"/>
        </w:trPr>
        <w:tc>
          <w:tcPr>
            <w:tcW w:type="dxa" w:w="3249"/>
            <w:vAlign w:val="center"/>
          </w:tcPr>
          <w:p>
            <w:pPr>
              <w:spacing w:line="276" w:lineRule="auto" w:before="0" w:after="0"/>
            </w:pPr>
            <w:r/>
            <w:r>
              <w:rPr>
                <w:rFonts w:ascii="Figtree" w:hAnsi="Figtree"/>
                <w:b w:val="0"/>
                <w:i w:val="0"/>
                <w:sz w:val="20"/>
              </w:rPr>
              <w:t>Production environments</w:t>
            </w:r>
          </w:p>
        </w:tc>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Multiple (production + DR)</w:t>
            </w:r>
          </w:p>
        </w:tc>
      </w:tr>
      <w:tr>
        <w:trPr>
          <w:trHeight w:val="425" w:hRule="atLeast"/>
        </w:trPr>
        <w:tc>
          <w:tcPr>
            <w:tcW w:type="dxa" w:w="3249"/>
            <w:vAlign w:val="center"/>
          </w:tcPr>
          <w:p>
            <w:pPr>
              <w:spacing w:line="276" w:lineRule="auto" w:before="0" w:after="0"/>
            </w:pPr>
            <w:r/>
            <w:r>
              <w:rPr>
                <w:rFonts w:ascii="Figtree" w:hAnsi="Figtree"/>
                <w:b w:val="0"/>
                <w:i w:val="0"/>
                <w:sz w:val="20"/>
              </w:rPr>
              <w:t>Non-production environments</w:t>
            </w:r>
          </w:p>
        </w:tc>
        <w:tc>
          <w:tcPr>
            <w:tcW w:type="dxa" w:w="3249"/>
            <w:vAlign w:val="center"/>
          </w:tcPr>
          <w:p>
            <w:pPr>
              <w:spacing w:line="276" w:lineRule="auto" w:before="0" w:after="0"/>
            </w:pPr>
            <w:r/>
            <w:r>
              <w:rPr>
                <w:rFonts w:ascii="Figtree" w:hAnsi="Figtree"/>
                <w:b w:val="0"/>
                <w:i w:val="0"/>
                <w:sz w:val="20"/>
              </w:rPr>
              <w:t>1 (dev/staging)</w:t>
            </w:r>
          </w:p>
        </w:tc>
        <w:tc>
          <w:tcPr>
            <w:tcW w:type="dxa" w:w="3249"/>
            <w:vAlign w:val="center"/>
          </w:tcPr>
          <w:p>
            <w:pPr>
              <w:spacing w:line="276" w:lineRule="auto" w:before="0" w:after="0"/>
            </w:pPr>
            <w:r/>
            <w:r>
              <w:rPr>
                <w:rFonts w:ascii="Figtree" w:hAnsi="Figtree"/>
                <w:b w:val="0"/>
                <w:i w:val="0"/>
                <w:sz w:val="20"/>
              </w:rPr>
              <w:t>3 (dev, test/staging, UAT)</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Single permissioned Besu</w:t>
            </w:r>
          </w:p>
        </w:tc>
        <w:tc>
          <w:tcPr>
            <w:tcW w:type="dxa" w:w="3249"/>
            <w:vAlign w:val="center"/>
          </w:tcPr>
          <w:p>
            <w:pPr>
              <w:spacing w:line="276" w:lineRule="auto" w:before="0" w:after="0"/>
            </w:pPr>
            <w:r/>
            <w:r>
              <w:rPr>
                <w:rFonts w:ascii="Figtree" w:hAnsi="Figtree"/>
                <w:b w:val="0"/>
                <w:i w:val="0"/>
                <w:sz w:val="20"/>
              </w:rPr>
              <w:t>Multi-network (production + DR)</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Key Guardian (local)</w:t>
            </w:r>
          </w:p>
        </w:tc>
        <w:tc>
          <w:tcPr>
            <w:tcW w:type="dxa" w:w="3249"/>
            <w:vAlign w:val="center"/>
          </w:tcPr>
          <w:p>
            <w:pPr>
              <w:spacing w:line="276" w:lineRule="auto" w:before="0" w:after="0"/>
            </w:pPr>
            <w:r/>
            <w:r>
              <w:rPr>
                <w:rFonts w:ascii="Figtree" w:hAnsi="Figtree"/>
                <w:b w:val="0"/>
                <w:i w:val="0"/>
                <w:sz w:val="20"/>
              </w:rPr>
              <w:t>Key Guardian + external HSM integration</w:t>
            </w:r>
          </w:p>
        </w:tc>
      </w:tr>
      <w:tr>
        <w:trPr>
          <w:trHeight w:val="425" w:hRule="atLeast"/>
        </w:trPr>
        <w:tc>
          <w:tcPr>
            <w:tcW w:type="dxa" w:w="3249"/>
            <w:vAlign w:val="center"/>
          </w:tcPr>
          <w:p>
            <w:pPr>
              <w:spacing w:line="276" w:lineRule="auto" w:before="0" w:after="0"/>
            </w:pPr>
            <w:r/>
            <w:r>
              <w:rPr>
                <w:rFonts w:ascii="Figtree" w:hAnsi="Figtree"/>
                <w:b w:val="0"/>
                <w:i w:val="0"/>
                <w:sz w:val="20"/>
              </w:rPr>
              <w:t>Asset types</w:t>
            </w:r>
          </w:p>
        </w:tc>
        <w:tc>
          <w:tcPr>
            <w:tcW w:type="dxa" w:w="3249"/>
            <w:vAlign w:val="center"/>
          </w:tcPr>
          <w:p>
            <w:pPr>
              <w:spacing w:line="276" w:lineRule="auto" w:before="0" w:after="0"/>
            </w:pPr>
            <w:r/>
            <w:r>
              <w:rPr>
                <w:rFonts w:ascii="Figtree" w:hAnsi="Figtree"/>
                <w:b w:val="0"/>
                <w:i w:val="0"/>
                <w:sz w:val="20"/>
              </w:rPr>
              <w:t>All (no per-type fees)</w:t>
            </w:r>
          </w:p>
        </w:tc>
        <w:tc>
          <w:tcPr>
            <w:tcW w:type="dxa" w:w="3249"/>
            <w:vAlign w:val="center"/>
          </w:tcPr>
          <w:p>
            <w:pPr>
              <w:spacing w:line="276" w:lineRule="auto" w:before="0" w:after="0"/>
            </w:pPr>
            <w:r/>
            <w:r>
              <w:rPr>
                <w:rFonts w:ascii="Figtree" w:hAnsi="Figtree"/>
                <w:b w:val="0"/>
                <w:i w:val="0"/>
                <w:sz w:val="20"/>
              </w:rPr>
              <w:t>All (no per-type fees)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modules</w:t>
            </w:r>
          </w:p>
        </w:tc>
        <w:tc>
          <w:tcPr>
            <w:tcW w:type="dxa" w:w="3249"/>
            <w:vAlign w:val="center"/>
          </w:tcPr>
          <w:p>
            <w:pPr>
              <w:spacing w:line="276" w:lineRule="auto" w:before="0" w:after="0"/>
            </w:pPr>
            <w:r/>
            <w:r>
              <w:rPr>
                <w:rFonts w:ascii="Figtree" w:hAnsi="Figtree"/>
                <w:b w:val="0"/>
                <w:i w:val="0"/>
                <w:sz w:val="20"/>
              </w:rPr>
              <w:t>All 12 module types</w:t>
            </w:r>
          </w:p>
        </w:tc>
        <w:tc>
          <w:tcPr>
            <w:tcW w:type="dxa" w:w="3249"/>
            <w:vAlign w:val="center"/>
          </w:tcPr>
          <w:p>
            <w:pPr>
              <w:spacing w:line="276" w:lineRule="auto" w:before="0" w:after="0"/>
            </w:pPr>
            <w:r/>
            <w:r>
              <w:rPr>
                <w:rFonts w:ascii="Figtree" w:hAnsi="Figtree"/>
                <w:b w:val="0"/>
                <w:i w:val="0"/>
                <w:sz w:val="20"/>
              </w:rPr>
              <w:t>All 12 module types</w:t>
            </w:r>
          </w:p>
        </w:tc>
      </w:tr>
      <w:tr>
        <w:trPr>
          <w:trHeight w:val="425" w:hRule="atLeast"/>
        </w:trPr>
        <w:tc>
          <w:tcPr>
            <w:tcW w:type="dxa" w:w="3249"/>
            <w:vAlign w:val="center"/>
          </w:tcPr>
          <w:p>
            <w:pPr>
              <w:spacing w:line="276" w:lineRule="auto" w:before="0" w:after="0"/>
            </w:pPr>
            <w:r/>
            <w:r>
              <w:rPr>
                <w:rFonts w:ascii="Figtree" w:hAnsi="Figtree"/>
                <w:b w:val="0"/>
                <w:i w:val="0"/>
                <w:sz w:val="20"/>
              </w:rPr>
              <w:t>API access</w:t>
            </w:r>
          </w:p>
        </w:tc>
        <w:tc>
          <w:tcPr>
            <w:tcW w:type="dxa" w:w="3249"/>
            <w:vAlign w:val="center"/>
          </w:tcPr>
          <w:p>
            <w:pPr>
              <w:spacing w:line="276" w:lineRule="auto" w:before="0" w:after="0"/>
            </w:pPr>
            <w:r/>
            <w:r>
              <w:rPr>
                <w:rFonts w:ascii="Figtree" w:hAnsi="Figtree"/>
                <w:b w:val="0"/>
                <w:i w:val="0"/>
                <w:sz w:val="20"/>
              </w:rPr>
              <w:t>Full API surface</w:t>
            </w:r>
          </w:p>
        </w:tc>
        <w:tc>
          <w:tcPr>
            <w:tcW w:type="dxa" w:w="3249"/>
            <w:vAlign w:val="center"/>
          </w:tcPr>
          <w:p>
            <w:pPr>
              <w:spacing w:line="276" w:lineRule="auto" w:before="0" w:after="0"/>
            </w:pPr>
            <w:r/>
            <w:r>
              <w:rPr>
                <w:rFonts w:ascii="Figtree" w:hAnsi="Figtree"/>
                <w:b w:val="0"/>
                <w:i w:val="0"/>
                <w:sz w:val="20"/>
              </w:rPr>
              <w:t>Full API surface + dedicated rate limits</w:t>
            </w:r>
          </w:p>
        </w:tc>
      </w:tr>
      <w:tr>
        <w:trPr>
          <w:trHeight w:val="425" w:hRule="atLeast"/>
        </w:trPr>
        <w:tc>
          <w:tcPr>
            <w:tcW w:type="dxa" w:w="3249"/>
            <w:vAlign w:val="center"/>
          </w:tcPr>
          <w:p>
            <w:pPr>
              <w:spacing w:line="276" w:lineRule="auto" w:before="0" w:after="0"/>
            </w:pPr>
            <w:r/>
            <w:r>
              <w:rPr>
                <w:rFonts w:ascii="Figtree" w:hAnsi="Figtree"/>
                <w:b w:val="0"/>
                <w:i w:val="0"/>
                <w:sz w:val="20"/>
              </w:rPr>
              <w:t>SDK and CLI</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Platform updates</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Included + priority access to new releases</w:t>
            </w:r>
          </w:p>
        </w:tc>
      </w:tr>
    </w:tbl>
    <w:p>
      <w:pPr>
        <w:spacing w:before="0" w:after="0" w:line="120" w:lineRule="exact"/>
      </w:pPr>
    </w:p>
    <w:p>
      <w:r>
        <w:rPr>
          <w:rFonts w:ascii="Figtree" w:hAnsi="Figtree"/>
          <w:b/>
          <w:i w:val="0"/>
          <w:sz w:val="22"/>
        </w:rPr>
        <w:t>Inclusions (both tiers):</w:t>
      </w:r>
    </w:p>
    <w:p>
      <w:pPr>
        <w:pStyle w:val="ListParagraph"/>
        <w:numPr>
          <w:ilvl w:val="0"/>
          <w:numId w:val="4"/>
        </w:numPr>
      </w:pPr>
      <w:r>
        <w:rPr>
          <w:rFonts w:ascii="Figtree" w:hAnsi="Figtree"/>
          <w:b w:val="0"/>
          <w:i w:val="0"/>
          <w:sz w:val="22"/>
        </w:rPr>
        <w:t>All seven asset class factories</w:t>
      </w:r>
    </w:p>
    <w:p>
      <w:pPr>
        <w:pStyle w:val="ListParagraph"/>
        <w:numPr>
          <w:ilvl w:val="0"/>
          <w:numId w:val="4"/>
        </w:numPr>
      </w:pPr>
      <w:r>
        <w:rPr>
          <w:rFonts w:ascii="Figtree" w:hAnsi="Figtree"/>
          <w:b w:val="0"/>
          <w:i w:val="0"/>
          <w:sz w:val="22"/>
        </w:rPr>
        <w:t>All 12 compliance module types</w:t>
      </w:r>
    </w:p>
    <w:p>
      <w:pPr>
        <w:pStyle w:val="ListParagraph"/>
        <w:numPr>
          <w:ilvl w:val="0"/>
          <w:numId w:val="4"/>
        </w:numPr>
      </w:pPr>
      <w:r>
        <w:rPr>
          <w:rFonts w:ascii="Figtree" w:hAnsi="Figtree"/>
          <w:b w:val="0"/>
          <w:i w:val="0"/>
          <w:sz w:val="22"/>
        </w:rPr>
        <w:t>XvP Settlement, Vault, and all addon capabilities</w:t>
      </w:r>
    </w:p>
    <w:p>
      <w:pPr>
        <w:pStyle w:val="ListParagraph"/>
        <w:numPr>
          <w:ilvl w:val="0"/>
          <w:numId w:val="4"/>
        </w:numPr>
      </w:pPr>
      <w:r>
        <w:rPr>
          <w:rFonts w:ascii="Figtree" w:hAnsi="Figtree"/>
          <w:b w:val="0"/>
          <w:i w:val="0"/>
          <w:sz w:val="22"/>
        </w:rPr>
        <w:t>Full observability stack (Grafana, Prometheus, alerting)</w:t>
      </w:r>
    </w:p>
    <w:p>
      <w:pPr>
        <w:pStyle w:val="ListParagraph"/>
        <w:numPr>
          <w:ilvl w:val="0"/>
          <w:numId w:val="4"/>
        </w:numPr>
      </w:pPr>
      <w:r>
        <w:rPr>
          <w:rFonts w:ascii="Figtree" w:hAnsi="Figtree"/>
          <w:b w:val="0"/>
          <w:i w:val="0"/>
          <w:sz w:val="22"/>
        </w:rPr>
        <w:t>TypeScript SDK and CLI access</w:t>
      </w:r>
    </w:p>
    <w:p>
      <w:pPr>
        <w:pStyle w:val="ListParagraph"/>
        <w:numPr>
          <w:ilvl w:val="0"/>
          <w:numId w:val="4"/>
        </w:numPr>
      </w:pPr>
      <w:r>
        <w:rPr>
          <w:rFonts w:ascii="Figtree" w:hAnsi="Figtree"/>
          <w:b w:val="0"/>
          <w:i w:val="0"/>
          <w:sz w:val="22"/>
        </w:rPr>
        <w:t>OpenAPI 3.1 specifications and documentation</w:t>
      </w:r>
    </w:p>
    <w:p>
      <w:r>
        <w:rPr>
          <w:rFonts w:ascii="Figtree" w:hAnsi="Figtree"/>
          <w:b/>
          <w:i w:val="0"/>
          <w:sz w:val="22"/>
        </w:rPr>
        <w:t>Exclusions:</w:t>
      </w:r>
    </w:p>
    <w:p>
      <w:pPr>
        <w:pStyle w:val="ListParagraph"/>
        <w:numPr>
          <w:ilvl w:val="0"/>
          <w:numId w:val="4"/>
        </w:numPr>
      </w:pPr>
      <w:r>
        <w:rPr>
          <w:rFonts w:ascii="Figtree" w:hAnsi="Figtree"/>
          <w:b w:val="0"/>
          <w:i w:val="0"/>
          <w:sz w:val="22"/>
        </w:rPr>
        <w:t>Infrastructure costs (compute, storage, network; OPay-managed)</w:t>
      </w:r>
    </w:p>
    <w:p>
      <w:pPr>
        <w:pStyle w:val="ListParagraph"/>
        <w:numPr>
          <w:ilvl w:val="0"/>
          <w:numId w:val="4"/>
        </w:numPr>
      </w:pPr>
      <w:r>
        <w:rPr>
          <w:rFonts w:ascii="Figtree" w:hAnsi="Figtree"/>
          <w:b w:val="0"/>
          <w:i w:val="0"/>
          <w:sz w:val="22"/>
        </w:rPr>
        <w:t>Implementation services (priced separately below)</w:t>
      </w:r>
    </w:p>
    <w:p>
      <w:pPr>
        <w:pStyle w:val="ListParagraph"/>
        <w:numPr>
          <w:ilvl w:val="0"/>
          <w:numId w:val="4"/>
        </w:numPr>
      </w:pPr>
      <w:r>
        <w:rPr>
          <w:rFonts w:ascii="Figtree" w:hAnsi="Figtree"/>
          <w:b w:val="0"/>
          <w:i w:val="0"/>
          <w:sz w:val="22"/>
        </w:rPr>
        <w:t>Support services (priced separately below)</w:t>
      </w:r>
    </w:p>
    <w:p>
      <w:pPr>
        <w:pStyle w:val="ListParagraph"/>
        <w:numPr>
          <w:ilvl w:val="0"/>
          <w:numId w:val="4"/>
        </w:numPr>
      </w:pPr>
      <w:r>
        <w:rPr>
          <w:rFonts w:ascii="Figtree" w:hAnsi="Figtree"/>
          <w:b w:val="0"/>
          <w:i w:val="0"/>
          <w:sz w:val="22"/>
        </w:rPr>
        <w:t>Custom smart contract development (if required; quoted separately)</w:t>
      </w:r>
    </w:p>
    <w:p>
      <w:pPr>
        <w:pStyle w:val="ListParagraph"/>
        <w:numPr>
          <w:ilvl w:val="0"/>
          <w:numId w:val="4"/>
        </w:numPr>
      </w:pPr>
      <w:r>
        <w:rPr>
          <w:rFonts w:ascii="Figtree" w:hAnsi="Figtree"/>
          <w:b w:val="0"/>
          <w:i w:val="0"/>
          <w:sz w:val="22"/>
        </w:rPr>
        <w:t>Third-party custody provider fees (Fireblocks, DFNS; contracted directly)</w:t>
      </w:r>
    </w:p>
    <w:p>
      <w:r>
        <w:rPr>
          <w:rFonts w:ascii="Figtree" w:hAnsi="Figtree"/>
          <w:b/>
          <w:i w:val="0"/>
          <w:sz w:val="22"/>
        </w:rPr>
        <w:t>Recommendation for OPay:</w:t>
      </w:r>
      <w:r>
        <w:rPr>
          <w:rFonts w:ascii="Figtree" w:hAnsi="Figtree"/>
          <w:b w:val="0"/>
          <w:i w:val="0"/>
          <w:sz w:val="22"/>
        </w:rPr>
        <w:t xml:space="preserve"> Enterprise Tier ($280,000/year) to support the full multi-environment topology (dev, test, UAT, DR, production) and multi-network configuration required for payment infrastructure of this criticality.</w:t>
      </w:r>
    </w:p>
    <w:p>
      <w:pPr>
        <w:pStyle w:val="H2"/>
        <w:numPr>
          <w:ilvl w:val="1"/>
          <w:numId w:val="1"/>
        </w:numPr>
      </w:pPr>
      <w:r>
        <w:t>Implementation Fee</w:t>
      </w:r>
    </w:p>
    <w:p>
      <w:r>
        <w:rPr>
          <w:rFonts w:ascii="Figtree" w:hAnsi="Figtree"/>
          <w:b w:val="0"/>
          <w:i w:val="0"/>
          <w:sz w:val="22"/>
        </w:rPr>
        <w:t>Implementation services are structured by phase, allowing OPay to validate each phase before committing to the next.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93"/>
        <w:gridCol w:w="3362"/>
        <w:gridCol w:w="938"/>
        <w:gridCol w:w="18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 Range</w:t>
            </w:r>
          </w:p>
        </w:tc>
      </w:tr>
      <w:tr>
        <w:trPr>
          <w:trHeight w:val="425" w:hRule="atLeast"/>
        </w:trPr>
        <w:tc>
          <w:tcPr>
            <w:tcW w:type="dxa" w:w="2436"/>
            <w:vAlign w:val="center"/>
          </w:tcPr>
          <w:p>
            <w:pPr>
              <w:spacing w:line="276" w:lineRule="auto" w:before="0" w:after="0"/>
            </w:pPr>
            <w:r/>
            <w:r>
              <w:rPr>
                <w:rFonts w:ascii="Figtree" w:hAnsi="Figtree"/>
                <w:b w:val="0"/>
                <w:i w:val="0"/>
                <w:sz w:val="20"/>
              </w:rPr>
              <w:t>Phase 1: Internal Treasury Settlement</w:t>
            </w:r>
          </w:p>
        </w:tc>
        <w:tc>
          <w:tcPr>
            <w:tcW w:type="dxa" w:w="2436"/>
            <w:vAlign w:val="center"/>
          </w:tcPr>
          <w:p>
            <w:pPr>
              <w:spacing w:line="276" w:lineRule="auto" w:before="0" w:after="0"/>
            </w:pPr>
            <w:r/>
            <w:r>
              <w:rPr>
                <w:rFonts w:ascii="Figtree" w:hAnsi="Figtree"/>
                <w:b w:val="0"/>
                <w:i w:val="0"/>
                <w:sz w:val="20"/>
              </w:rPr>
              <w:t>WS-01 through WS-05 for treasury operations</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$120,000 to $180,000</w:t>
            </w:r>
          </w:p>
        </w:tc>
      </w:tr>
      <w:tr>
        <w:trPr>
          <w:trHeight w:val="425" w:hRule="atLeast"/>
        </w:trPr>
        <w:tc>
          <w:tcPr>
            <w:tcW w:type="dxa" w:w="2436"/>
            <w:vAlign w:val="center"/>
          </w:tcPr>
          <w:p>
            <w:pPr>
              <w:spacing w:line="276" w:lineRule="auto" w:before="0" w:after="0"/>
            </w:pPr>
            <w:r/>
            <w:r>
              <w:rPr>
                <w:rFonts w:ascii="Figtree" w:hAnsi="Figtree"/>
                <w:b w:val="0"/>
                <w:i w:val="0"/>
                <w:sz w:val="20"/>
              </w:rPr>
              <w:t>Phase 2: Merchant Settlement Network</w:t>
            </w:r>
          </w:p>
        </w:tc>
        <w:tc>
          <w:tcPr>
            <w:tcW w:type="dxa" w:w="2436"/>
            <w:vAlign w:val="center"/>
          </w:tcPr>
          <w:p>
            <w:pPr>
              <w:spacing w:line="276" w:lineRule="auto" w:before="0" w:after="0"/>
            </w:pPr>
            <w:r/>
            <w:r>
              <w:rPr>
                <w:rFonts w:ascii="Figtree" w:hAnsi="Figtree"/>
                <w:b w:val="0"/>
                <w:i w:val="0"/>
                <w:sz w:val="20"/>
              </w:rPr>
              <w:t>WS-02 through WS-05 for merchant operations</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$110,000 to $160,000</w:t>
            </w:r>
          </w:p>
        </w:tc>
      </w:tr>
      <w:tr>
        <w:trPr>
          <w:trHeight w:val="425" w:hRule="atLeast"/>
        </w:trPr>
        <w:tc>
          <w:tcPr>
            <w:tcW w:type="dxa" w:w="2436"/>
            <w:vAlign w:val="center"/>
          </w:tcPr>
          <w:p>
            <w:pPr>
              <w:spacing w:line="276" w:lineRule="auto" w:before="0" w:after="0"/>
            </w:pPr>
            <w:r/>
            <w:r>
              <w:rPr>
                <w:rFonts w:ascii="Figtree" w:hAnsi="Figtree"/>
                <w:b w:val="0"/>
                <w:i w:val="0"/>
                <w:sz w:val="20"/>
              </w:rPr>
              <w:t>Phase 3: Partner Bank Connectivity</w:t>
            </w:r>
          </w:p>
        </w:tc>
        <w:tc>
          <w:tcPr>
            <w:tcW w:type="dxa" w:w="2436"/>
            <w:vAlign w:val="center"/>
          </w:tcPr>
          <w:p>
            <w:pPr>
              <w:spacing w:line="276" w:lineRule="auto" w:before="0" w:after="0"/>
            </w:pPr>
            <w:r/>
            <w:r>
              <w:rPr>
                <w:rFonts w:ascii="Figtree" w:hAnsi="Figtree"/>
                <w:b w:val="0"/>
                <w:i w:val="0"/>
                <w:sz w:val="20"/>
              </w:rPr>
              <w:t>WS-02 through WS-05 for bank reconciliation</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$90,000 to $140,000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All three phases</w:t>
            </w:r>
          </w:p>
        </w:tc>
        <w:tc>
          <w:tcPr>
            <w:tcW w:type="dxa" w:w="2436"/>
            <w:vAlign w:val="center"/>
          </w:tcPr>
          <w:p>
            <w:pPr>
              <w:spacing w:line="276" w:lineRule="auto" w:before="0" w:after="0"/>
            </w:pPr>
            <w:r/>
            <w:r>
              <w:rPr>
                <w:rFonts w:ascii="Figtree" w:hAnsi="Figtree"/>
                <w:b/>
                <w:i w:val="0"/>
                <w:sz w:val="20"/>
              </w:rPr>
              <w:t>36 weeks</w:t>
            </w:r>
          </w:p>
        </w:tc>
        <w:tc>
          <w:tcPr>
            <w:tcW w:type="dxa" w:w="2436"/>
            <w:vAlign w:val="center"/>
          </w:tcPr>
          <w:p>
            <w:pPr>
              <w:spacing w:line="276" w:lineRule="auto" w:before="0" w:after="0"/>
            </w:pPr>
            <w:r/>
            <w:r>
              <w:rPr>
                <w:rFonts w:ascii="Figtree" w:hAnsi="Figtree"/>
                <w:b/>
                <w:i w:val="0"/>
                <w:sz w:val="20"/>
              </w:rPr>
              <w:t>$320,000 to $480,000</w:t>
            </w:r>
          </w:p>
        </w:tc>
      </w:tr>
    </w:tbl>
    <w:p>
      <w:pPr>
        <w:spacing w:before="0" w:after="0" w:line="120" w:lineRule="exact"/>
      </w:pPr>
    </w:p>
    <w:p>
      <w:r>
        <w:rPr>
          <w:rFonts w:ascii="Figtree" w:hAnsi="Figtree"/>
          <w:b w:val="0"/>
          <w:i w:val="0"/>
          <w:sz w:val="22"/>
        </w:rPr>
        <w:t>Implementation fees include: SettleMint delivery team (solution architect, integration engineer, project manager), configuration and deployment, integration support, testing support, training and knowledge transfer, documentation and runbook development.</w:t>
      </w:r>
    </w:p>
    <w:p>
      <w:r>
        <w:rPr>
          <w:rFonts w:ascii="Figtree" w:hAnsi="Figtree"/>
          <w:b w:val="0"/>
          <w:i w:val="0"/>
          <w:sz w:val="22"/>
        </w:rPr>
        <w:t>Implementation fees exclude: OPay's internal team effort (estimated at 2 to 3 FTEs across all phases), infrastructure provisioning (OPay-managed), third-party system changes required for integration, and regulatory engagement (OPay-led with SettleMint technical support).</w:t>
      </w:r>
    </w:p>
    <w:p>
      <w:pPr>
        <w:pStyle w:val="H2"/>
        <w:numPr>
          <w:ilvl w:val="1"/>
          <w:numId w:val="1"/>
        </w:numPr>
      </w:pPr>
      <w:r>
        <w:t>Annual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4"/>
        <w:gridCol w:w="4047"/>
        <w:gridCol w:w="1535"/>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Support 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P1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$72,000/year</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(06:00 to 22:00 CET)</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$96,000/year</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24/7/365</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$120,000/year</w:t>
            </w:r>
          </w:p>
        </w:tc>
      </w:tr>
    </w:tbl>
    <w:p>
      <w:pPr>
        <w:spacing w:before="0" w:after="0" w:line="120" w:lineRule="exact"/>
      </w:pPr>
    </w:p>
    <w:p>
      <w:r>
        <w:rPr>
          <w:rFonts w:ascii="Figtree" w:hAnsi="Figtree"/>
          <w:b/>
          <w:i w:val="0"/>
          <w:sz w:val="22"/>
        </w:rPr>
        <w:t>Recommendation for OPay:</w:t>
      </w:r>
      <w:r>
        <w:rPr>
          <w:rFonts w:ascii="Figtree" w:hAnsi="Figtree"/>
          <w:b w:val="0"/>
          <w:i w:val="0"/>
          <w:sz w:val="22"/>
        </w:rPr>
        <w:t xml:space="preserve"> Enterprise support ($120,000/year) with 24/7/365 coverage and 15-minute P1 response. For nationally significant payment infrastructure, business-hours-only support creates unacceptable risk exposure during off-hours settlement processing.</w:t>
      </w:r>
    </w:p>
    <w:p>
      <w:r>
        <w:br w:type="page"/>
      </w:r>
    </w:p>
    <w:p>
      <w:pPr>
        <w:pStyle w:val="H1"/>
        <w:numPr>
          <w:ilvl w:val="0"/>
          <w:numId w:val="1"/>
        </w:numPr>
      </w:pPr>
      <w:r>
        <w:t>Implementation Cost Schedule</w:t>
      </w:r>
    </w:p>
    <w:p>
      <w:pPr>
        <w:pStyle w:val="H2"/>
        <w:numPr>
          <w:ilvl w:val="1"/>
          <w:numId w:val="1"/>
        </w:numPr>
      </w:pPr>
      <w:r>
        <w:t>By Phase and Workstream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4"/>
        <w:gridCol w:w="1600"/>
        <w:gridCol w:w="1600"/>
        <w:gridCol w:w="1534"/>
        <w:gridCol w:w="160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WS-01: Mobilisation and Governance</w:t>
            </w:r>
          </w:p>
        </w:tc>
        <w:tc>
          <w:tcPr>
            <w:tcW w:type="dxa" w:w="1949"/>
            <w:vAlign w:val="center"/>
          </w:tcPr>
          <w:p>
            <w:pPr>
              <w:spacing w:line="276" w:lineRule="auto" w:before="0" w:after="0"/>
            </w:pPr>
            <w:r/>
            <w:r>
              <w:rPr>
                <w:rFonts w:ascii="Figtree" w:hAnsi="Figtree"/>
                <w:b w:val="0"/>
                <w:i w:val="0"/>
                <w:sz w:val="20"/>
              </w:rPr>
              <w:t>$25,000 to $35,000</w:t>
            </w:r>
          </w:p>
        </w:tc>
        <w:tc>
          <w:tcPr>
            <w:tcW w:type="dxa" w:w="1949"/>
            <w:vAlign w:val="center"/>
          </w:tcPr>
          <w:p>
            <w:pPr>
              <w:spacing w:line="276" w:lineRule="auto" w:before="0" w:after="0"/>
            </w:pPr>
            <w:r/>
            <w:r>
              <w:rPr>
                <w:rFonts w:ascii="Figtree" w:hAnsi="Figtree"/>
                <w:b w:val="0"/>
                <w:i w:val="0"/>
                <w:sz w:val="20"/>
              </w:rPr>
              <w:t>Included in Phase 1</w:t>
            </w:r>
          </w:p>
        </w:tc>
        <w:tc>
          <w:tcPr>
            <w:tcW w:type="dxa" w:w="1949"/>
            <w:vAlign w:val="center"/>
          </w:tcPr>
          <w:p>
            <w:pPr>
              <w:spacing w:line="276" w:lineRule="auto" w:before="0" w:after="0"/>
            </w:pPr>
            <w:r/>
            <w:r>
              <w:rPr>
                <w:rFonts w:ascii="Figtree" w:hAnsi="Figtree"/>
                <w:b w:val="0"/>
                <w:i w:val="0"/>
                <w:sz w:val="20"/>
              </w:rPr>
              <w:t>Included in Phase 1</w:t>
            </w:r>
          </w:p>
        </w:tc>
        <w:tc>
          <w:tcPr>
            <w:tcW w:type="dxa" w:w="1949"/>
            <w:vAlign w:val="center"/>
          </w:tcPr>
          <w:p>
            <w:pPr>
              <w:spacing w:line="276" w:lineRule="auto" w:before="0" w:after="0"/>
            </w:pPr>
            <w:r/>
            <w:r>
              <w:rPr>
                <w:rFonts w:ascii="Figtree" w:hAnsi="Figtree"/>
                <w:b w:val="0"/>
                <w:i w:val="0"/>
                <w:sz w:val="20"/>
              </w:rPr>
              <w:t>$25,000 to $35,000</w:t>
            </w:r>
          </w:p>
        </w:tc>
      </w:tr>
      <w:tr>
        <w:trPr>
          <w:trHeight w:val="425" w:hRule="atLeast"/>
        </w:trPr>
        <w:tc>
          <w:tcPr>
            <w:tcW w:type="dxa" w:w="1949"/>
            <w:vAlign w:val="center"/>
          </w:tcPr>
          <w:p>
            <w:pPr>
              <w:spacing w:line="276" w:lineRule="auto" w:before="0" w:after="0"/>
            </w:pPr>
            <w:r/>
            <w:r>
              <w:rPr>
                <w:rFonts w:ascii="Figtree" w:hAnsi="Figtree"/>
                <w:b w:val="0"/>
                <w:i w:val="0"/>
                <w:sz w:val="20"/>
              </w:rPr>
              <w:t>WS-02: Business and Product Configuration</w:t>
            </w:r>
          </w:p>
        </w:tc>
        <w:tc>
          <w:tcPr>
            <w:tcW w:type="dxa" w:w="1949"/>
            <w:vAlign w:val="center"/>
          </w:tcPr>
          <w:p>
            <w:pPr>
              <w:spacing w:line="276" w:lineRule="auto" w:before="0" w:after="0"/>
            </w:pPr>
            <w:r/>
            <w:r>
              <w:rPr>
                <w:rFonts w:ascii="Figtree" w:hAnsi="Figtree"/>
                <w:b w:val="0"/>
                <w:i w:val="0"/>
                <w:sz w:val="20"/>
              </w:rPr>
              <w:t>$30,000 to $45,000</w:t>
            </w:r>
          </w:p>
        </w:tc>
        <w:tc>
          <w:tcPr>
            <w:tcW w:type="dxa" w:w="1949"/>
            <w:vAlign w:val="center"/>
          </w:tcPr>
          <w:p>
            <w:pPr>
              <w:spacing w:line="276" w:lineRule="auto" w:before="0" w:after="0"/>
            </w:pPr>
            <w:r/>
            <w:r>
              <w:rPr>
                <w:rFonts w:ascii="Figtree" w:hAnsi="Figtree"/>
                <w:b w:val="0"/>
                <w:i w:val="0"/>
                <w:sz w:val="20"/>
              </w:rPr>
              <w:t>$35,000 to $50,000</w:t>
            </w:r>
          </w:p>
        </w:tc>
        <w:tc>
          <w:tcPr>
            <w:tcW w:type="dxa" w:w="1949"/>
            <w:vAlign w:val="center"/>
          </w:tcPr>
          <w:p>
            <w:pPr>
              <w:spacing w:line="276" w:lineRule="auto" w:before="0" w:after="0"/>
            </w:pPr>
            <w:r/>
            <w:r>
              <w:rPr>
                <w:rFonts w:ascii="Figtree" w:hAnsi="Figtree"/>
                <w:b w:val="0"/>
                <w:i w:val="0"/>
                <w:sz w:val="20"/>
              </w:rPr>
              <w:t>$25,000 to $35,000</w:t>
            </w:r>
          </w:p>
        </w:tc>
        <w:tc>
          <w:tcPr>
            <w:tcW w:type="dxa" w:w="1949"/>
            <w:vAlign w:val="center"/>
          </w:tcPr>
          <w:p>
            <w:pPr>
              <w:spacing w:line="276" w:lineRule="auto" w:before="0" w:after="0"/>
            </w:pPr>
            <w:r/>
            <w:r>
              <w:rPr>
                <w:rFonts w:ascii="Figtree" w:hAnsi="Figtree"/>
                <w:b w:val="0"/>
                <w:i w:val="0"/>
                <w:sz w:val="20"/>
              </w:rPr>
              <w:t>$90,000 to $130,000</w:t>
            </w:r>
          </w:p>
        </w:tc>
      </w:tr>
      <w:tr>
        <w:trPr>
          <w:trHeight w:val="425" w:hRule="atLeast"/>
        </w:trPr>
        <w:tc>
          <w:tcPr>
            <w:tcW w:type="dxa" w:w="1949"/>
            <w:vAlign w:val="center"/>
          </w:tcPr>
          <w:p>
            <w:pPr>
              <w:spacing w:line="276" w:lineRule="auto" w:before="0" w:after="0"/>
            </w:pPr>
            <w:r/>
            <w:r>
              <w:rPr>
                <w:rFonts w:ascii="Figtree" w:hAnsi="Figtree"/>
                <w:b w:val="0"/>
                <w:i w:val="0"/>
                <w:sz w:val="20"/>
              </w:rPr>
              <w:t>WS-03: Integration and Controls</w:t>
            </w:r>
          </w:p>
        </w:tc>
        <w:tc>
          <w:tcPr>
            <w:tcW w:type="dxa" w:w="1949"/>
            <w:vAlign w:val="center"/>
          </w:tcPr>
          <w:p>
            <w:pPr>
              <w:spacing w:line="276" w:lineRule="auto" w:before="0" w:after="0"/>
            </w:pPr>
            <w:r/>
            <w:r>
              <w:rPr>
                <w:rFonts w:ascii="Figtree" w:hAnsi="Figtree"/>
                <w:b w:val="0"/>
                <w:i w:val="0"/>
                <w:sz w:val="20"/>
              </w:rPr>
              <w:t>$35,000 to $55,000</w:t>
            </w:r>
          </w:p>
        </w:tc>
        <w:tc>
          <w:tcPr>
            <w:tcW w:type="dxa" w:w="1949"/>
            <w:vAlign w:val="center"/>
          </w:tcPr>
          <w:p>
            <w:pPr>
              <w:spacing w:line="276" w:lineRule="auto" w:before="0" w:after="0"/>
            </w:pPr>
            <w:r/>
            <w:r>
              <w:rPr>
                <w:rFonts w:ascii="Figtree" w:hAnsi="Figtree"/>
                <w:b w:val="0"/>
                <w:i w:val="0"/>
                <w:sz w:val="20"/>
              </w:rPr>
              <w:t>$40,000 to $55,000</w:t>
            </w:r>
          </w:p>
        </w:tc>
        <w:tc>
          <w:tcPr>
            <w:tcW w:type="dxa" w:w="1949"/>
            <w:vAlign w:val="center"/>
          </w:tcPr>
          <w:p>
            <w:pPr>
              <w:spacing w:line="276" w:lineRule="auto" w:before="0" w:after="0"/>
            </w:pPr>
            <w:r/>
            <w:r>
              <w:rPr>
                <w:rFonts w:ascii="Figtree" w:hAnsi="Figtree"/>
                <w:b w:val="0"/>
                <w:i w:val="0"/>
                <w:sz w:val="20"/>
              </w:rPr>
              <w:t>$35,000 to $55,000</w:t>
            </w:r>
          </w:p>
        </w:tc>
        <w:tc>
          <w:tcPr>
            <w:tcW w:type="dxa" w:w="1949"/>
            <w:vAlign w:val="center"/>
          </w:tcPr>
          <w:p>
            <w:pPr>
              <w:spacing w:line="276" w:lineRule="auto" w:before="0" w:after="0"/>
            </w:pPr>
            <w:r/>
            <w:r>
              <w:rPr>
                <w:rFonts w:ascii="Figtree" w:hAnsi="Figtree"/>
                <w:b w:val="0"/>
                <w:i w:val="0"/>
                <w:sz w:val="20"/>
              </w:rPr>
              <w:t>$110,000 to $165,000</w:t>
            </w:r>
          </w:p>
        </w:tc>
      </w:tr>
      <w:tr>
        <w:trPr>
          <w:trHeight w:val="425" w:hRule="atLeast"/>
        </w:trPr>
        <w:tc>
          <w:tcPr>
            <w:tcW w:type="dxa" w:w="1949"/>
            <w:vAlign w:val="center"/>
          </w:tcPr>
          <w:p>
            <w:pPr>
              <w:spacing w:line="276" w:lineRule="auto" w:before="0" w:after="0"/>
            </w:pPr>
            <w:r/>
            <w:r>
              <w:rPr>
                <w:rFonts w:ascii="Figtree" w:hAnsi="Figtree"/>
                <w:b w:val="0"/>
                <w:i w:val="0"/>
                <w:sz w:val="20"/>
              </w:rPr>
              <w:t>WS-04: Testing and Readiness</w:t>
            </w:r>
          </w:p>
        </w:tc>
        <w:tc>
          <w:tcPr>
            <w:tcW w:type="dxa" w:w="1949"/>
            <w:vAlign w:val="center"/>
          </w:tcPr>
          <w:p>
            <w:pPr>
              <w:spacing w:line="276" w:lineRule="auto" w:before="0" w:after="0"/>
            </w:pPr>
            <w:r/>
            <w:r>
              <w:rPr>
                <w:rFonts w:ascii="Figtree" w:hAnsi="Figtree"/>
                <w:b w:val="0"/>
                <w:i w:val="0"/>
                <w:sz w:val="20"/>
              </w:rPr>
              <w:t>$20,000 to $30,000</w:t>
            </w:r>
          </w:p>
        </w:tc>
        <w:tc>
          <w:tcPr>
            <w:tcW w:type="dxa" w:w="1949"/>
            <w:vAlign w:val="center"/>
          </w:tcPr>
          <w:p>
            <w:pPr>
              <w:spacing w:line="276" w:lineRule="auto" w:before="0" w:after="0"/>
            </w:pPr>
            <w:r/>
            <w:r>
              <w:rPr>
                <w:rFonts w:ascii="Figtree" w:hAnsi="Figtree"/>
                <w:b w:val="0"/>
                <w:i w:val="0"/>
                <w:sz w:val="20"/>
              </w:rPr>
              <w:t>$25,000 to $35,000</w:t>
            </w:r>
          </w:p>
        </w:tc>
        <w:tc>
          <w:tcPr>
            <w:tcW w:type="dxa" w:w="1949"/>
            <w:vAlign w:val="center"/>
          </w:tcPr>
          <w:p>
            <w:pPr>
              <w:spacing w:line="276" w:lineRule="auto" w:before="0" w:after="0"/>
            </w:pPr>
            <w:r/>
            <w:r>
              <w:rPr>
                <w:rFonts w:ascii="Figtree" w:hAnsi="Figtree"/>
                <w:b w:val="0"/>
                <w:i w:val="0"/>
                <w:sz w:val="20"/>
              </w:rPr>
              <w:t>$20,000 to $35,000</w:t>
            </w:r>
          </w:p>
        </w:tc>
        <w:tc>
          <w:tcPr>
            <w:tcW w:type="dxa" w:w="1949"/>
            <w:vAlign w:val="center"/>
          </w:tcPr>
          <w:p>
            <w:pPr>
              <w:spacing w:line="276" w:lineRule="auto" w:before="0" w:after="0"/>
            </w:pPr>
            <w:r/>
            <w:r>
              <w:rPr>
                <w:rFonts w:ascii="Figtree" w:hAnsi="Figtree"/>
                <w:b w:val="0"/>
                <w:i w:val="0"/>
                <w:sz w:val="20"/>
              </w:rPr>
              <w:t>$65,000 to $100,000</w:t>
            </w:r>
          </w:p>
        </w:tc>
      </w:tr>
      <w:tr>
        <w:trPr>
          <w:trHeight w:val="425" w:hRule="atLeast"/>
        </w:trPr>
        <w:tc>
          <w:tcPr>
            <w:tcW w:type="dxa" w:w="1949"/>
            <w:vAlign w:val="center"/>
          </w:tcPr>
          <w:p>
            <w:pPr>
              <w:spacing w:line="276" w:lineRule="auto" w:before="0" w:after="0"/>
            </w:pPr>
            <w:r/>
            <w:r>
              <w:rPr>
                <w:rFonts w:ascii="Figtree" w:hAnsi="Figtree"/>
                <w:b w:val="0"/>
                <w:i w:val="0"/>
                <w:sz w:val="20"/>
              </w:rPr>
              <w:t>WS-05: Operational Transition</w:t>
            </w:r>
          </w:p>
        </w:tc>
        <w:tc>
          <w:tcPr>
            <w:tcW w:type="dxa" w:w="1949"/>
            <w:vAlign w:val="center"/>
          </w:tcPr>
          <w:p>
            <w:pPr>
              <w:spacing w:line="276" w:lineRule="auto" w:before="0" w:after="0"/>
            </w:pPr>
            <w:r/>
            <w:r>
              <w:rPr>
                <w:rFonts w:ascii="Figtree" w:hAnsi="Figtree"/>
                <w:b w:val="0"/>
                <w:i w:val="0"/>
                <w:sz w:val="20"/>
              </w:rPr>
              <w:t>$10,000 to $15,000</w:t>
            </w:r>
          </w:p>
        </w:tc>
        <w:tc>
          <w:tcPr>
            <w:tcW w:type="dxa" w:w="1949"/>
            <w:vAlign w:val="center"/>
          </w:tcPr>
          <w:p>
            <w:pPr>
              <w:spacing w:line="276" w:lineRule="auto" w:before="0" w:after="0"/>
            </w:pPr>
            <w:r/>
            <w:r>
              <w:rPr>
                <w:rFonts w:ascii="Figtree" w:hAnsi="Figtree"/>
                <w:b w:val="0"/>
                <w:i w:val="0"/>
                <w:sz w:val="20"/>
              </w:rPr>
              <w:t>$10,000 to $20,000</w:t>
            </w:r>
          </w:p>
        </w:tc>
        <w:tc>
          <w:tcPr>
            <w:tcW w:type="dxa" w:w="1949"/>
            <w:vAlign w:val="center"/>
          </w:tcPr>
          <w:p>
            <w:pPr>
              <w:spacing w:line="276" w:lineRule="auto" w:before="0" w:after="0"/>
            </w:pPr>
            <w:r/>
            <w:r>
              <w:rPr>
                <w:rFonts w:ascii="Figtree" w:hAnsi="Figtree"/>
                <w:b w:val="0"/>
                <w:i w:val="0"/>
                <w:sz w:val="20"/>
              </w:rPr>
              <w:t>$10,000 to $15,000</w:t>
            </w:r>
          </w:p>
        </w:tc>
        <w:tc>
          <w:tcPr>
            <w:tcW w:type="dxa" w:w="1949"/>
            <w:vAlign w:val="center"/>
          </w:tcPr>
          <w:p>
            <w:pPr>
              <w:spacing w:line="276" w:lineRule="auto" w:before="0" w:after="0"/>
            </w:pPr>
            <w:r/>
            <w:r>
              <w:rPr>
                <w:rFonts w:ascii="Figtree" w:hAnsi="Figtree"/>
                <w:b w:val="0"/>
                <w:i w:val="0"/>
                <w:sz w:val="20"/>
              </w:rPr>
              <w:t>$30,000 to $50,000</w:t>
            </w:r>
          </w:p>
        </w:tc>
      </w:tr>
      <w:tr>
        <w:trPr>
          <w:trHeight w:val="425" w:hRule="atLeast"/>
        </w:trPr>
        <w:tc>
          <w:tcPr>
            <w:tcW w:type="dxa" w:w="1949"/>
            <w:vAlign w:val="center"/>
          </w:tcPr>
          <w:p>
            <w:pPr>
              <w:spacing w:line="276" w:lineRule="auto" w:before="0" w:after="0"/>
            </w:pPr>
            <w:r/>
            <w:r>
              <w:rPr>
                <w:rFonts w:ascii="Figtree" w:hAnsi="Figtree"/>
                <w:b/>
                <w:i w:val="0"/>
                <w:sz w:val="20"/>
              </w:rPr>
              <w:t>Phase Total</w:t>
            </w:r>
          </w:p>
        </w:tc>
        <w:tc>
          <w:tcPr>
            <w:tcW w:type="dxa" w:w="1949"/>
            <w:vAlign w:val="center"/>
          </w:tcPr>
          <w:p>
            <w:pPr>
              <w:spacing w:line="276" w:lineRule="auto" w:before="0" w:after="0"/>
            </w:pPr>
            <w:r/>
            <w:r>
              <w:rPr>
                <w:rFonts w:ascii="Figtree" w:hAnsi="Figtree"/>
                <w:b/>
                <w:i w:val="0"/>
                <w:sz w:val="20"/>
              </w:rPr>
              <w:t>$120,000 to $180,000</w:t>
            </w:r>
          </w:p>
        </w:tc>
        <w:tc>
          <w:tcPr>
            <w:tcW w:type="dxa" w:w="1949"/>
            <w:vAlign w:val="center"/>
          </w:tcPr>
          <w:p>
            <w:pPr>
              <w:spacing w:line="276" w:lineRule="auto" w:before="0" w:after="0"/>
            </w:pPr>
            <w:r/>
            <w:r>
              <w:rPr>
                <w:rFonts w:ascii="Figtree" w:hAnsi="Figtree"/>
                <w:b/>
                <w:i w:val="0"/>
                <w:sz w:val="20"/>
              </w:rPr>
              <w:t>$110,000 to $160,000</w:t>
            </w:r>
          </w:p>
        </w:tc>
        <w:tc>
          <w:tcPr>
            <w:tcW w:type="dxa" w:w="1949"/>
            <w:vAlign w:val="center"/>
          </w:tcPr>
          <w:p>
            <w:pPr>
              <w:spacing w:line="276" w:lineRule="auto" w:before="0" w:after="0"/>
            </w:pPr>
            <w:r/>
            <w:r>
              <w:rPr>
                <w:rFonts w:ascii="Figtree" w:hAnsi="Figtree"/>
                <w:b/>
                <w:i w:val="0"/>
                <w:sz w:val="20"/>
              </w:rPr>
              <w:t>$90,000 to $140,000</w:t>
            </w:r>
          </w:p>
        </w:tc>
        <w:tc>
          <w:tcPr>
            <w:tcW w:type="dxa" w:w="1949"/>
            <w:vAlign w:val="center"/>
          </w:tcPr>
          <w:p>
            <w:pPr>
              <w:spacing w:line="276" w:lineRule="auto" w:before="0" w:after="0"/>
            </w:pPr>
            <w:r/>
            <w:r>
              <w:rPr>
                <w:rFonts w:ascii="Figtree" w:hAnsi="Figtree"/>
                <w:b/>
                <w:i w:val="0"/>
                <w:sz w:val="20"/>
              </w:rPr>
              <w:t>$320,000 to $480,000</w:t>
            </w:r>
          </w:p>
        </w:tc>
      </w:tr>
    </w:tbl>
    <w:p>
      <w:pPr>
        <w:spacing w:before="0" w:after="0" w:line="120" w:lineRule="exact"/>
      </w:pPr>
    </w:p>
    <w:p>
      <w:r>
        <w:rPr>
          <w:rFonts w:ascii="Figtree" w:hAnsi="Figtree"/>
          <w:b w:val="0"/>
          <w:i w:val="0"/>
          <w:sz w:val="22"/>
        </w:rPr>
        <w:t>Fee ranges reflect scope variability based on integration complexity, number of banking partners in Phase 1, merchant cohort size in Phase 2, and partner bank API readiness in Phase 3. Exact fees are confirmed during the Phase 1 discovery process and documented in the statement of work for each subsequent phase.</w:t>
      </w:r>
    </w:p>
    <w:p>
      <w:pPr>
        <w:pStyle w:val="H2"/>
        <w:numPr>
          <w:ilvl w:val="1"/>
          <w:numId w:val="1"/>
        </w:numPr>
      </w:pPr>
      <w:r>
        <w:t>SettleMint Delivery Team Composition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54"/>
        <w:gridCol w:w="5540"/>
        <w:gridCol w:w="117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Phases</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Full-time during active configuration; part-time during testing</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Full-time during integration sprints</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Project Manager</w:t>
            </w:r>
          </w:p>
        </w:tc>
        <w:tc>
          <w:tcPr>
            <w:tcW w:type="dxa" w:w="3249"/>
            <w:vAlign w:val="center"/>
          </w:tcPr>
          <w:p>
            <w:pPr>
              <w:spacing w:line="276" w:lineRule="auto" w:before="0" w:after="0"/>
            </w:pPr>
            <w:r/>
            <w:r>
              <w:rPr>
                <w:rFonts w:ascii="Figtree" w:hAnsi="Figtree"/>
                <w:b w:val="0"/>
                <w:i w:val="0"/>
                <w:sz w:val="20"/>
              </w:rPr>
              <w:t>Part-time across all phases</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Blockchain Engineer</w:t>
            </w:r>
          </w:p>
        </w:tc>
        <w:tc>
          <w:tcPr>
            <w:tcW w:type="dxa" w:w="3249"/>
            <w:vAlign w:val="center"/>
          </w:tcPr>
          <w:p>
            <w:pPr>
              <w:spacing w:line="276" w:lineRule="auto" w:before="0" w:after="0"/>
            </w:pPr>
            <w:r/>
            <w:r>
              <w:rPr>
                <w:rFonts w:ascii="Figtree" w:hAnsi="Figtree"/>
                <w:b w:val="0"/>
                <w:i w:val="0"/>
                <w:sz w:val="20"/>
              </w:rPr>
              <w:t>As-needed for network configuration and optimization</w:t>
            </w:r>
          </w:p>
        </w:tc>
        <w:tc>
          <w:tcPr>
            <w:tcW w:type="dxa" w:w="3249"/>
            <w:vAlign w:val="center"/>
          </w:tcPr>
          <w:p>
            <w:pPr>
              <w:spacing w:line="276" w:lineRule="auto" w:before="0" w:after="0"/>
            </w:pPr>
            <w:r/>
            <w:r>
              <w:rPr>
                <w:rFonts w:ascii="Figtree" w:hAnsi="Figtree"/>
                <w:b w:val="0"/>
                <w:i w:val="0"/>
                <w:sz w:val="20"/>
              </w:rPr>
              <w:t>Phase 1 setup</w:t>
            </w:r>
          </w:p>
        </w:tc>
      </w:tr>
      <w:tr>
        <w:trPr>
          <w:trHeight w:val="425" w:hRule="atLeast"/>
        </w:trPr>
        <w:tc>
          <w:tcPr>
            <w:tcW w:type="dxa" w:w="3249"/>
            <w:vAlign w:val="center"/>
          </w:tcPr>
          <w:p>
            <w:pPr>
              <w:spacing w:line="276" w:lineRule="auto" w:before="0" w:after="0"/>
            </w:pPr>
            <w:r/>
            <w:r>
              <w:rPr>
                <w:rFonts w:ascii="Figtree" w:hAnsi="Figtree"/>
                <w:b w:val="0"/>
                <w:i w:val="0"/>
                <w:sz w:val="20"/>
              </w:rPr>
              <w:t>Quality Assurance Engineer</w:t>
            </w:r>
          </w:p>
        </w:tc>
        <w:tc>
          <w:tcPr>
            <w:tcW w:type="dxa" w:w="3249"/>
            <w:vAlign w:val="center"/>
          </w:tcPr>
          <w:p>
            <w:pPr>
              <w:spacing w:line="276" w:lineRule="auto" w:before="0" w:after="0"/>
            </w:pPr>
            <w:r/>
            <w:r>
              <w:rPr>
                <w:rFonts w:ascii="Figtree" w:hAnsi="Figtree"/>
                <w:b w:val="0"/>
                <w:i w:val="0"/>
                <w:sz w:val="20"/>
              </w:rPr>
              <w:t>Full-time during testing phases</w:t>
            </w:r>
          </w:p>
        </w:tc>
        <w:tc>
          <w:tcPr>
            <w:tcW w:type="dxa" w:w="3249"/>
            <w:vAlign w:val="center"/>
          </w:tcPr>
          <w:p>
            <w:pPr>
              <w:spacing w:line="276" w:lineRule="auto" w:before="0" w:after="0"/>
            </w:pPr>
            <w:r/>
            <w:r>
              <w:rPr>
                <w:rFonts w:ascii="Figtree" w:hAnsi="Figtree"/>
                <w:b w:val="0"/>
                <w:i w:val="0"/>
                <w:sz w:val="20"/>
              </w:rPr>
              <w:t>All phases</w:t>
            </w:r>
          </w:p>
        </w:tc>
      </w:tr>
    </w:tbl>
    <w:p>
      <w:pPr>
        <w:spacing w:before="0" w:after="0" w:line="120" w:lineRule="exact"/>
      </w:pPr>
    </w:p>
    <w:p>
      <w:r>
        <w:br w:type="page"/>
      </w:r>
    </w:p>
    <w:p>
      <w:pPr>
        <w:pStyle w:val="H1"/>
        <w:numPr>
          <w:ilvl w:val="0"/>
          <w:numId w:val="1"/>
        </w:numPr>
      </w:pPr>
      <w:r>
        <w:t>Support and SLA Costs</w:t>
      </w:r>
    </w:p>
    <w:p>
      <w:pPr>
        <w:pStyle w:val="H2"/>
        <w:numPr>
          <w:ilvl w:val="1"/>
          <w:numId w:val="1"/>
        </w:numPr>
      </w:pPr>
      <w:r>
        <w:t>Enterprise Support Package (Recommended)</w:t>
      </w:r>
    </w:p>
    <w:p>
      <w:r>
        <w:rPr>
          <w:rFonts w:ascii="Figtree" w:hAnsi="Figtree"/>
          <w:b w:val="0"/>
          <w:i w:val="0"/>
          <w:sz w:val="22"/>
        </w:rPr>
        <w:t>The Enterprise support package at $120,000/year includes:</w:t>
      </w:r>
    </w:p>
    <w:p>
      <w:pPr>
        <w:pStyle w:val="ListParagraph"/>
        <w:numPr>
          <w:ilvl w:val="0"/>
          <w:numId w:val="4"/>
        </w:numPr>
      </w:pPr>
      <w:r>
        <w:rPr>
          <w:rFonts w:ascii="Figtree" w:hAnsi="Figtree"/>
          <w:b/>
          <w:i w:val="0"/>
          <w:sz w:val="22"/>
        </w:rPr>
        <w:t>24/7/365 coverage</w:t>
      </w:r>
      <w:r>
        <w:rPr>
          <w:rFonts w:ascii="Figtree" w:hAnsi="Figtree"/>
          <w:b w:val="0"/>
          <w:i w:val="0"/>
          <w:sz w:val="22"/>
        </w:rPr>
        <w:t xml:space="preserve"> with 15-minute P1 response time</w:t>
      </w:r>
    </w:p>
    <w:p>
      <w:pPr>
        <w:pStyle w:val="ListParagraph"/>
        <w:numPr>
          <w:ilvl w:val="0"/>
          <w:numId w:val="4"/>
        </w:numPr>
      </w:pPr>
      <w:r>
        <w:rPr>
          <w:rFonts w:ascii="Figtree" w:hAnsi="Figtree"/>
          <w:b/>
          <w:i w:val="0"/>
          <w:sz w:val="22"/>
        </w:rPr>
        <w:t>Two named support engineers</w:t>
      </w:r>
      <w:r>
        <w:rPr>
          <w:rFonts w:ascii="Figtree" w:hAnsi="Figtree"/>
          <w:b w:val="0"/>
          <w:i w:val="0"/>
          <w:sz w:val="22"/>
        </w:rPr>
        <w:t xml:space="preserve"> familiar with OPay's deployment configuration</w:t>
      </w:r>
    </w:p>
    <w:p>
      <w:pPr>
        <w:pStyle w:val="ListParagraph"/>
        <w:numPr>
          <w:ilvl w:val="0"/>
          <w:numId w:val="4"/>
        </w:numPr>
      </w:pPr>
      <w:r>
        <w:rPr>
          <w:rFonts w:ascii="Figtree" w:hAnsi="Figtree"/>
          <w:b/>
          <w:i w:val="0"/>
          <w:sz w:val="22"/>
        </w:rPr>
        <w:t>Quarterly business reviews</w:t>
      </w:r>
      <w:r>
        <w:rPr>
          <w:rFonts w:ascii="Figtree" w:hAnsi="Figtree"/>
          <w:b w:val="0"/>
          <w:i w:val="0"/>
          <w:sz w:val="22"/>
        </w:rPr>
        <w:t xml:space="preserve"> covering platform health, usage patterns, and optimization recommendations</w:t>
      </w:r>
    </w:p>
    <w:p>
      <w:pPr>
        <w:pStyle w:val="ListParagraph"/>
        <w:numPr>
          <w:ilvl w:val="0"/>
          <w:numId w:val="4"/>
        </w:numPr>
      </w:pPr>
      <w:r>
        <w:rPr>
          <w:rFonts w:ascii="Figtree" w:hAnsi="Figtree"/>
          <w:b/>
          <w:i w:val="0"/>
          <w:sz w:val="22"/>
        </w:rPr>
        <w:t>Annual architecture review</w:t>
      </w:r>
      <w:r>
        <w:rPr>
          <w:rFonts w:ascii="Figtree" w:hAnsi="Figtree"/>
          <w:b w:val="0"/>
          <w:i w:val="0"/>
          <w:sz w:val="22"/>
        </w:rPr>
        <w:t xml:space="preserve"> assessing deployment topology, performance, and upgrade readiness</w:t>
      </w:r>
    </w:p>
    <w:p>
      <w:pPr>
        <w:pStyle w:val="ListParagraph"/>
        <w:numPr>
          <w:ilvl w:val="0"/>
          <w:numId w:val="4"/>
        </w:numPr>
      </w:pPr>
      <w:r>
        <w:rPr>
          <w:rFonts w:ascii="Figtree" w:hAnsi="Figtree"/>
          <w:b/>
          <w:i w:val="0"/>
          <w:sz w:val="22"/>
        </w:rPr>
        <w:t>White-glove platform upgrade support</w:t>
      </w:r>
      <w:r>
        <w:rPr>
          <w:rFonts w:ascii="Figtree" w:hAnsi="Figtree"/>
          <w:b w:val="0"/>
          <w:i w:val="0"/>
          <w:sz w:val="22"/>
        </w:rPr>
        <w:t xml:space="preserve"> for coordinated upgrades with zero-downtime deployment</w:t>
      </w:r>
    </w:p>
    <w:p>
      <w:pPr>
        <w:pStyle w:val="ListParagraph"/>
        <w:numPr>
          <w:ilvl w:val="0"/>
          <w:numId w:val="4"/>
        </w:numPr>
      </w:pPr>
      <w:r>
        <w:rPr>
          <w:rFonts w:ascii="Figtree" w:hAnsi="Figtree"/>
          <w:b/>
          <w:i w:val="0"/>
          <w:sz w:val="22"/>
        </w:rPr>
        <w:t>Priority escalation path</w:t>
      </w:r>
      <w:r>
        <w:rPr>
          <w:rFonts w:ascii="Figtree" w:hAnsi="Figtree"/>
          <w:b w:val="0"/>
          <w:i w:val="0"/>
          <w:sz w:val="22"/>
        </w:rPr>
        <w:t xml:space="preserve"> to SettleMint engineering for P1/P2 incidents</w:t>
      </w:r>
    </w:p>
    <w:p>
      <w:pPr>
        <w:pStyle w:val="ListParagraph"/>
        <w:numPr>
          <w:ilvl w:val="0"/>
          <w:numId w:val="4"/>
        </w:numPr>
      </w:pPr>
      <w:r>
        <w:rPr>
          <w:rFonts w:ascii="Figtree" w:hAnsi="Figtree"/>
          <w:b/>
          <w:i w:val="0"/>
          <w:sz w:val="22"/>
        </w:rPr>
        <w:t>Monthly operational reports</w:t>
      </w:r>
      <w:r>
        <w:rPr>
          <w:rFonts w:ascii="Figtree" w:hAnsi="Figtree"/>
          <w:b w:val="0"/>
          <w:i w:val="0"/>
          <w:sz w:val="22"/>
        </w:rPr>
        <w:t xml:space="preserve"> covering availability metrics, incident summaries, and SLA compliance</w:t>
      </w:r>
    </w:p>
    <w:p>
      <w:pPr>
        <w:pStyle w:val="H2"/>
        <w:numPr>
          <w:ilvl w:val="1"/>
          <w:numId w:val="1"/>
        </w:numPr>
      </w:pPr>
      <w:r>
        <w:t>SLA Financial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3"/>
        <w:gridCol w:w="1694"/>
        <w:gridCol w:w="52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3249"/>
            <w:vAlign w:val="center"/>
          </w:tcPr>
          <w:p>
            <w:pPr>
              <w:spacing w:line="276" w:lineRule="auto" w:before="0" w:after="0"/>
            </w:pPr>
            <w:r/>
            <w:r>
              <w:rPr>
                <w:rFonts w:ascii="Figtree" w:hAnsi="Figtree"/>
                <w:b w:val="0"/>
                <w:i w:val="0"/>
                <w:sz w:val="20"/>
              </w:rPr>
              <w:t>Platform availability</w:t>
            </w:r>
          </w:p>
        </w:tc>
        <w:tc>
          <w:tcPr>
            <w:tcW w:type="dxa" w:w="3249"/>
            <w:vAlign w:val="center"/>
          </w:tcPr>
          <w:p>
            <w:pPr>
              <w:spacing w:line="276" w:lineRule="auto" w:before="0" w:after="0"/>
            </w:pPr>
            <w:r/>
            <w:r>
              <w:rPr>
                <w:rFonts w:ascii="Figtree" w:hAnsi="Figtree"/>
                <w:b w:val="0"/>
                <w:i w:val="0"/>
                <w:sz w:val="20"/>
              </w:rPr>
              <w:t>99.9% monthly</w:t>
            </w:r>
          </w:p>
        </w:tc>
        <w:tc>
          <w:tcPr>
            <w:tcW w:type="dxa" w:w="3249"/>
            <w:vAlign w:val="center"/>
          </w:tcPr>
          <w:p>
            <w:pPr>
              <w:spacing w:line="276" w:lineRule="auto" w:before="0" w:after="0"/>
            </w:pPr>
            <w:r/>
            <w:r>
              <w:rPr>
                <w:rFonts w:ascii="Figtree" w:hAnsi="Figtree"/>
                <w:b w:val="0"/>
                <w:i w:val="0"/>
                <w:sz w:val="20"/>
              </w:rPr>
              <w:t>10% of monthly support fee for each 0.1% below target</w:t>
            </w:r>
          </w:p>
        </w:tc>
      </w:tr>
      <w:tr>
        <w:trPr>
          <w:trHeight w:val="425" w:hRule="atLeast"/>
        </w:trPr>
        <w:tc>
          <w:tcPr>
            <w:tcW w:type="dxa" w:w="3249"/>
            <w:vAlign w:val="center"/>
          </w:tcPr>
          <w:p>
            <w:pPr>
              <w:spacing w:line="276" w:lineRule="auto" w:before="0" w:after="0"/>
            </w:pPr>
            <w:r/>
            <w:r>
              <w:rPr>
                <w:rFonts w:ascii="Figtree" w:hAnsi="Figtree"/>
                <w:b w:val="0"/>
                <w:i w:val="0"/>
                <w:sz w:val="20"/>
              </w:rPr>
              <w:t>P1 response time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5% of monthly support fee per breach (capped at 25%)</w:t>
            </w:r>
          </w:p>
        </w:tc>
      </w:tr>
      <w:tr>
        <w:trPr>
          <w:trHeight w:val="425" w:hRule="atLeast"/>
        </w:trPr>
        <w:tc>
          <w:tcPr>
            <w:tcW w:type="dxa" w:w="3249"/>
            <w:vAlign w:val="center"/>
          </w:tcPr>
          <w:p>
            <w:pPr>
              <w:spacing w:line="276" w:lineRule="auto" w:before="0" w:after="0"/>
            </w:pPr>
            <w:r/>
            <w:r>
              <w:rPr>
                <w:rFonts w:ascii="Figtree" w:hAnsi="Figtree"/>
                <w:b w:val="0"/>
                <w:i w:val="0"/>
                <w:sz w:val="20"/>
              </w:rPr>
              <w:t>Planned maintenance</w:t>
            </w:r>
          </w:p>
        </w:tc>
        <w:tc>
          <w:tcPr>
            <w:tcW w:type="dxa" w:w="3249"/>
            <w:vAlign w:val="center"/>
          </w:tcPr>
          <w:p>
            <w:pPr>
              <w:spacing w:line="276" w:lineRule="auto" w:before="0" w:after="0"/>
            </w:pPr>
            <w:r/>
            <w:r>
              <w:rPr>
                <w:rFonts w:ascii="Figtree" w:hAnsi="Figtree"/>
                <w:b w:val="0"/>
                <w:i w:val="0"/>
                <w:sz w:val="20"/>
              </w:rPr>
              <w:t>Max 4 hours/month</w:t>
            </w:r>
          </w:p>
        </w:tc>
        <w:tc>
          <w:tcPr>
            <w:tcW w:type="dxa" w:w="3249"/>
            <w:vAlign w:val="center"/>
          </w:tcPr>
          <w:p>
            <w:pPr>
              <w:spacing w:line="276" w:lineRule="auto" w:before="0" w:after="0"/>
            </w:pPr>
            <w:r/>
            <w:r>
              <w:rPr>
                <w:rFonts w:ascii="Figtree" w:hAnsi="Figtree"/>
                <w:b w:val="0"/>
                <w:i w:val="0"/>
                <w:sz w:val="20"/>
              </w:rPr>
              <w:t>Excess maintenance credited against next month</w:t>
            </w:r>
          </w:p>
        </w:tc>
      </w:tr>
    </w:tbl>
    <w:p>
      <w:pPr>
        <w:spacing w:before="0" w:after="0" w:line="120" w:lineRule="exact"/>
      </w:pPr>
    </w:p>
    <w:p>
      <w:r>
        <w:rPr>
          <w:rFonts w:ascii="Figtree" w:hAnsi="Figtree"/>
          <w:b w:val="0"/>
          <w:i w:val="0"/>
          <w:sz w:val="22"/>
        </w:rPr>
        <w:t>Service credits are the exclusive remedy for SLA breaches. Credits are calculated monthly and applied to the following quarter's invoice.</w:t>
      </w:r>
    </w:p>
    <w:p>
      <w:r>
        <w:br w:type="page"/>
      </w:r>
    </w:p>
    <w:p>
      <w:pPr>
        <w:pStyle w:val="H1"/>
        <w:numPr>
          <w:ilvl w:val="0"/>
          <w:numId w:val="1"/>
        </w:numPr>
      </w:pPr>
      <w:r>
        <w:t>Three-Year TCO Analysis</w:t>
      </w:r>
    </w:p>
    <w:p>
      <w:pPr>
        <w:pStyle w:val="H2"/>
        <w:numPr>
          <w:ilvl w:val="1"/>
          <w:numId w:val="1"/>
        </w:numPr>
      </w:pPr>
      <w:r>
        <w:t>Foundation Tier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8"/>
        <w:gridCol w:w="1311"/>
        <w:gridCol w:w="1311"/>
        <w:gridCol w:w="1311"/>
        <w:gridCol w:w="174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Three-Year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$540,000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$150,000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(Phases 2 and 3)</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$170,000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$170,000</w:t>
            </w:r>
          </w:p>
        </w:tc>
      </w:tr>
      <w:tr>
        <w:trPr>
          <w:trHeight w:val="425" w:hRule="atLeast"/>
        </w:trPr>
        <w:tc>
          <w:tcPr>
            <w:tcW w:type="dxa" w:w="1949"/>
            <w:vAlign w:val="center"/>
          </w:tcPr>
          <w:p>
            <w:pPr>
              <w:spacing w:line="276" w:lineRule="auto" w:before="0" w:after="0"/>
            </w:pPr>
            <w:r/>
            <w:r>
              <w:rPr>
                <w:rFonts w:ascii="Figtree" w:hAnsi="Figtree"/>
                <w:b w:val="0"/>
                <w:i w:val="0"/>
                <w:sz w:val="20"/>
              </w:rPr>
              <w:t>Support (Standard)</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$216,000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(estimated)</w:t>
            </w:r>
          </w:p>
        </w:tc>
        <w:tc>
          <w:tcPr>
            <w:tcW w:type="dxa" w:w="1949"/>
            <w:vAlign w:val="center"/>
          </w:tcPr>
          <w:p>
            <w:pPr>
              <w:spacing w:line="276" w:lineRule="auto" w:before="0" w:after="0"/>
            </w:pPr>
            <w:r/>
            <w:r>
              <w:rPr>
                <w:rFonts w:ascii="Figtree" w:hAnsi="Figtree"/>
                <w:b w:val="0"/>
                <w:i w:val="0"/>
                <w:sz w:val="20"/>
              </w:rPr>
              <w:t>$75,000</w:t>
            </w:r>
          </w:p>
        </w:tc>
        <w:tc>
          <w:tcPr>
            <w:tcW w:type="dxa" w:w="1949"/>
            <w:vAlign w:val="center"/>
          </w:tcPr>
          <w:p>
            <w:pPr>
              <w:spacing w:line="276" w:lineRule="auto" w:before="0" w:after="0"/>
            </w:pPr>
            <w:r/>
            <w:r>
              <w:rPr>
                <w:rFonts w:ascii="Figtree" w:hAnsi="Figtree"/>
                <w:b w:val="0"/>
                <w:i w:val="0"/>
                <w:sz w:val="20"/>
              </w:rPr>
              <w:t>$75,000</w:t>
            </w:r>
          </w:p>
        </w:tc>
        <w:tc>
          <w:tcPr>
            <w:tcW w:type="dxa" w:w="1949"/>
            <w:vAlign w:val="center"/>
          </w:tcPr>
          <w:p>
            <w:pPr>
              <w:spacing w:line="276" w:lineRule="auto" w:before="0" w:after="0"/>
            </w:pPr>
            <w:r/>
            <w:r>
              <w:rPr>
                <w:rFonts w:ascii="Figtree" w:hAnsi="Figtree"/>
                <w:b w:val="0"/>
                <w:i w:val="0"/>
                <w:sz w:val="20"/>
              </w:rPr>
              <w:t>$75,000</w:t>
            </w:r>
          </w:p>
        </w:tc>
        <w:tc>
          <w:tcPr>
            <w:tcW w:type="dxa" w:w="1949"/>
            <w:vAlign w:val="center"/>
          </w:tcPr>
          <w:p>
            <w:pPr>
              <w:spacing w:line="276" w:lineRule="auto" w:before="0" w:after="0"/>
            </w:pPr>
            <w:r/>
            <w:r>
              <w:rPr>
                <w:rFonts w:ascii="Figtree" w:hAnsi="Figtree"/>
                <w:b w:val="0"/>
                <w:i w:val="0"/>
                <w:sz w:val="20"/>
              </w:rPr>
              <w:t>$225,000</w:t>
            </w:r>
          </w:p>
        </w:tc>
      </w:tr>
      <w:tr>
        <w:trPr>
          <w:trHeight w:val="425" w:hRule="atLeast"/>
        </w:trPr>
        <w:tc>
          <w:tcPr>
            <w:tcW w:type="dxa" w:w="1949"/>
            <w:vAlign w:val="center"/>
          </w:tcPr>
          <w:p>
            <w:pPr>
              <w:spacing w:line="276" w:lineRule="auto" w:before="0" w:after="0"/>
            </w:pPr>
            <w:r/>
            <w:r>
              <w:rPr>
                <w:rFonts w:ascii="Figtree" w:hAnsi="Figtree"/>
                <w:b/>
                <w:i w:val="0"/>
                <w:sz w:val="20"/>
              </w:rPr>
              <w:t>Annual Total</w:t>
            </w:r>
          </w:p>
        </w:tc>
        <w:tc>
          <w:tcPr>
            <w:tcW w:type="dxa" w:w="1949"/>
            <w:vAlign w:val="center"/>
          </w:tcPr>
          <w:p>
            <w:pPr>
              <w:spacing w:line="276" w:lineRule="auto" w:before="0" w:after="0"/>
            </w:pPr>
            <w:r/>
            <w:r>
              <w:rPr>
                <w:rFonts w:ascii="Figtree" w:hAnsi="Figtree"/>
                <w:b/>
                <w:i w:val="0"/>
                <w:sz w:val="20"/>
              </w:rPr>
              <w:t>$477,000</w:t>
            </w:r>
          </w:p>
        </w:tc>
        <w:tc>
          <w:tcPr>
            <w:tcW w:type="dxa" w:w="1949"/>
            <w:vAlign w:val="center"/>
          </w:tcPr>
          <w:p>
            <w:pPr>
              <w:spacing w:line="276" w:lineRule="auto" w:before="0" w:after="0"/>
            </w:pPr>
            <w:r/>
            <w:r>
              <w:rPr>
                <w:rFonts w:ascii="Figtree" w:hAnsi="Figtree"/>
                <w:b/>
                <w:i w:val="0"/>
                <w:sz w:val="20"/>
              </w:rPr>
              <w:t>$497,000</w:t>
            </w:r>
          </w:p>
        </w:tc>
        <w:tc>
          <w:tcPr>
            <w:tcW w:type="dxa" w:w="1949"/>
            <w:vAlign w:val="center"/>
          </w:tcPr>
          <w:p>
            <w:pPr>
              <w:spacing w:line="276" w:lineRule="auto" w:before="0" w:after="0"/>
            </w:pPr>
            <w:r/>
            <w:r>
              <w:rPr>
                <w:rFonts w:ascii="Figtree" w:hAnsi="Figtree"/>
                <w:b/>
                <w:i w:val="0"/>
                <w:sz w:val="20"/>
              </w:rPr>
              <w:t>$327,000</w:t>
            </w:r>
          </w:p>
        </w:tc>
        <w:tc>
          <w:tcPr>
            <w:tcW w:type="dxa" w:w="1949"/>
            <w:vAlign w:val="center"/>
          </w:tcPr>
          <w:p>
            <w:pPr>
              <w:spacing w:line="276" w:lineRule="auto" w:before="0" w:after="0"/>
            </w:pPr>
            <w:r/>
            <w:r>
              <w:rPr>
                <w:rFonts w:ascii="Figtree" w:hAnsi="Figtree"/>
                <w:b/>
                <w:i w:val="0"/>
                <w:sz w:val="20"/>
              </w:rPr>
              <w:t>$1,301,000</w:t>
            </w:r>
          </w:p>
        </w:tc>
      </w:tr>
    </w:tbl>
    <w:p>
      <w:pPr>
        <w:spacing w:before="0" w:after="0" w:line="120" w:lineRule="exact"/>
      </w:pPr>
    </w:p>
    <w:p>
      <w:pPr>
        <w:pStyle w:val="H2"/>
        <w:numPr>
          <w:ilvl w:val="1"/>
          <w:numId w:val="1"/>
        </w:numPr>
      </w:pPr>
      <w:r>
        <w:t>Enterprise Tier Deployment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8"/>
        <w:gridCol w:w="1311"/>
        <w:gridCol w:w="1311"/>
        <w:gridCol w:w="1311"/>
        <w:gridCol w:w="174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Three-Year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$840,000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(Phases 2 and 3)</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Support (Enterprise)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(estimated)</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i w:val="0"/>
                <w:sz w:val="20"/>
              </w:rPr>
              <w:t>Annual Total</w:t>
            </w:r>
          </w:p>
        </w:tc>
        <w:tc>
          <w:tcPr>
            <w:tcW w:type="dxa" w:w="1949"/>
            <w:vAlign w:val="center"/>
          </w:tcPr>
          <w:p>
            <w:pPr>
              <w:spacing w:line="276" w:lineRule="auto" w:before="0" w:after="0"/>
            </w:pPr>
            <w:r/>
            <w:r>
              <w:rPr>
                <w:rFonts w:ascii="Figtree" w:hAnsi="Figtree"/>
                <w:b/>
                <w:i w:val="0"/>
                <w:sz w:val="20"/>
              </w:rPr>
              <w:t>$700,000</w:t>
            </w:r>
          </w:p>
        </w:tc>
        <w:tc>
          <w:tcPr>
            <w:tcW w:type="dxa" w:w="1949"/>
            <w:vAlign w:val="center"/>
          </w:tcPr>
          <w:p>
            <w:pPr>
              <w:spacing w:line="276" w:lineRule="auto" w:before="0" w:after="0"/>
            </w:pPr>
            <w:r/>
            <w:r>
              <w:rPr>
                <w:rFonts w:ascii="Figtree" w:hAnsi="Figtree"/>
                <w:b/>
                <w:i w:val="0"/>
                <w:sz w:val="20"/>
              </w:rPr>
              <w:t>$820,000</w:t>
            </w:r>
          </w:p>
        </w:tc>
        <w:tc>
          <w:tcPr>
            <w:tcW w:type="dxa" w:w="1949"/>
            <w:vAlign w:val="center"/>
          </w:tcPr>
          <w:p>
            <w:pPr>
              <w:spacing w:line="276" w:lineRule="auto" w:before="0" w:after="0"/>
            </w:pPr>
            <w:r/>
            <w:r>
              <w:rPr>
                <w:rFonts w:ascii="Figtree" w:hAnsi="Figtree"/>
                <w:b/>
                <w:i w:val="0"/>
                <w:sz w:val="20"/>
              </w:rPr>
              <w:t>$520,000</w:t>
            </w:r>
          </w:p>
        </w:tc>
        <w:tc>
          <w:tcPr>
            <w:tcW w:type="dxa" w:w="1949"/>
            <w:vAlign w:val="center"/>
          </w:tcPr>
          <w:p>
            <w:pPr>
              <w:spacing w:line="276" w:lineRule="auto" w:before="0" w:after="0"/>
            </w:pPr>
            <w:r/>
            <w:r>
              <w:rPr>
                <w:rFonts w:ascii="Figtree" w:hAnsi="Figtree"/>
                <w:b/>
                <w:i w:val="0"/>
                <w:sz w:val="20"/>
              </w:rPr>
              <w:t>$2,040,000</w:t>
            </w:r>
          </w:p>
        </w:tc>
      </w:tr>
    </w:tbl>
    <w:p>
      <w:pPr>
        <w:spacing w:before="0" w:after="0" w:line="120" w:lineRule="exact"/>
      </w:pPr>
    </w:p>
    <w:p>
      <w:r>
        <w:rPr>
          <w:rFonts w:ascii="Figtree" w:hAnsi="Figtree"/>
          <w:b/>
          <w:i w:val="0"/>
          <w:sz w:val="22"/>
        </w:rPr>
        <w:t>Notes:</w:t>
      </w:r>
    </w:p>
    <w:p>
      <w:pPr>
        <w:pStyle w:val="ListParagraph"/>
        <w:numPr>
          <w:ilvl w:val="0"/>
          <w:numId w:val="4"/>
        </w:numPr>
      </w:pPr>
      <w:r>
        <w:rPr>
          <w:rFonts w:ascii="Figtree" w:hAnsi="Figtree"/>
          <w:b w:val="0"/>
          <w:i w:val="0"/>
          <w:sz w:val="22"/>
        </w:rPr>
        <w:t>Year 1 includes Phase 1 implementation. Year 2 includes Phases 2 and 3 implementation. Year 3 is platform operation and support only.</w:t>
      </w:r>
    </w:p>
    <w:p>
      <w:pPr>
        <w:pStyle w:val="ListParagraph"/>
        <w:numPr>
          <w:ilvl w:val="0"/>
          <w:numId w:val="4"/>
        </w:numPr>
      </w:pPr>
      <w:r>
        <w:rPr>
          <w:rFonts w:ascii="Figtree" w:hAnsi="Figtree"/>
          <w:b w:val="0"/>
          <w:i w:val="0"/>
          <w:sz w:val="22"/>
        </w:rPr>
        <w:t>Infrastructure estimates assume a Kubernetes-based deployment in Nigeria with 3 Besu validator nodes, PostgreSQL database, and observability stack. Actual costs depend on OPay's infrastructure choices.</w:t>
      </w:r>
    </w:p>
    <w:p>
      <w:pPr>
        <w:pStyle w:val="ListParagraph"/>
        <w:numPr>
          <w:ilvl w:val="0"/>
          <w:numId w:val="4"/>
        </w:numPr>
      </w:pPr>
      <w:r>
        <w:rPr>
          <w:rFonts w:ascii="Figtree" w:hAnsi="Figtree"/>
          <w:b w:val="0"/>
          <w:i w:val="0"/>
          <w:sz w:val="22"/>
        </w:rPr>
        <w:t>License fees are subject to annual CPI adjustment capped at 5%.</w:t>
      </w:r>
    </w:p>
    <w:p>
      <w:pPr>
        <w:pStyle w:val="ListParagraph"/>
        <w:numPr>
          <w:ilvl w:val="0"/>
          <w:numId w:val="4"/>
        </w:numPr>
      </w:pPr>
      <w:r>
        <w:rPr>
          <w:rFonts w:ascii="Figtree" w:hAnsi="Figtree"/>
          <w:b w:val="0"/>
          <w:i w:val="0"/>
          <w:sz w:val="22"/>
        </w:rPr>
        <w:t>Implementation fees for Phases 2 and 3 are confirmed during Phase 1 discovery and documented in separate statements of work.</w:t>
      </w:r>
    </w:p>
    <w:p>
      <w:r>
        <w:br w:type="page"/>
      </w:r>
    </w:p>
    <w:p>
      <w:pPr>
        <w:pStyle w:val="H1"/>
        <w:numPr>
          <w:ilvl w:val="0"/>
          <w:numId w:val="1"/>
        </w:numPr>
      </w:pPr>
      <w:r>
        <w:t>ROI Framework</w:t>
      </w:r>
    </w:p>
    <w:p>
      <w:pPr>
        <w:pStyle w:val="H2"/>
        <w:numPr>
          <w:ilvl w:val="1"/>
          <w:numId w:val="1"/>
        </w:numPr>
      </w:pPr>
      <w:r>
        <w:t>Efficiency Gains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2553"/>
        <w:gridCol w:w="3158"/>
        <w:gridCol w:w="15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Efficiency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State (Year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Saving</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 staff effort</w:t>
            </w:r>
          </w:p>
        </w:tc>
        <w:tc>
          <w:tcPr>
            <w:tcW w:type="dxa" w:w="2436"/>
            <w:vAlign w:val="center"/>
          </w:tcPr>
          <w:p>
            <w:pPr>
              <w:spacing w:line="276" w:lineRule="auto" w:before="0" w:after="0"/>
            </w:pPr>
            <w:r/>
            <w:r>
              <w:rPr>
                <w:rFonts w:ascii="Figtree" w:hAnsi="Figtree"/>
                <w:b w:val="0"/>
                <w:i w:val="0"/>
                <w:sz w:val="20"/>
              </w:rPr>
              <w:t>15 to 25 FTE-hours/day manual matching</w:t>
            </w:r>
          </w:p>
        </w:tc>
        <w:tc>
          <w:tcPr>
            <w:tcW w:type="dxa" w:w="2436"/>
            <w:vAlign w:val="center"/>
          </w:tcPr>
          <w:p>
            <w:pPr>
              <w:spacing w:line="276" w:lineRule="auto" w:before="0" w:after="0"/>
            </w:pPr>
            <w:r/>
            <w:r>
              <w:rPr>
                <w:rFonts w:ascii="Figtree" w:hAnsi="Figtree"/>
                <w:b w:val="0"/>
                <w:i w:val="0"/>
                <w:sz w:val="20"/>
              </w:rPr>
              <w:t>2 to 4 FTE-hours/day exception handling only</w:t>
            </w:r>
          </w:p>
        </w:tc>
        <w:tc>
          <w:tcPr>
            <w:tcW w:type="dxa" w:w="2436"/>
            <w:vAlign w:val="center"/>
          </w:tcPr>
          <w:p>
            <w:pPr>
              <w:spacing w:line="276" w:lineRule="auto" w:before="0" w:after="0"/>
            </w:pPr>
            <w:r/>
            <w:r>
              <w:rPr>
                <w:rFonts w:ascii="Figtree" w:hAnsi="Figtree"/>
                <w:b w:val="0"/>
                <w:i w:val="0"/>
                <w:sz w:val="20"/>
              </w:rPr>
              <w:t>$150,000 to $300,000</w:t>
            </w:r>
          </w:p>
        </w:tc>
      </w:tr>
      <w:tr>
        <w:trPr>
          <w:trHeight w:val="425" w:hRule="atLeast"/>
        </w:trPr>
        <w:tc>
          <w:tcPr>
            <w:tcW w:type="dxa" w:w="2436"/>
            <w:vAlign w:val="center"/>
          </w:tcPr>
          <w:p>
            <w:pPr>
              <w:spacing w:line="276" w:lineRule="auto" w:before="0" w:after="0"/>
            </w:pPr>
            <w:r/>
            <w:r>
              <w:rPr>
                <w:rFonts w:ascii="Figtree" w:hAnsi="Figtree"/>
                <w:b w:val="0"/>
                <w:i w:val="0"/>
                <w:sz w:val="20"/>
              </w:rPr>
              <w:t>Exception investigation</w:t>
            </w:r>
          </w:p>
        </w:tc>
        <w:tc>
          <w:tcPr>
            <w:tcW w:type="dxa" w:w="2436"/>
            <w:vAlign w:val="center"/>
          </w:tcPr>
          <w:p>
            <w:pPr>
              <w:spacing w:line="276" w:lineRule="auto" w:before="0" w:after="0"/>
            </w:pPr>
            <w:r/>
            <w:r>
              <w:rPr>
                <w:rFonts w:ascii="Figtree" w:hAnsi="Figtree"/>
                <w:b w:val="0"/>
                <w:i w:val="0"/>
                <w:sz w:val="20"/>
              </w:rPr>
              <w:t>2 to 4 hours per break (multi-system)</w:t>
            </w:r>
          </w:p>
        </w:tc>
        <w:tc>
          <w:tcPr>
            <w:tcW w:type="dxa" w:w="2436"/>
            <w:vAlign w:val="center"/>
          </w:tcPr>
          <w:p>
            <w:pPr>
              <w:spacing w:line="276" w:lineRule="auto" w:before="0" w:after="0"/>
            </w:pPr>
            <w:r/>
            <w:r>
              <w:rPr>
                <w:rFonts w:ascii="Figtree" w:hAnsi="Figtree"/>
                <w:b w:val="0"/>
                <w:i w:val="0"/>
                <w:sz w:val="20"/>
              </w:rPr>
              <w:t>15 to 30 minutes per break (single audit trail)</w:t>
            </w:r>
          </w:p>
        </w:tc>
        <w:tc>
          <w:tcPr>
            <w:tcW w:type="dxa" w:w="2436"/>
            <w:vAlign w:val="center"/>
          </w:tcPr>
          <w:p>
            <w:pPr>
              <w:spacing w:line="276" w:lineRule="auto" w:before="0" w:after="0"/>
            </w:pPr>
            <w:r/>
            <w:r>
              <w:rPr>
                <w:rFonts w:ascii="Figtree" w:hAnsi="Figtree"/>
                <w:b w:val="0"/>
                <w:i w:val="0"/>
                <w:sz w:val="20"/>
              </w:rPr>
              <w:t>$80,000 to $150,000</w:t>
            </w:r>
          </w:p>
        </w:tc>
      </w:tr>
      <w:tr>
        <w:trPr>
          <w:trHeight w:val="425" w:hRule="atLeast"/>
        </w:trPr>
        <w:tc>
          <w:tcPr>
            <w:tcW w:type="dxa" w:w="2436"/>
            <w:vAlign w:val="center"/>
          </w:tcPr>
          <w:p>
            <w:pPr>
              <w:spacing w:line="276" w:lineRule="auto" w:before="0" w:after="0"/>
            </w:pPr>
            <w:r/>
            <w:r>
              <w:rPr>
                <w:rFonts w:ascii="Figtree" w:hAnsi="Figtree"/>
                <w:b w:val="0"/>
                <w:i w:val="0"/>
                <w:sz w:val="20"/>
              </w:rPr>
              <w:t>Audit preparation</w:t>
            </w:r>
          </w:p>
        </w:tc>
        <w:tc>
          <w:tcPr>
            <w:tcW w:type="dxa" w:w="2436"/>
            <w:vAlign w:val="center"/>
          </w:tcPr>
          <w:p>
            <w:pPr>
              <w:spacing w:line="276" w:lineRule="auto" w:before="0" w:after="0"/>
            </w:pPr>
            <w:r/>
            <w:r>
              <w:rPr>
                <w:rFonts w:ascii="Figtree" w:hAnsi="Figtree"/>
                <w:b w:val="0"/>
                <w:i w:val="0"/>
                <w:sz w:val="20"/>
              </w:rPr>
              <w:t>3 to 5 weeks per quarterly audit cycle</w:t>
            </w:r>
          </w:p>
        </w:tc>
        <w:tc>
          <w:tcPr>
            <w:tcW w:type="dxa" w:w="2436"/>
            <w:vAlign w:val="center"/>
          </w:tcPr>
          <w:p>
            <w:pPr>
              <w:spacing w:line="276" w:lineRule="auto" w:before="0" w:after="0"/>
            </w:pPr>
            <w:r/>
            <w:r>
              <w:rPr>
                <w:rFonts w:ascii="Figtree" w:hAnsi="Figtree"/>
                <w:b w:val="0"/>
                <w:i w:val="0"/>
                <w:sz w:val="20"/>
              </w:rPr>
              <w:t>2 to 3 days (automated evidence extraction)</w:t>
            </w:r>
          </w:p>
        </w:tc>
        <w:tc>
          <w:tcPr>
            <w:tcW w:type="dxa" w:w="2436"/>
            <w:vAlign w:val="center"/>
          </w:tcPr>
          <w:p>
            <w:pPr>
              <w:spacing w:line="276" w:lineRule="auto" w:before="0" w:after="0"/>
            </w:pPr>
            <w:r/>
            <w:r>
              <w:rPr>
                <w:rFonts w:ascii="Figtree" w:hAnsi="Figtree"/>
                <w:b w:val="0"/>
                <w:i w:val="0"/>
                <w:sz w:val="20"/>
              </w:rPr>
              <w:t>$60,000 to $100,000</w:t>
            </w:r>
          </w:p>
        </w:tc>
      </w:tr>
    </w:tbl>
    <w:p>
      <w:pPr>
        <w:spacing w:before="0" w:after="0" w:line="120" w:lineRule="exact"/>
      </w:pPr>
    </w:p>
    <w:p>
      <w:pPr>
        <w:pStyle w:val="H2"/>
        <w:numPr>
          <w:ilvl w:val="1"/>
          <w:numId w:val="1"/>
        </w:numPr>
      </w:pPr>
      <w:r>
        <w:t>Settlement Cost Reduction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8"/>
        <w:gridCol w:w="2059"/>
        <w:gridCol w:w="2838"/>
        <w:gridCol w:w="26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Settlement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Cost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Saving</w:t>
            </w:r>
          </w:p>
        </w:tc>
      </w:tr>
      <w:tr>
        <w:trPr>
          <w:trHeight w:val="425" w:hRule="atLeast"/>
        </w:trPr>
        <w:tc>
          <w:tcPr>
            <w:tcW w:type="dxa" w:w="2436"/>
            <w:vAlign w:val="center"/>
          </w:tcPr>
          <w:p>
            <w:pPr>
              <w:spacing w:line="276" w:lineRule="auto" w:before="0" w:after="0"/>
            </w:pPr>
            <w:r/>
            <w:r>
              <w:rPr>
                <w:rFonts w:ascii="Figtree" w:hAnsi="Figtree"/>
                <w:b w:val="0"/>
                <w:i w:val="0"/>
                <w:sz w:val="20"/>
              </w:rPr>
              <w:t>Settlement float (treasury)</w:t>
            </w:r>
          </w:p>
        </w:tc>
        <w:tc>
          <w:tcPr>
            <w:tcW w:type="dxa" w:w="2436"/>
            <w:vAlign w:val="center"/>
          </w:tcPr>
          <w:p>
            <w:pPr>
              <w:spacing w:line="276" w:lineRule="auto" w:before="0" w:after="0"/>
            </w:pPr>
            <w:r/>
            <w:r>
              <w:rPr>
                <w:rFonts w:ascii="Figtree" w:hAnsi="Figtree"/>
                <w:b w:val="0"/>
                <w:i w:val="0"/>
                <w:sz w:val="20"/>
              </w:rPr>
              <w:t>24 to 48 hour batch settlement cycles</w:t>
            </w:r>
          </w:p>
        </w:tc>
        <w:tc>
          <w:tcPr>
            <w:tcW w:type="dxa" w:w="2436"/>
            <w:vAlign w:val="center"/>
          </w:tcPr>
          <w:p>
            <w:pPr>
              <w:spacing w:line="276" w:lineRule="auto" w:before="0" w:after="0"/>
            </w:pPr>
            <w:r/>
            <w:r>
              <w:rPr>
                <w:rFonts w:ascii="Figtree" w:hAnsi="Figtree"/>
                <w:b w:val="0"/>
                <w:i w:val="0"/>
                <w:sz w:val="20"/>
              </w:rPr>
              <w:t>Near-real-time atomic settlement</w:t>
            </w:r>
          </w:p>
        </w:tc>
        <w:tc>
          <w:tcPr>
            <w:tcW w:type="dxa" w:w="2436"/>
            <w:vAlign w:val="center"/>
          </w:tcPr>
          <w:p>
            <w:pPr>
              <w:spacing w:line="276" w:lineRule="auto" w:before="0" w:after="0"/>
            </w:pPr>
            <w:r/>
            <w:r>
              <w:rPr>
                <w:rFonts w:ascii="Figtree" w:hAnsi="Figtree"/>
                <w:b w:val="0"/>
                <w:i w:val="0"/>
                <w:sz w:val="20"/>
              </w:rPr>
              <w:t>$200,000 to $500,000 (capital cost)</w:t>
            </w:r>
          </w:p>
        </w:tc>
      </w:tr>
      <w:tr>
        <w:trPr>
          <w:trHeight w:val="425" w:hRule="atLeast"/>
        </w:trPr>
        <w:tc>
          <w:tcPr>
            <w:tcW w:type="dxa" w:w="2436"/>
            <w:vAlign w:val="center"/>
          </w:tcPr>
          <w:p>
            <w:pPr>
              <w:spacing w:line="276" w:lineRule="auto" w:before="0" w:after="0"/>
            </w:pPr>
            <w:r/>
            <w:r>
              <w:rPr>
                <w:rFonts w:ascii="Figtree" w:hAnsi="Figtree"/>
                <w:b w:val="0"/>
                <w:i w:val="0"/>
                <w:sz w:val="20"/>
              </w:rPr>
              <w:t>Merchant settlement timing</w:t>
            </w:r>
          </w:p>
        </w:tc>
        <w:tc>
          <w:tcPr>
            <w:tcW w:type="dxa" w:w="2436"/>
            <w:vAlign w:val="center"/>
          </w:tcPr>
          <w:p>
            <w:pPr>
              <w:spacing w:line="276" w:lineRule="auto" w:before="0" w:after="0"/>
            </w:pPr>
            <w:r/>
            <w:r>
              <w:rPr>
                <w:rFonts w:ascii="Figtree" w:hAnsi="Figtree"/>
                <w:b w:val="0"/>
                <w:i w:val="0"/>
                <w:sz w:val="20"/>
              </w:rPr>
              <w:t>Periodic batch funding cycles</w:t>
            </w:r>
          </w:p>
        </w:tc>
        <w:tc>
          <w:tcPr>
            <w:tcW w:type="dxa" w:w="2436"/>
            <w:vAlign w:val="center"/>
          </w:tcPr>
          <w:p>
            <w:pPr>
              <w:spacing w:line="276" w:lineRule="auto" w:before="0" w:after="0"/>
            </w:pPr>
            <w:r/>
            <w:r>
              <w:rPr>
                <w:rFonts w:ascii="Figtree" w:hAnsi="Figtree"/>
                <w:b w:val="0"/>
                <w:i w:val="0"/>
                <w:sz w:val="20"/>
              </w:rPr>
              <w:t>Configurable settlement windows (intraday possible)</w:t>
            </w:r>
          </w:p>
        </w:tc>
        <w:tc>
          <w:tcPr>
            <w:tcW w:type="dxa" w:w="2436"/>
            <w:vAlign w:val="center"/>
          </w:tcPr>
          <w:p>
            <w:pPr>
              <w:spacing w:line="276" w:lineRule="auto" w:before="0" w:after="0"/>
            </w:pPr>
            <w:r/>
            <w:r>
              <w:rPr>
                <w:rFonts w:ascii="Figtree" w:hAnsi="Figtree"/>
                <w:b w:val="0"/>
                <w:i w:val="0"/>
                <w:sz w:val="20"/>
              </w:rPr>
              <w:t>$100,000 to $250,000 (merchant retention value)</w:t>
            </w:r>
          </w:p>
        </w:tc>
      </w:tr>
      <w:tr>
        <w:trPr>
          <w:trHeight w:val="425" w:hRule="atLeast"/>
        </w:trPr>
        <w:tc>
          <w:tcPr>
            <w:tcW w:type="dxa" w:w="2436"/>
            <w:vAlign w:val="center"/>
          </w:tcPr>
          <w:p>
            <w:pPr>
              <w:spacing w:line="276" w:lineRule="auto" w:before="0" w:after="0"/>
            </w:pPr>
            <w:r/>
            <w:r>
              <w:rPr>
                <w:rFonts w:ascii="Figtree" w:hAnsi="Figtree"/>
                <w:b w:val="0"/>
                <w:i w:val="0"/>
                <w:sz w:val="20"/>
              </w:rPr>
              <w:t>Failed settlement correction</w:t>
            </w:r>
          </w:p>
        </w:tc>
        <w:tc>
          <w:tcPr>
            <w:tcW w:type="dxa" w:w="2436"/>
            <w:vAlign w:val="center"/>
          </w:tcPr>
          <w:p>
            <w:pPr>
              <w:spacing w:line="276" w:lineRule="auto" w:before="0" w:after="0"/>
            </w:pPr>
            <w:r/>
            <w:r>
              <w:rPr>
                <w:rFonts w:ascii="Figtree" w:hAnsi="Figtree"/>
                <w:b w:val="0"/>
                <w:i w:val="0"/>
                <w:sz w:val="20"/>
              </w:rPr>
              <w:t>Manual multi-system correction</w:t>
            </w:r>
          </w:p>
        </w:tc>
        <w:tc>
          <w:tcPr>
            <w:tcW w:type="dxa" w:w="2436"/>
            <w:vAlign w:val="center"/>
          </w:tcPr>
          <w:p>
            <w:pPr>
              <w:spacing w:line="276" w:lineRule="auto" w:before="0" w:after="0"/>
            </w:pPr>
            <w:r/>
            <w:r>
              <w:rPr>
                <w:rFonts w:ascii="Figtree" w:hAnsi="Figtree"/>
                <w:b w:val="0"/>
                <w:i w:val="0"/>
                <w:sz w:val="20"/>
              </w:rPr>
              <w:t>Atomic settlement (no partial failures)</w:t>
            </w:r>
          </w:p>
        </w:tc>
        <w:tc>
          <w:tcPr>
            <w:tcW w:type="dxa" w:w="2436"/>
            <w:vAlign w:val="center"/>
          </w:tcPr>
          <w:p>
            <w:pPr>
              <w:spacing w:line="276" w:lineRule="auto" w:before="0" w:after="0"/>
            </w:pPr>
            <w:r/>
            <w:r>
              <w:rPr>
                <w:rFonts w:ascii="Figtree" w:hAnsi="Figtree"/>
                <w:b w:val="0"/>
                <w:i w:val="0"/>
                <w:sz w:val="20"/>
              </w:rPr>
              <w:t>$50,000 to $100,000</w:t>
            </w:r>
          </w:p>
        </w:tc>
      </w:tr>
    </w:tbl>
    <w:p>
      <w:pPr>
        <w:spacing w:before="0" w:after="0" w:line="120" w:lineRule="exact"/>
      </w:pPr>
    </w:p>
    <w:p>
      <w:pPr>
        <w:pStyle w:val="H2"/>
        <w:numPr>
          <w:ilvl w:val="1"/>
          <w:numId w:val="1"/>
        </w:numPr>
      </w:pPr>
      <w:r>
        <w:t>Audit Cost Savings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100"/>
        <w:gridCol w:w="2016"/>
        <w:gridCol w:w="19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Cost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Cost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Saving</w:t>
            </w:r>
          </w:p>
        </w:tc>
      </w:tr>
      <w:tr>
        <w:trPr>
          <w:trHeight w:val="425" w:hRule="atLeast"/>
        </w:trPr>
        <w:tc>
          <w:tcPr>
            <w:tcW w:type="dxa" w:w="2436"/>
            <w:vAlign w:val="center"/>
          </w:tcPr>
          <w:p>
            <w:pPr>
              <w:spacing w:line="276" w:lineRule="auto" w:before="0" w:after="0"/>
            </w:pPr>
            <w:r/>
            <w:r>
              <w:rPr>
                <w:rFonts w:ascii="Figtree" w:hAnsi="Figtree"/>
                <w:b w:val="0"/>
                <w:i w:val="0"/>
                <w:sz w:val="20"/>
              </w:rPr>
              <w:t>External audit (settlement evidence)</w:t>
            </w:r>
          </w:p>
        </w:tc>
        <w:tc>
          <w:tcPr>
            <w:tcW w:type="dxa" w:w="2436"/>
            <w:vAlign w:val="center"/>
          </w:tcPr>
          <w:p>
            <w:pPr>
              <w:spacing w:line="276" w:lineRule="auto" w:before="0" w:after="0"/>
            </w:pPr>
            <w:r/>
            <w:r>
              <w:rPr>
                <w:rFonts w:ascii="Figtree" w:hAnsi="Figtree"/>
                <w:b w:val="0"/>
                <w:i w:val="0"/>
                <w:sz w:val="20"/>
              </w:rPr>
              <w:t>$150,000 to $200,000/year</w:t>
            </w:r>
          </w:p>
        </w:tc>
        <w:tc>
          <w:tcPr>
            <w:tcW w:type="dxa" w:w="2436"/>
            <w:vAlign w:val="center"/>
          </w:tcPr>
          <w:p>
            <w:pPr>
              <w:spacing w:line="276" w:lineRule="auto" w:before="0" w:after="0"/>
            </w:pPr>
            <w:r/>
            <w:r>
              <w:rPr>
                <w:rFonts w:ascii="Figtree" w:hAnsi="Figtree"/>
                <w:b w:val="0"/>
                <w:i w:val="0"/>
                <w:sz w:val="20"/>
              </w:rPr>
              <w:t>$80,000 to $120,000/year</w:t>
            </w:r>
          </w:p>
        </w:tc>
        <w:tc>
          <w:tcPr>
            <w:tcW w:type="dxa" w:w="2436"/>
            <w:vAlign w:val="center"/>
          </w:tcPr>
          <w:p>
            <w:pPr>
              <w:spacing w:line="276" w:lineRule="auto" w:before="0" w:after="0"/>
            </w:pPr>
            <w:r/>
            <w:r>
              <w:rPr>
                <w:rFonts w:ascii="Figtree" w:hAnsi="Figtree"/>
                <w:b w:val="0"/>
                <w:i w:val="0"/>
                <w:sz w:val="20"/>
              </w:rPr>
              <w:t>$70,000 to $80,000</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 preparation</w:t>
            </w:r>
          </w:p>
        </w:tc>
        <w:tc>
          <w:tcPr>
            <w:tcW w:type="dxa" w:w="2436"/>
            <w:vAlign w:val="center"/>
          </w:tcPr>
          <w:p>
            <w:pPr>
              <w:spacing w:line="276" w:lineRule="auto" w:before="0" w:after="0"/>
            </w:pPr>
            <w:r/>
            <w:r>
              <w:rPr>
                <w:rFonts w:ascii="Figtree" w:hAnsi="Figtree"/>
                <w:b w:val="0"/>
                <w:i w:val="0"/>
                <w:sz w:val="20"/>
              </w:rPr>
              <w:t>$100,000 to $150,000/year</w:t>
            </w:r>
          </w:p>
        </w:tc>
        <w:tc>
          <w:tcPr>
            <w:tcW w:type="dxa" w:w="2436"/>
            <w:vAlign w:val="center"/>
          </w:tcPr>
          <w:p>
            <w:pPr>
              <w:spacing w:line="276" w:lineRule="auto" w:before="0" w:after="0"/>
            </w:pPr>
            <w:r/>
            <w:r>
              <w:rPr>
                <w:rFonts w:ascii="Figtree" w:hAnsi="Figtree"/>
                <w:b w:val="0"/>
                <w:i w:val="0"/>
                <w:sz w:val="20"/>
              </w:rPr>
              <w:t>$30,000 to $50,000/year</w:t>
            </w:r>
          </w:p>
        </w:tc>
        <w:tc>
          <w:tcPr>
            <w:tcW w:type="dxa" w:w="2436"/>
            <w:vAlign w:val="center"/>
          </w:tcPr>
          <w:p>
            <w:pPr>
              <w:spacing w:line="276" w:lineRule="auto" w:before="0" w:after="0"/>
            </w:pPr>
            <w:r/>
            <w:r>
              <w:rPr>
                <w:rFonts w:ascii="Figtree" w:hAnsi="Figtree"/>
                <w:b w:val="0"/>
                <w:i w:val="0"/>
                <w:sz w:val="20"/>
              </w:rPr>
              <w:t>$70,000 to $100,000</w:t>
            </w:r>
          </w:p>
        </w:tc>
      </w:tr>
    </w:tbl>
    <w:p>
      <w:pPr>
        <w:spacing w:before="0" w:after="0" w:line="120" w:lineRule="exact"/>
      </w:pPr>
    </w:p>
    <w:p>
      <w:pPr>
        <w:pStyle w:val="H2"/>
        <w:numPr>
          <w:ilvl w:val="1"/>
          <w:numId w:val="1"/>
        </w:numPr>
      </w:pPr>
      <w:r>
        <w:t>Total Estimated Annual ROI (Year 2 onwards)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74"/>
        <w:gridCol w:w="1845"/>
        <w:gridCol w:w="21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Conservative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Optimistic</w:t>
            </w:r>
          </w:p>
        </w:tc>
      </w:tr>
      <w:tr>
        <w:trPr>
          <w:trHeight w:val="425" w:hRule="atLeast"/>
        </w:trPr>
        <w:tc>
          <w:tcPr>
            <w:tcW w:type="dxa" w:w="3249"/>
            <w:vAlign w:val="center"/>
          </w:tcPr>
          <w:p>
            <w:pPr>
              <w:spacing w:line="276" w:lineRule="auto" w:before="0" w:after="0"/>
            </w:pPr>
            <w:r/>
            <w:r>
              <w:rPr>
                <w:rFonts w:ascii="Figtree" w:hAnsi="Figtree"/>
                <w:b w:val="0"/>
                <w:i w:val="0"/>
                <w:sz w:val="20"/>
              </w:rPr>
              <w:t>Efficiency gains</w:t>
            </w:r>
          </w:p>
        </w:tc>
        <w:tc>
          <w:tcPr>
            <w:tcW w:type="dxa" w:w="3249"/>
            <w:vAlign w:val="center"/>
          </w:tcPr>
          <w:p>
            <w:pPr>
              <w:spacing w:line="276" w:lineRule="auto" w:before="0" w:after="0"/>
            </w:pPr>
            <w:r/>
            <w:r>
              <w:rPr>
                <w:rFonts w:ascii="Figtree" w:hAnsi="Figtree"/>
                <w:b w:val="0"/>
                <w:i w:val="0"/>
                <w:sz w:val="20"/>
              </w:rPr>
              <w:t>$290,000</w:t>
            </w:r>
          </w:p>
        </w:tc>
        <w:tc>
          <w:tcPr>
            <w:tcW w:type="dxa" w:w="3249"/>
            <w:vAlign w:val="center"/>
          </w:tcPr>
          <w:p>
            <w:pPr>
              <w:spacing w:line="276" w:lineRule="auto" w:before="0" w:after="0"/>
            </w:pPr>
            <w:r/>
            <w:r>
              <w:rPr>
                <w:rFonts w:ascii="Figtree" w:hAnsi="Figtree"/>
                <w:b w:val="0"/>
                <w:i w:val="0"/>
                <w:sz w:val="20"/>
              </w:rPr>
              <w:t>$550,000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 cost reduction</w:t>
            </w:r>
          </w:p>
        </w:tc>
        <w:tc>
          <w:tcPr>
            <w:tcW w:type="dxa" w:w="3249"/>
            <w:vAlign w:val="center"/>
          </w:tcPr>
          <w:p>
            <w:pPr>
              <w:spacing w:line="276" w:lineRule="auto" w:before="0" w:after="0"/>
            </w:pPr>
            <w:r/>
            <w:r>
              <w:rPr>
                <w:rFonts w:ascii="Figtree" w:hAnsi="Figtree"/>
                <w:b w:val="0"/>
                <w:i w:val="0"/>
                <w:sz w:val="20"/>
              </w:rPr>
              <w:t>$350,000</w:t>
            </w:r>
          </w:p>
        </w:tc>
        <w:tc>
          <w:tcPr>
            <w:tcW w:type="dxa" w:w="3249"/>
            <w:vAlign w:val="center"/>
          </w:tcPr>
          <w:p>
            <w:pPr>
              <w:spacing w:line="276" w:lineRule="auto" w:before="0" w:after="0"/>
            </w:pPr>
            <w:r/>
            <w:r>
              <w:rPr>
                <w:rFonts w:ascii="Figtree" w:hAnsi="Figtree"/>
                <w:b w:val="0"/>
                <w:i w:val="0"/>
                <w:sz w:val="20"/>
              </w:rPr>
              <w:t>$850,000</w:t>
            </w:r>
          </w:p>
        </w:tc>
      </w:tr>
      <w:tr>
        <w:trPr>
          <w:trHeight w:val="425" w:hRule="atLeast"/>
        </w:trPr>
        <w:tc>
          <w:tcPr>
            <w:tcW w:type="dxa" w:w="3249"/>
            <w:vAlign w:val="center"/>
          </w:tcPr>
          <w:p>
            <w:pPr>
              <w:spacing w:line="276" w:lineRule="auto" w:before="0" w:after="0"/>
            </w:pPr>
            <w:r/>
            <w:r>
              <w:rPr>
                <w:rFonts w:ascii="Figtree" w:hAnsi="Figtree"/>
                <w:b w:val="0"/>
                <w:i w:val="0"/>
                <w:sz w:val="20"/>
              </w:rPr>
              <w:t>Audit cost savings</w:t>
            </w:r>
          </w:p>
        </w:tc>
        <w:tc>
          <w:tcPr>
            <w:tcW w:type="dxa" w:w="3249"/>
            <w:vAlign w:val="center"/>
          </w:tcPr>
          <w:p>
            <w:pPr>
              <w:spacing w:line="276" w:lineRule="auto" w:before="0" w:after="0"/>
            </w:pPr>
            <w:r/>
            <w:r>
              <w:rPr>
                <w:rFonts w:ascii="Figtree" w:hAnsi="Figtree"/>
                <w:b w:val="0"/>
                <w:i w:val="0"/>
                <w:sz w:val="20"/>
              </w:rPr>
              <w:t>$140,000</w:t>
            </w:r>
          </w:p>
        </w:tc>
        <w:tc>
          <w:tcPr>
            <w:tcW w:type="dxa" w:w="3249"/>
            <w:vAlign w:val="center"/>
          </w:tcPr>
          <w:p>
            <w:pPr>
              <w:spacing w:line="276" w:lineRule="auto" w:before="0" w:after="0"/>
            </w:pPr>
            <w:r/>
            <w:r>
              <w:rPr>
                <w:rFonts w:ascii="Figtree" w:hAnsi="Figtree"/>
                <w:b w:val="0"/>
                <w:i w:val="0"/>
                <w:sz w:val="20"/>
              </w:rPr>
              <w:t>$180,000</w:t>
            </w:r>
          </w:p>
        </w:tc>
      </w:tr>
      <w:tr>
        <w:trPr>
          <w:trHeight w:val="425" w:hRule="atLeast"/>
        </w:trPr>
        <w:tc>
          <w:tcPr>
            <w:tcW w:type="dxa" w:w="3249"/>
            <w:vAlign w:val="center"/>
          </w:tcPr>
          <w:p>
            <w:pPr>
              <w:spacing w:line="276" w:lineRule="auto" w:before="0" w:after="0"/>
            </w:pPr>
            <w:r/>
            <w:r>
              <w:rPr>
                <w:rFonts w:ascii="Figtree" w:hAnsi="Figtree"/>
                <w:b/>
                <w:i w:val="0"/>
                <w:sz w:val="20"/>
              </w:rPr>
              <w:t>Total annual benefit</w:t>
            </w:r>
          </w:p>
        </w:tc>
        <w:tc>
          <w:tcPr>
            <w:tcW w:type="dxa" w:w="3249"/>
            <w:vAlign w:val="center"/>
          </w:tcPr>
          <w:p>
            <w:pPr>
              <w:spacing w:line="276" w:lineRule="auto" w:before="0" w:after="0"/>
            </w:pPr>
            <w:r/>
            <w:r>
              <w:rPr>
                <w:rFonts w:ascii="Figtree" w:hAnsi="Figtree"/>
                <w:b/>
                <w:i w:val="0"/>
                <w:sz w:val="20"/>
              </w:rPr>
              <w:t>$780,000</w:t>
            </w:r>
          </w:p>
        </w:tc>
        <w:tc>
          <w:tcPr>
            <w:tcW w:type="dxa" w:w="3249"/>
            <w:vAlign w:val="center"/>
          </w:tcPr>
          <w:p>
            <w:pPr>
              <w:spacing w:line="276" w:lineRule="auto" w:before="0" w:after="0"/>
            </w:pPr>
            <w:r/>
            <w:r>
              <w:rPr>
                <w:rFonts w:ascii="Figtree" w:hAnsi="Figtree"/>
                <w:b/>
                <w:i w:val="0"/>
                <w:sz w:val="20"/>
              </w:rPr>
              <w:t>$1,580,000</w:t>
            </w:r>
          </w:p>
        </w:tc>
      </w:tr>
      <w:tr>
        <w:trPr>
          <w:trHeight w:val="425" w:hRule="atLeast"/>
        </w:trPr>
        <w:tc>
          <w:tcPr>
            <w:tcW w:type="dxa" w:w="3249"/>
            <w:vAlign w:val="center"/>
          </w:tcPr>
          <w:p>
            <w:pPr>
              <w:spacing w:line="276" w:lineRule="auto" w:before="0" w:after="0"/>
            </w:pPr>
            <w:r/>
            <w:r>
              <w:rPr>
                <w:rFonts w:ascii="Figtree" w:hAnsi="Figtree"/>
                <w:b w:val="0"/>
                <w:i w:val="0"/>
                <w:sz w:val="20"/>
              </w:rPr>
              <w:t>Annual platform cost (Enterprise)</w:t>
            </w:r>
          </w:p>
        </w:tc>
        <w:tc>
          <w:tcPr>
            <w:tcW w:type="dxa" w:w="3249"/>
            <w:vAlign w:val="center"/>
          </w:tcPr>
          <w:p>
            <w:pPr>
              <w:spacing w:line="276" w:lineRule="auto" w:before="0" w:after="0"/>
            </w:pPr>
            <w:r/>
            <w:r>
              <w:rPr>
                <w:rFonts w:ascii="Figtree" w:hAnsi="Figtree"/>
                <w:b w:val="0"/>
                <w:i w:val="0"/>
                <w:sz w:val="20"/>
              </w:rPr>
              <w:t>$520,000</w:t>
            </w:r>
          </w:p>
        </w:tc>
        <w:tc>
          <w:tcPr>
            <w:tcW w:type="dxa" w:w="3249"/>
            <w:vAlign w:val="center"/>
          </w:tcPr>
          <w:p>
            <w:pPr>
              <w:spacing w:line="276" w:lineRule="auto" w:before="0" w:after="0"/>
            </w:pPr>
            <w:r/>
            <w:r>
              <w:rPr>
                <w:rFonts w:ascii="Figtree" w:hAnsi="Figtree"/>
                <w:b w:val="0"/>
                <w:i w:val="0"/>
                <w:sz w:val="20"/>
              </w:rPr>
              <w:t>$520,000</w:t>
            </w:r>
          </w:p>
        </w:tc>
      </w:tr>
      <w:tr>
        <w:trPr>
          <w:trHeight w:val="425" w:hRule="atLeast"/>
        </w:trPr>
        <w:tc>
          <w:tcPr>
            <w:tcW w:type="dxa" w:w="3249"/>
            <w:vAlign w:val="center"/>
          </w:tcPr>
          <w:p>
            <w:pPr>
              <w:spacing w:line="276" w:lineRule="auto" w:before="0" w:after="0"/>
            </w:pPr>
            <w:r/>
            <w:r>
              <w:rPr>
                <w:rFonts w:ascii="Figtree" w:hAnsi="Figtree"/>
                <w:b/>
                <w:i w:val="0"/>
                <w:sz w:val="20"/>
              </w:rPr>
              <w:t>Net annual benefit</w:t>
            </w:r>
          </w:p>
        </w:tc>
        <w:tc>
          <w:tcPr>
            <w:tcW w:type="dxa" w:w="3249"/>
            <w:vAlign w:val="center"/>
          </w:tcPr>
          <w:p>
            <w:pPr>
              <w:spacing w:line="276" w:lineRule="auto" w:before="0" w:after="0"/>
            </w:pPr>
            <w:r/>
            <w:r>
              <w:rPr>
                <w:rFonts w:ascii="Figtree" w:hAnsi="Figtree"/>
                <w:b/>
                <w:i w:val="0"/>
                <w:sz w:val="20"/>
              </w:rPr>
              <w:t>$260,000</w:t>
            </w:r>
          </w:p>
        </w:tc>
        <w:tc>
          <w:tcPr>
            <w:tcW w:type="dxa" w:w="3249"/>
            <w:vAlign w:val="center"/>
          </w:tcPr>
          <w:p>
            <w:pPr>
              <w:spacing w:line="276" w:lineRule="auto" w:before="0" w:after="0"/>
            </w:pPr>
            <w:r/>
            <w:r>
              <w:rPr>
                <w:rFonts w:ascii="Figtree" w:hAnsi="Figtree"/>
                <w:b/>
                <w:i w:val="0"/>
                <w:sz w:val="20"/>
              </w:rPr>
              <w:t>$1,060,000</w:t>
            </w:r>
          </w:p>
        </w:tc>
      </w:tr>
    </w:tbl>
    <w:p>
      <w:pPr>
        <w:spacing w:before="0" w:after="0" w:line="120" w:lineRule="exact"/>
      </w:pPr>
    </w:p>
    <w:p>
      <w:r>
        <w:rPr>
          <w:rFonts w:ascii="Figtree" w:hAnsi="Figtree"/>
          <w:b w:val="0"/>
          <w:i w:val="0"/>
          <w:sz w:val="22"/>
        </w:rPr>
        <w:t>At the conservative estimate, the platform investment achieves positive ROI within Year 2 of operation. At the optimistic estimate, the annual return exceeds the total annual platform cost by more than two times.</w:t>
      </w:r>
    </w:p>
    <w:p>
      <w:r>
        <w:br w:type="page"/>
      </w:r>
    </w:p>
    <w:p>
      <w:pPr>
        <w:pStyle w:val="H1"/>
        <w:numPr>
          <w:ilvl w:val="0"/>
          <w:numId w:val="1"/>
        </w:numPr>
      </w:pPr>
      <w:r>
        <w:t>Payment Terms</w:t>
      </w:r>
    </w:p>
    <w:p>
      <w:pPr>
        <w:pStyle w:val="H2"/>
        <w:numPr>
          <w:ilvl w:val="1"/>
          <w:numId w:val="1"/>
        </w:numPr>
      </w:pPr>
      <w:r>
        <w:t>Milestone-Based Structure</w:t>
      </w:r>
    </w:p>
    <w:p>
      <w:r>
        <w:rPr>
          <w:rFonts w:ascii="Figtree" w:hAnsi="Figtree"/>
          <w:b w:val="0"/>
          <w:i w:val="0"/>
          <w:sz w:val="22"/>
        </w:rPr>
        <w:t>Payment is structured on a milestone basis with 30% upfront commitment and 70% tied to delivery gates: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5"/>
        <w:gridCol w:w="2085"/>
        <w:gridCol w:w="2189"/>
        <w:gridCol w:w="19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Percentage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 (Enterprise)</w:t>
            </w:r>
          </w:p>
        </w:tc>
      </w:tr>
      <w:tr>
        <w:trPr>
          <w:trHeight w:val="425" w:hRule="atLeast"/>
        </w:trPr>
        <w:tc>
          <w:tcPr>
            <w:tcW w:type="dxa" w:w="2436"/>
            <w:vAlign w:val="center"/>
          </w:tcPr>
          <w:p>
            <w:pPr>
              <w:spacing w:line="276" w:lineRule="auto" w:before="0" w:after="0"/>
            </w:pPr>
            <w:r/>
            <w:r>
              <w:rPr>
                <w:rFonts w:ascii="Figtree" w:hAnsi="Figtree"/>
                <w:b w:val="0"/>
                <w:i w:val="0"/>
                <w:sz w:val="20"/>
              </w:rPr>
              <w:t>Contract signature</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30% of Year 1</w:t>
            </w:r>
          </w:p>
        </w:tc>
        <w:tc>
          <w:tcPr>
            <w:tcW w:type="dxa" w:w="2436"/>
            <w:vAlign w:val="center"/>
          </w:tcPr>
          <w:p>
            <w:pPr>
              <w:spacing w:line="276" w:lineRule="auto" w:before="0" w:after="0"/>
            </w:pPr>
            <w:r/>
            <w:r>
              <w:rPr>
                <w:rFonts w:ascii="Figtree" w:hAnsi="Figtree"/>
                <w:b w:val="0"/>
                <w:i w:val="0"/>
                <w:sz w:val="20"/>
              </w:rPr>
              <w:t>$210,000</w:t>
            </w:r>
          </w:p>
        </w:tc>
      </w:tr>
      <w:tr>
        <w:trPr>
          <w:trHeight w:val="425" w:hRule="atLeast"/>
        </w:trPr>
        <w:tc>
          <w:tcPr>
            <w:tcW w:type="dxa" w:w="2436"/>
            <w:vAlign w:val="center"/>
          </w:tcPr>
          <w:p>
            <w:pPr>
              <w:spacing w:line="276" w:lineRule="auto" w:before="0" w:after="0"/>
            </w:pPr>
            <w:r/>
            <w:r>
              <w:rPr>
                <w:rFonts w:ascii="Figtree" w:hAnsi="Figtree"/>
                <w:b w:val="0"/>
                <w:i w:val="0"/>
                <w:sz w:val="20"/>
              </w:rPr>
              <w:t>Phase 1 deployment complete</w:t>
            </w:r>
          </w:p>
        </w:tc>
        <w:tc>
          <w:tcPr>
            <w:tcW w:type="dxa" w:w="2436"/>
            <w:vAlign w:val="center"/>
          </w:tcPr>
          <w:p>
            <w:pPr>
              <w:spacing w:line="276" w:lineRule="auto" w:before="0" w:after="0"/>
            </w:pPr>
            <w:r/>
            <w:r>
              <w:rPr>
                <w:rFonts w:ascii="Figtree" w:hAnsi="Figtree"/>
                <w:b w:val="0"/>
                <w:i w:val="0"/>
                <w:sz w:val="20"/>
              </w:rPr>
              <w:t>End of Week 12</w:t>
            </w:r>
          </w:p>
        </w:tc>
        <w:tc>
          <w:tcPr>
            <w:tcW w:type="dxa" w:w="2436"/>
            <w:vAlign w:val="center"/>
          </w:tcPr>
          <w:p>
            <w:pPr>
              <w:spacing w:line="276" w:lineRule="auto" w:before="0" w:after="0"/>
            </w:pPr>
            <w:r/>
            <w:r>
              <w:rPr>
                <w:rFonts w:ascii="Figtree" w:hAnsi="Figtree"/>
                <w:b w:val="0"/>
                <w:i w:val="0"/>
                <w:sz w:val="20"/>
              </w:rPr>
              <w:t>25% of implementation</w:t>
            </w:r>
          </w:p>
        </w:tc>
        <w:tc>
          <w:tcPr>
            <w:tcW w:type="dxa" w:w="2436"/>
            <w:vAlign w:val="center"/>
          </w:tcPr>
          <w:p>
            <w:pPr>
              <w:spacing w:line="276" w:lineRule="auto" w:before="0" w:after="0"/>
            </w:pPr>
            <w:r/>
            <w:r>
              <w:rPr>
                <w:rFonts w:ascii="Figtree" w:hAnsi="Figtree"/>
                <w:b w:val="0"/>
                <w:i w:val="0"/>
                <w:sz w:val="20"/>
              </w:rPr>
              <w:t>$45,000</w:t>
            </w:r>
          </w:p>
        </w:tc>
      </w:tr>
      <w:tr>
        <w:trPr>
          <w:trHeight w:val="425" w:hRule="atLeast"/>
        </w:trPr>
        <w:tc>
          <w:tcPr>
            <w:tcW w:type="dxa" w:w="2436"/>
            <w:vAlign w:val="center"/>
          </w:tcPr>
          <w:p>
            <w:pPr>
              <w:spacing w:line="276" w:lineRule="auto" w:before="0" w:after="0"/>
            </w:pPr>
            <w:r/>
            <w:r>
              <w:rPr>
                <w:rFonts w:ascii="Figtree" w:hAnsi="Figtree"/>
                <w:b w:val="0"/>
                <w:i w:val="0"/>
                <w:sz w:val="20"/>
              </w:rPr>
              <w:t>Phase 1 go-live acceptance</w:t>
            </w:r>
          </w:p>
        </w:tc>
        <w:tc>
          <w:tcPr>
            <w:tcW w:type="dxa" w:w="2436"/>
            <w:vAlign w:val="center"/>
          </w:tcPr>
          <w:p>
            <w:pPr>
              <w:spacing w:line="276" w:lineRule="auto" w:before="0" w:after="0"/>
            </w:pPr>
            <w:r/>
            <w:r>
              <w:rPr>
                <w:rFonts w:ascii="Figtree" w:hAnsi="Figtree"/>
                <w:b w:val="0"/>
                <w:i w:val="0"/>
                <w:sz w:val="20"/>
              </w:rPr>
              <w:t>2 weeks post go-live</w:t>
            </w:r>
          </w:p>
        </w:tc>
        <w:tc>
          <w:tcPr>
            <w:tcW w:type="dxa" w:w="2436"/>
            <w:vAlign w:val="center"/>
          </w:tcPr>
          <w:p>
            <w:pPr>
              <w:spacing w:line="276" w:lineRule="auto" w:before="0" w:after="0"/>
            </w:pPr>
            <w:r/>
            <w:r>
              <w:rPr>
                <w:rFonts w:ascii="Figtree" w:hAnsi="Figtree"/>
                <w:b w:val="0"/>
                <w:i w:val="0"/>
                <w:sz w:val="20"/>
              </w:rPr>
              <w:t>15% of implementation</w:t>
            </w:r>
          </w:p>
        </w:tc>
        <w:tc>
          <w:tcPr>
            <w:tcW w:type="dxa" w:w="2436"/>
            <w:vAlign w:val="center"/>
          </w:tcPr>
          <w:p>
            <w:pPr>
              <w:spacing w:line="276" w:lineRule="auto" w:before="0" w:after="0"/>
            </w:pPr>
            <w:r/>
            <w:r>
              <w:rPr>
                <w:rFonts w:ascii="Figtree" w:hAnsi="Figtree"/>
                <w:b w:val="0"/>
                <w:i w:val="0"/>
                <w:sz w:val="20"/>
              </w:rPr>
              <w:t>$27,000</w:t>
            </w:r>
          </w:p>
        </w:tc>
      </w:tr>
      <w:tr>
        <w:trPr>
          <w:trHeight w:val="425" w:hRule="atLeast"/>
        </w:trPr>
        <w:tc>
          <w:tcPr>
            <w:tcW w:type="dxa" w:w="2436"/>
            <w:vAlign w:val="center"/>
          </w:tcPr>
          <w:p>
            <w:pPr>
              <w:spacing w:line="276" w:lineRule="auto" w:before="0" w:after="0"/>
            </w:pPr>
            <w:r/>
            <w:r>
              <w:rPr>
                <w:rFonts w:ascii="Figtree" w:hAnsi="Figtree"/>
                <w:b w:val="0"/>
                <w:i w:val="0"/>
                <w:sz w:val="20"/>
              </w:rPr>
              <w:t>Phase 2 deployment complete</w:t>
            </w:r>
          </w:p>
        </w:tc>
        <w:tc>
          <w:tcPr>
            <w:tcW w:type="dxa" w:w="2436"/>
            <w:vAlign w:val="center"/>
          </w:tcPr>
          <w:p>
            <w:pPr>
              <w:spacing w:line="276" w:lineRule="auto" w:before="0" w:after="0"/>
            </w:pPr>
            <w:r/>
            <w:r>
              <w:rPr>
                <w:rFonts w:ascii="Figtree" w:hAnsi="Figtree"/>
                <w:b w:val="0"/>
                <w:i w:val="0"/>
                <w:sz w:val="20"/>
              </w:rPr>
              <w:t>End of Week 24</w:t>
            </w:r>
          </w:p>
        </w:tc>
        <w:tc>
          <w:tcPr>
            <w:tcW w:type="dxa" w:w="2436"/>
            <w:vAlign w:val="center"/>
          </w:tcPr>
          <w:p>
            <w:pPr>
              <w:spacing w:line="276" w:lineRule="auto" w:before="0" w:after="0"/>
            </w:pPr>
            <w:r/>
            <w:r>
              <w:rPr>
                <w:rFonts w:ascii="Figtree" w:hAnsi="Figtree"/>
                <w:b w:val="0"/>
                <w:i w:val="0"/>
                <w:sz w:val="20"/>
              </w:rPr>
              <w:t>15% of implementation</w:t>
            </w:r>
          </w:p>
        </w:tc>
        <w:tc>
          <w:tcPr>
            <w:tcW w:type="dxa" w:w="2436"/>
            <w:vAlign w:val="center"/>
          </w:tcPr>
          <w:p>
            <w:pPr>
              <w:spacing w:line="276" w:lineRule="auto" w:before="0" w:after="0"/>
            </w:pPr>
            <w:r/>
            <w:r>
              <w:rPr>
                <w:rFonts w:ascii="Figtree" w:hAnsi="Figtree"/>
                <w:b w:val="0"/>
                <w:i w:val="0"/>
                <w:sz w:val="20"/>
              </w:rPr>
              <w:t>$45,000</w:t>
            </w:r>
          </w:p>
        </w:tc>
      </w:tr>
      <w:tr>
        <w:trPr>
          <w:trHeight w:val="425" w:hRule="atLeast"/>
        </w:trPr>
        <w:tc>
          <w:tcPr>
            <w:tcW w:type="dxa" w:w="2436"/>
            <w:vAlign w:val="center"/>
          </w:tcPr>
          <w:p>
            <w:pPr>
              <w:spacing w:line="276" w:lineRule="auto" w:before="0" w:after="0"/>
            </w:pPr>
            <w:r/>
            <w:r>
              <w:rPr>
                <w:rFonts w:ascii="Figtree" w:hAnsi="Figtree"/>
                <w:b w:val="0"/>
                <w:i w:val="0"/>
                <w:sz w:val="20"/>
              </w:rPr>
              <w:t>Phase 3 go-live acceptance</w:t>
            </w:r>
          </w:p>
        </w:tc>
        <w:tc>
          <w:tcPr>
            <w:tcW w:type="dxa" w:w="2436"/>
            <w:vAlign w:val="center"/>
          </w:tcPr>
          <w:p>
            <w:pPr>
              <w:spacing w:line="276" w:lineRule="auto" w:before="0" w:after="0"/>
            </w:pPr>
            <w:r/>
            <w:r>
              <w:rPr>
                <w:rFonts w:ascii="Figtree" w:hAnsi="Figtree"/>
                <w:b w:val="0"/>
                <w:i w:val="0"/>
                <w:sz w:val="20"/>
              </w:rPr>
              <w:t>End of Week 36</w:t>
            </w:r>
          </w:p>
        </w:tc>
        <w:tc>
          <w:tcPr>
            <w:tcW w:type="dxa" w:w="2436"/>
            <w:vAlign w:val="center"/>
          </w:tcPr>
          <w:p>
            <w:pPr>
              <w:spacing w:line="276" w:lineRule="auto" w:before="0" w:after="0"/>
            </w:pPr>
            <w:r/>
            <w:r>
              <w:rPr>
                <w:rFonts w:ascii="Figtree" w:hAnsi="Figtree"/>
                <w:b w:val="0"/>
                <w:i w:val="0"/>
                <w:sz w:val="20"/>
              </w:rPr>
              <w:t>15% of implementation</w:t>
            </w:r>
          </w:p>
        </w:tc>
        <w:tc>
          <w:tcPr>
            <w:tcW w:type="dxa" w:w="2436"/>
            <w:vAlign w:val="center"/>
          </w:tcPr>
          <w:p>
            <w:pPr>
              <w:spacing w:line="276" w:lineRule="auto" w:before="0" w:after="0"/>
            </w:pPr>
            <w:r/>
            <w:r>
              <w:rPr>
                <w:rFonts w:ascii="Figtree" w:hAnsi="Figtree"/>
                <w:b w:val="0"/>
                <w:i w:val="0"/>
                <w:sz w:val="20"/>
              </w:rPr>
              <w:t>$63,000</w:t>
            </w:r>
          </w:p>
        </w:tc>
      </w:tr>
    </w:tbl>
    <w:p>
      <w:pPr>
        <w:spacing w:before="0" w:after="0" w:line="120" w:lineRule="exact"/>
      </w:pPr>
    </w:p>
    <w:p>
      <w:pPr>
        <w:pStyle w:val="H2"/>
        <w:numPr>
          <w:ilvl w:val="1"/>
          <w:numId w:val="1"/>
        </w:numPr>
      </w:pPr>
      <w:r>
        <w:t>Invoicing Schedule</w:t>
      </w:r>
    </w:p>
    <w:p>
      <w:pPr>
        <w:pStyle w:val="ListParagraph"/>
        <w:numPr>
          <w:ilvl w:val="0"/>
          <w:numId w:val="4"/>
        </w:numPr>
      </w:pPr>
      <w:r>
        <w:rPr>
          <w:rFonts w:ascii="Figtree" w:hAnsi="Figtree"/>
          <w:b/>
          <w:i w:val="0"/>
          <w:sz w:val="22"/>
        </w:rPr>
        <w:t>Platform license:</w:t>
      </w:r>
      <w:r>
        <w:rPr>
          <w:rFonts w:ascii="Figtree" w:hAnsi="Figtree"/>
          <w:b w:val="0"/>
          <w:i w:val="0"/>
          <w:sz w:val="22"/>
        </w:rPr>
        <w:t xml:space="preserve"> Invoiced annually in advance. First year invoiced at contract signature.</w:t>
      </w:r>
    </w:p>
    <w:p>
      <w:pPr>
        <w:pStyle w:val="ListParagraph"/>
        <w:numPr>
          <w:ilvl w:val="0"/>
          <w:numId w:val="4"/>
        </w:numPr>
      </w:pPr>
      <w:r>
        <w:rPr>
          <w:rFonts w:ascii="Figtree" w:hAnsi="Figtree"/>
          <w:b/>
          <w:i w:val="0"/>
          <w:sz w:val="22"/>
        </w:rPr>
        <w:t>Implementation fees:</w:t>
      </w:r>
      <w:r>
        <w:rPr>
          <w:rFonts w:ascii="Figtree" w:hAnsi="Figtree"/>
          <w:b w:val="0"/>
          <w:i w:val="0"/>
          <w:sz w:val="22"/>
        </w:rPr>
        <w:t xml:space="preserve"> Invoiced at milestone achievement, payable within 30 days.</w:t>
      </w:r>
    </w:p>
    <w:p>
      <w:pPr>
        <w:pStyle w:val="ListParagraph"/>
        <w:numPr>
          <w:ilvl w:val="0"/>
          <w:numId w:val="4"/>
        </w:numPr>
      </w:pPr>
      <w:r>
        <w:rPr>
          <w:rFonts w:ascii="Figtree" w:hAnsi="Figtree"/>
          <w:b/>
          <w:i w:val="0"/>
          <w:sz w:val="22"/>
        </w:rPr>
        <w:t>Support fees:</w:t>
      </w:r>
      <w:r>
        <w:rPr>
          <w:rFonts w:ascii="Figtree" w:hAnsi="Figtree"/>
          <w:b w:val="0"/>
          <w:i w:val="0"/>
          <w:sz w:val="22"/>
        </w:rPr>
        <w:t xml:space="preserve"> Invoiced quarterly in advance, starting from Phase 1 go-live.</w:t>
      </w:r>
    </w:p>
    <w:p>
      <w:pPr>
        <w:pStyle w:val="ListParagraph"/>
        <w:numPr>
          <w:ilvl w:val="0"/>
          <w:numId w:val="4"/>
        </w:numPr>
      </w:pPr>
      <w:r>
        <w:rPr>
          <w:rFonts w:ascii="Figtree" w:hAnsi="Figtree"/>
          <w:b/>
          <w:i w:val="0"/>
          <w:sz w:val="22"/>
        </w:rPr>
        <w:t>Currency:</w:t>
      </w:r>
      <w:r>
        <w:rPr>
          <w:rFonts w:ascii="Figtree" w:hAnsi="Figtree"/>
          <w:b w:val="0"/>
          <w:i w:val="0"/>
          <w:sz w:val="22"/>
        </w:rPr>
        <w:t xml:space="preserve"> All pricing in USD. Invoices payable in USD or equivalent NGN at the CBN official rate on the invoice date.</w:t>
      </w:r>
    </w:p>
    <w:p>
      <w:pPr>
        <w:pStyle w:val="H2"/>
        <w:numPr>
          <w:ilvl w:val="1"/>
          <w:numId w:val="1"/>
        </w:numPr>
      </w:pPr>
      <w:r>
        <w:t>Phase Gate Conditions</w:t>
      </w:r>
    </w:p>
    <w:p>
      <w:r>
        <w:rPr>
          <w:rFonts w:ascii="Figtree" w:hAnsi="Figtree"/>
          <w:b w:val="0"/>
          <w:i w:val="0"/>
          <w:sz w:val="22"/>
        </w:rPr>
        <w:t>Each phase milestone is subject to defined acceptance criteria documented in the statement of work. Acceptance is granted when:</w:t>
      </w:r>
    </w:p>
    <w:p>
      <w:pPr>
        <w:pStyle w:val="ListParagraph"/>
        <w:numPr>
          <w:ilvl w:val="0"/>
          <w:numId w:val="6"/>
        </w:numPr>
      </w:pPr>
      <w:r>
        <w:rPr>
          <w:rFonts w:ascii="Figtree" w:hAnsi="Figtree"/>
          <w:b w:val="0"/>
          <w:i w:val="0"/>
          <w:sz w:val="22"/>
        </w:rPr>
        <w:t>All deliverables specified in the milestone are submitted</w:t>
      </w:r>
    </w:p>
    <w:p>
      <w:pPr>
        <w:pStyle w:val="ListParagraph"/>
        <w:numPr>
          <w:ilvl w:val="0"/>
          <w:numId w:val="6"/>
        </w:numPr>
      </w:pPr>
      <w:r>
        <w:rPr>
          <w:rFonts w:ascii="Figtree" w:hAnsi="Figtree"/>
          <w:b w:val="0"/>
          <w:i w:val="0"/>
          <w:sz w:val="22"/>
        </w:rPr>
        <w:t>Functional testing confirms settlement operations execute correctly</w:t>
      </w:r>
    </w:p>
    <w:p>
      <w:pPr>
        <w:pStyle w:val="ListParagraph"/>
        <w:numPr>
          <w:ilvl w:val="0"/>
          <w:numId w:val="6"/>
        </w:numPr>
      </w:pPr>
      <w:r>
        <w:rPr>
          <w:rFonts w:ascii="Figtree" w:hAnsi="Figtree"/>
          <w:b w:val="0"/>
          <w:i w:val="0"/>
          <w:sz w:val="22"/>
        </w:rPr>
        <w:t>Security testing confirms no critical or high-severity vulnerabilities</w:t>
      </w:r>
    </w:p>
    <w:p>
      <w:pPr>
        <w:pStyle w:val="ListParagraph"/>
        <w:numPr>
          <w:ilvl w:val="0"/>
          <w:numId w:val="6"/>
        </w:numPr>
      </w:pPr>
      <w:r>
        <w:rPr>
          <w:rFonts w:ascii="Figtree" w:hAnsi="Figtree"/>
          <w:b w:val="0"/>
          <w:i w:val="0"/>
          <w:sz w:val="22"/>
        </w:rPr>
        <w:t>Operational documentation (runbooks, integration specifications) is delivered</w:t>
      </w:r>
    </w:p>
    <w:p>
      <w:pPr>
        <w:pStyle w:val="ListParagraph"/>
        <w:numPr>
          <w:ilvl w:val="0"/>
          <w:numId w:val="6"/>
        </w:numPr>
      </w:pPr>
      <w:r>
        <w:rPr>
          <w:rFonts w:ascii="Figtree" w:hAnsi="Figtree"/>
          <w:b w:val="0"/>
          <w:i w:val="0"/>
          <w:sz w:val="22"/>
        </w:rPr>
        <w:t>OPay's project team signs the milestone acceptance certificate</w:t>
      </w:r>
    </w:p>
    <w:p>
      <w:r>
        <w:rPr>
          <w:rFonts w:ascii="Figtree" w:hAnsi="Figtree"/>
          <w:b w:val="0"/>
          <w:i w:val="0"/>
          <w:sz w:val="22"/>
        </w:rPr>
        <w:t>If acceptance is withheld due to SettleMint's failure to meet documented acceptance criteria, SettleMint shall remediate at no additional cost within an agreed rectification period.</w:t>
      </w:r>
    </w:p>
    <w:p>
      <w:r>
        <w:br w:type="page"/>
      </w:r>
    </w:p>
    <w:p>
      <w:pPr>
        <w:pStyle w:val="H1"/>
        <w:numPr>
          <w:ilvl w:val="0"/>
          <w:numId w:val="1"/>
        </w:numPr>
      </w:pPr>
      <w:r>
        <w:t>Commercial Terms and SLAs</w:t>
      </w:r>
    </w:p>
    <w:p>
      <w:pPr>
        <w:pStyle w:val="H2"/>
        <w:numPr>
          <w:ilvl w:val="1"/>
          <w:numId w:val="1"/>
        </w:numPr>
      </w:pPr>
      <w:r>
        <w:t>Key Contractual Positions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3"/>
        <w:gridCol w:w="74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Contract term</w:t>
            </w:r>
          </w:p>
        </w:tc>
        <w:tc>
          <w:tcPr>
            <w:tcW w:type="dxa" w:w="4873"/>
            <w:vAlign w:val="center"/>
          </w:tcPr>
          <w:p>
            <w:pPr>
              <w:spacing w:line="276" w:lineRule="auto" w:before="0" w:after="0"/>
            </w:pPr>
            <w:r/>
            <w:r>
              <w:rPr>
                <w:rFonts w:ascii="Figtree" w:hAnsi="Figtree"/>
                <w:b w:val="0"/>
                <w:i w:val="0"/>
                <w:sz w:val="20"/>
              </w:rPr>
              <w:t>3 years initial term with annual renewal thereafter</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6 months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30 days cure period for material breach</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OPay owns all configuration, data, and integration artifacts. SettleMint retains ownership of the DALP platform and underlying IP.</w:t>
            </w:r>
          </w:p>
        </w:tc>
      </w:tr>
      <w:tr>
        <w:trPr>
          <w:trHeight w:val="425" w:hRule="atLeast"/>
        </w:trPr>
        <w:tc>
          <w:tcPr>
            <w:tcW w:type="dxa" w:w="4873"/>
            <w:vAlign w:val="center"/>
          </w:tcPr>
          <w:p>
            <w:pPr>
              <w:spacing w:line="276" w:lineRule="auto" w:before="0" w:after="0"/>
            </w:pPr>
            <w:r/>
            <w:r>
              <w:rPr>
                <w:rFonts w:ascii="Figtree" w:hAnsi="Figtree"/>
                <w:b w:val="0"/>
                <w:i w:val="0"/>
                <w:sz w:val="20"/>
              </w:rPr>
              <w:t>Data ownership</w:t>
            </w:r>
          </w:p>
        </w:tc>
        <w:tc>
          <w:tcPr>
            <w:tcW w:type="dxa" w:w="4873"/>
            <w:vAlign w:val="center"/>
          </w:tcPr>
          <w:p>
            <w:pPr>
              <w:spacing w:line="276" w:lineRule="auto" w:before="0" w:after="0"/>
            </w:pPr>
            <w:r/>
            <w:r>
              <w:rPr>
                <w:rFonts w:ascii="Figtree" w:hAnsi="Figtree"/>
                <w:b w:val="0"/>
                <w:i w:val="0"/>
                <w:sz w:val="20"/>
              </w:rPr>
              <w:t>OPay owns all data processed by the platform. SettleMint has no rights to OPay's data beyond platform operation.</w:t>
            </w:r>
          </w:p>
        </w:tc>
      </w:tr>
      <w:tr>
        <w:trPr>
          <w:trHeight w:val="425" w:hRule="atLeast"/>
        </w:trPr>
        <w:tc>
          <w:tcPr>
            <w:tcW w:type="dxa" w:w="4873"/>
            <w:vAlign w:val="center"/>
          </w:tcPr>
          <w:p>
            <w:pPr>
              <w:spacing w:line="276" w:lineRule="auto" w:before="0" w:after="0"/>
            </w:pPr>
            <w:r/>
            <w:r>
              <w:rPr>
                <w:rFonts w:ascii="Figtree" w:hAnsi="Figtree"/>
                <w:b w:val="0"/>
                <w:i w:val="0"/>
                <w:sz w:val="20"/>
              </w:rPr>
              <w:t>Data portability</w:t>
            </w:r>
          </w:p>
        </w:tc>
        <w:tc>
          <w:tcPr>
            <w:tcW w:type="dxa" w:w="4873"/>
            <w:vAlign w:val="center"/>
          </w:tcPr>
          <w:p>
            <w:pPr>
              <w:spacing w:line="276" w:lineRule="auto" w:before="0" w:after="0"/>
            </w:pPr>
            <w:r/>
            <w:r>
              <w:rPr>
                <w:rFonts w:ascii="Figtree" w:hAnsi="Figtree"/>
                <w:b w:val="0"/>
                <w:i w:val="0"/>
                <w:sz w:val="20"/>
              </w:rPr>
              <w:t>SettleMint provides data export in standard formats (JSON, CSV) upon contract termination. Export includes all settlement records, configuration, and audit logs.</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6-month transition assistance period included in the contract, covering data migration support, knowledge transfer, and parallel operation during transition to a successor platform.</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12 months of fees paid under the contract</w:t>
            </w:r>
          </w:p>
        </w:tc>
      </w:tr>
      <w:tr>
        <w:trPr>
          <w:trHeight w:val="425" w:hRule="atLeast"/>
        </w:trPr>
        <w:tc>
          <w:tcPr>
            <w:tcW w:type="dxa" w:w="4873"/>
            <w:vAlign w:val="center"/>
          </w:tcPr>
          <w:p>
            <w:pPr>
              <w:spacing w:line="276" w:lineRule="auto" w:before="0" w:after="0"/>
            </w:pPr>
            <w:r/>
            <w:r>
              <w:rPr>
                <w:rFonts w:ascii="Figtree" w:hAnsi="Figtree"/>
                <w:b w:val="0"/>
                <w:i w:val="0"/>
                <w:sz w:val="20"/>
              </w:rPr>
              <w:t>Insurance</w:t>
            </w:r>
          </w:p>
        </w:tc>
        <w:tc>
          <w:tcPr>
            <w:tcW w:type="dxa" w:w="4873"/>
            <w:vAlign w:val="center"/>
          </w:tcPr>
          <w:p>
            <w:pPr>
              <w:spacing w:line="276" w:lineRule="auto" w:before="0" w:after="0"/>
            </w:pPr>
            <w:r/>
            <w:r>
              <w:rPr>
                <w:rFonts w:ascii="Figtree" w:hAnsi="Figtree"/>
                <w:b w:val="0"/>
                <w:i w:val="0"/>
                <w:sz w:val="20"/>
              </w:rPr>
              <w:t>SettleMint maintains professional indemnity and cyber liability insurance</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OPay has the right to audit SettleMint's security controls, data handling, and service delivery, subject to reasonable notice and scope agreement</w:t>
            </w:r>
          </w:p>
        </w:tc>
      </w:tr>
      <w:tr>
        <w:trPr>
          <w:trHeight w:val="425" w:hRule="atLeast"/>
        </w:trPr>
        <w:tc>
          <w:tcPr>
            <w:tcW w:type="dxa" w:w="4873"/>
            <w:vAlign w:val="center"/>
          </w:tcPr>
          <w:p>
            <w:pPr>
              <w:spacing w:line="276" w:lineRule="auto" w:before="0" w:after="0"/>
            </w:pPr>
            <w:r/>
            <w:r>
              <w:rPr>
                <w:rFonts w:ascii="Figtree" w:hAnsi="Figtree"/>
                <w:b w:val="0"/>
                <w:i w:val="0"/>
                <w:sz w:val="20"/>
              </w:rPr>
              <w:t>Subcontracting</w:t>
            </w:r>
          </w:p>
        </w:tc>
        <w:tc>
          <w:tcPr>
            <w:tcW w:type="dxa" w:w="4873"/>
            <w:vAlign w:val="center"/>
          </w:tcPr>
          <w:p>
            <w:pPr>
              <w:spacing w:line="276" w:lineRule="auto" w:before="0" w:after="0"/>
            </w:pPr>
            <w:r/>
            <w:r>
              <w:rPr>
                <w:rFonts w:ascii="Figtree" w:hAnsi="Figtree"/>
                <w:b w:val="0"/>
                <w:i w:val="0"/>
                <w:sz w:val="20"/>
              </w:rPr>
              <w:t>SettleMint will not subcontract material delivery obligations without OPay's prior written consent</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Scope changes managed through a formal change request process with impact assessment, pricing, and OPay approval before execution</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to senior management, then mediation, then arbitration under ICC rules</w:t>
            </w:r>
          </w:p>
        </w:tc>
      </w:tr>
    </w:tbl>
    <w:p>
      <w:pPr>
        <w:spacing w:before="0" w:after="0" w:line="120" w:lineRule="exact"/>
      </w:pPr>
    </w:p>
    <w:p>
      <w:pPr>
        <w:pStyle w:val="H2"/>
        <w:numPr>
          <w:ilvl w:val="1"/>
          <w:numId w:val="1"/>
        </w:numPr>
      </w:pPr>
      <w:r>
        <w:t>SLA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50"/>
        <w:gridCol w:w="572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response</w:t>
            </w:r>
          </w:p>
        </w:tc>
        <w:tc>
          <w:tcPr>
            <w:tcW w:type="dxa" w:w="4873"/>
            <w:vAlign w:val="center"/>
          </w:tcPr>
          <w:p>
            <w:pPr>
              <w:spacing w:line="276" w:lineRule="auto" w:before="0" w:after="0"/>
            </w:pPr>
            <w:r/>
            <w:r>
              <w:rPr>
                <w:rFonts w:ascii="Figtree" w:hAnsi="Figtree"/>
                <w:b w:val="0"/>
                <w:i w:val="0"/>
                <w:sz w:val="20"/>
              </w:rPr>
              <w:t>15 minutes (Enterprise)</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incident response</w:t>
            </w:r>
          </w:p>
        </w:tc>
        <w:tc>
          <w:tcPr>
            <w:tcW w:type="dxa" w:w="4873"/>
            <w:vAlign w:val="center"/>
          </w:tcPr>
          <w:p>
            <w:pPr>
              <w:spacing w:line="276" w:lineRule="auto" w:before="0" w:after="0"/>
            </w:pPr>
            <w:r/>
            <w:r>
              <w:rPr>
                <w:rFonts w:ascii="Figtree" w:hAnsi="Figtree"/>
                <w:b w:val="0"/>
                <w:i w:val="0"/>
                <w:sz w:val="20"/>
              </w:rPr>
              <w:t>1 hour (Enterprise)</w:t>
            </w:r>
          </w:p>
        </w:tc>
      </w:tr>
      <w:tr>
        <w:trPr>
          <w:trHeight w:val="425" w:hRule="atLeast"/>
        </w:trPr>
        <w:tc>
          <w:tcPr>
            <w:tcW w:type="dxa" w:w="4873"/>
            <w:vAlign w:val="center"/>
          </w:tcPr>
          <w:p>
            <w:pPr>
              <w:spacing w:line="276" w:lineRule="auto" w:before="0" w:after="0"/>
            </w:pPr>
            <w:r/>
            <w:r>
              <w:rPr>
                <w:rFonts w:ascii="Figtree" w:hAnsi="Figtree"/>
                <w:b w:val="0"/>
                <w:i w:val="0"/>
                <w:sz w:val="20"/>
              </w:rPr>
              <w:t>P2 incident resolution</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Maximum 4 hours/month, 72-hour advance notice</w:t>
            </w:r>
          </w:p>
        </w:tc>
      </w:tr>
      <w:tr>
        <w:trPr>
          <w:trHeight w:val="425" w:hRule="atLeast"/>
        </w:trPr>
        <w:tc>
          <w:tcPr>
            <w:tcW w:type="dxa" w:w="4873"/>
            <w:vAlign w:val="center"/>
          </w:tcPr>
          <w:p>
            <w:pPr>
              <w:spacing w:line="276" w:lineRule="auto" w:before="0" w:after="0"/>
            </w:pPr>
            <w:r/>
            <w:r>
              <w:rPr>
                <w:rFonts w:ascii="Figtree" w:hAnsi="Figtree"/>
                <w:b w:val="0"/>
                <w:i w:val="0"/>
                <w:sz w:val="20"/>
              </w:rPr>
              <w:t>Platform upgrade support</w:t>
            </w:r>
          </w:p>
        </w:tc>
        <w:tc>
          <w:tcPr>
            <w:tcW w:type="dxa" w:w="4873"/>
            <w:vAlign w:val="center"/>
          </w:tcPr>
          <w:p>
            <w:pPr>
              <w:spacing w:line="276" w:lineRule="auto" w:before="0" w:after="0"/>
            </w:pPr>
            <w:r/>
            <w:r>
              <w:rPr>
                <w:rFonts w:ascii="Figtree" w:hAnsi="Figtree"/>
                <w:b w:val="0"/>
                <w:i w:val="0"/>
                <w:sz w:val="20"/>
              </w:rPr>
              <w:t>Coordinated with zero-downtime deployment target</w:t>
            </w:r>
          </w:p>
        </w:tc>
      </w:tr>
      <w:tr>
        <w:trPr>
          <w:trHeight w:val="425" w:hRule="atLeast"/>
        </w:trPr>
        <w:tc>
          <w:tcPr>
            <w:tcW w:type="dxa" w:w="4873"/>
            <w:vAlign w:val="center"/>
          </w:tcPr>
          <w:p>
            <w:pPr>
              <w:spacing w:line="276" w:lineRule="auto" w:before="0" w:after="0"/>
            </w:pPr>
            <w:r/>
            <w:r>
              <w:rPr>
                <w:rFonts w:ascii="Figtree" w:hAnsi="Figtree"/>
                <w:b w:val="0"/>
                <w:i w:val="0"/>
                <w:sz w:val="20"/>
              </w:rPr>
              <w:t>Data export on termination</w:t>
            </w:r>
          </w:p>
        </w:tc>
        <w:tc>
          <w:tcPr>
            <w:tcW w:type="dxa" w:w="4873"/>
            <w:vAlign w:val="center"/>
          </w:tcPr>
          <w:p>
            <w:pPr>
              <w:spacing w:line="276" w:lineRule="auto" w:before="0" w:after="0"/>
            </w:pPr>
            <w:r/>
            <w:r>
              <w:rPr>
                <w:rFonts w:ascii="Figtree" w:hAnsi="Figtree"/>
                <w:b w:val="0"/>
                <w:i w:val="0"/>
                <w:sz w:val="20"/>
              </w:rPr>
              <w:t>Within 30 days of termination notice</w:t>
            </w:r>
          </w:p>
        </w:tc>
      </w:tr>
    </w:tbl>
    <w:p>
      <w:pPr>
        <w:spacing w:before="0" w:after="0" w:line="120" w:lineRule="exact"/>
      </w:pPr>
    </w:p>
    <w:p>
      <w:pPr>
        <w:pStyle w:val="H2"/>
        <w:numPr>
          <w:ilvl w:val="1"/>
          <w:numId w:val="1"/>
        </w:numPr>
      </w:pPr>
      <w:r>
        <w:t>Financial Stability</w:t>
      </w:r>
    </w:p>
    <w:p>
      <w:r>
        <w:rPr>
          <w:rFonts w:ascii="Figtree" w:hAnsi="Figtree"/>
          <w:b w:val="0"/>
          <w:i w:val="0"/>
          <w:sz w:val="22"/>
        </w:rPr>
        <w:t>SettleMint NV is a privately held company headquartered in Leuven, Belgium. The company has been operational since 2016 and serves regulated financial institutions across Europe, the Middle East, Africa, and Asia-Pacific. SettleMint maintains:</w:t>
      </w:r>
    </w:p>
    <w:p>
      <w:pPr>
        <w:pStyle w:val="ListParagraph"/>
        <w:numPr>
          <w:ilvl w:val="0"/>
          <w:numId w:val="4"/>
        </w:numPr>
      </w:pPr>
      <w:r>
        <w:rPr>
          <w:rFonts w:ascii="Figtree" w:hAnsi="Figtree"/>
          <w:b w:val="0"/>
          <w:i w:val="0"/>
          <w:sz w:val="22"/>
        </w:rPr>
        <w:t>Sufficient capitalization to support multi-year delivery commitments</w:t>
      </w:r>
    </w:p>
    <w:p>
      <w:pPr>
        <w:pStyle w:val="ListParagraph"/>
        <w:numPr>
          <w:ilvl w:val="0"/>
          <w:numId w:val="4"/>
        </w:numPr>
      </w:pPr>
      <w:r>
        <w:rPr>
          <w:rFonts w:ascii="Figtree" w:hAnsi="Figtree"/>
          <w:b w:val="0"/>
          <w:i w:val="0"/>
          <w:sz w:val="22"/>
        </w:rPr>
        <w:t>No material litigation or regulatory actions that would affect delivery capability</w:t>
      </w:r>
    </w:p>
    <w:p>
      <w:pPr>
        <w:pStyle w:val="ListParagraph"/>
        <w:numPr>
          <w:ilvl w:val="0"/>
          <w:numId w:val="4"/>
        </w:numPr>
      </w:pPr>
      <w:r>
        <w:rPr>
          <w:rFonts w:ascii="Figtree" w:hAnsi="Figtree"/>
          <w:b w:val="0"/>
          <w:i w:val="0"/>
          <w:sz w:val="22"/>
        </w:rPr>
        <w:t>Professional indemnity insurance and cyber liability coverage</w:t>
      </w:r>
    </w:p>
    <w:p>
      <w:pPr>
        <w:pStyle w:val="ListParagraph"/>
        <w:numPr>
          <w:ilvl w:val="0"/>
          <w:numId w:val="4"/>
        </w:numPr>
      </w:pPr>
      <w:r>
        <w:rPr>
          <w:rFonts w:ascii="Figtree" w:hAnsi="Figtree"/>
          <w:b w:val="0"/>
          <w:i w:val="0"/>
          <w:sz w:val="22"/>
        </w:rPr>
        <w:t>A diversified client base across multiple geographies and financial sectors</w:t>
      </w:r>
    </w:p>
    <w:p>
      <w:pPr>
        <w:pStyle w:val="ListParagraph"/>
        <w:numPr>
          <w:ilvl w:val="0"/>
          <w:numId w:val="4"/>
        </w:numPr>
      </w:pPr>
      <w:r>
        <w:rPr>
          <w:rFonts w:ascii="Figtree" w:hAnsi="Figtree"/>
          <w:b w:val="0"/>
          <w:i w:val="0"/>
          <w:sz w:val="22"/>
        </w:rPr>
        <w:t>No single-vendor dependency for core platform delivery (all critical components are developed and maintained in-house)</w:t>
      </w:r>
    </w:p>
    <w:p>
      <w:r>
        <w:rPr>
          <w:rFonts w:ascii="Figtree" w:hAnsi="Figtree"/>
          <w:b w:val="0"/>
          <w:i w:val="0"/>
          <w:sz w:val="22"/>
        </w:rPr>
        <w:t>SettleMint can provide additional financial stability documentation (recent audited accounts, funding history, insurance certificates) under NDA during the due diligence process.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