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Commercial Decision Framework</w:t>
          </w:r>
          <w:r>
            <w:tab/>
          </w:r>
          <w:r>
            <w:t xml:space="preserve">5</w:t>
          </w:r>
        </w:p>
        <w:p>
          <w:pPr>
            <w:pStyle w:val="TOC3"/>
            <w:tabs>
              <w:tab w:val="right" w:leader="dot" w:pos="9072"/>
            </w:tabs>
          </w:pPr>
          <w:r>
            <w:t xml:space="preserve">Build vs. Buy</w:t>
          </w:r>
          <w:r>
            <w:tab/>
          </w:r>
          <w:r>
            <w:t xml:space="preserve">6</w:t>
          </w:r>
        </w:p>
        <w:p>
          <w:pPr>
            <w:pStyle w:val="TOC3"/>
            <w:tabs>
              <w:tab w:val="right" w:leader="dot" w:pos="9072"/>
            </w:tabs>
          </w:pPr>
          <w:r>
            <w:t xml:space="preserve">Revenue Opportunity Cost</w:t>
          </w:r>
          <w:r>
            <w:tab/>
          </w:r>
          <w:r>
            <w:t xml:space="preserve">7</w:t>
          </w:r>
        </w:p>
        <w:p>
          <w:pPr>
            <w:pStyle w:val="TOC2"/>
            <w:tabs>
              <w:tab w:val="right" w:leader="dot" w:pos="9072"/>
            </w:tabs>
          </w:pPr>
          <w:r>
            <w:t xml:space="preserve">Licensing Model</w:t>
          </w:r>
          <w:r>
            <w:tab/>
          </w:r>
          <w:r>
            <w:t xml:space="preserve">8</w:t>
          </w:r>
        </w:p>
        <w:p>
          <w:pPr>
            <w:pStyle w:val="TOC3"/>
            <w:tabs>
              <w:tab w:val="right" w:leader="dot" w:pos="9072"/>
            </w:tabs>
          </w:pPr>
          <w:r>
            <w:t xml:space="preserve">License Structure</w:t>
          </w:r>
          <w:r>
            <w:tab/>
          </w:r>
          <w:r>
            <w:t xml:space="preserve">9</w:t>
          </w:r>
        </w:p>
        <w:p>
          <w:pPr>
            <w:pStyle w:val="TOC3"/>
            <w:tabs>
              <w:tab w:val="right" w:leader="dot" w:pos="9072"/>
            </w:tabs>
          </w:pPr>
          <w:r>
            <w:t xml:space="preserve">What the License Includes</w:t>
          </w:r>
          <w:r>
            <w:tab/>
          </w:r>
          <w:r>
            <w:t xml:space="preserve">10</w:t>
          </w:r>
        </w:p>
        <w:p>
          <w:pPr>
            <w:pStyle w:val="TOC3"/>
            <w:tabs>
              <w:tab w:val="right" w:leader="dot" w:pos="9072"/>
            </w:tabs>
          </w:pPr>
          <w:r>
            <w:t xml:space="preserve">What is Separately Scoped</w:t>
          </w:r>
          <w:r>
            <w:tab/>
          </w:r>
          <w:r>
            <w:t xml:space="preserve">11</w:t>
          </w:r>
        </w:p>
        <w:p>
          <w:pPr>
            <w:pStyle w:val="TOC2"/>
            <w:tabs>
              <w:tab w:val="right" w:leader="dot" w:pos="9072"/>
            </w:tabs>
          </w:pPr>
          <w:r>
            <w:t xml:space="preserve">Pricing Structure</w:t>
          </w:r>
          <w:r>
            <w:tab/>
          </w:r>
          <w:r>
            <w:t xml:space="preserve">12</w:t>
          </w:r>
        </w:p>
        <w:p>
          <w:pPr>
            <w:pStyle w:val="TOC3"/>
            <w:tabs>
              <w:tab w:val="right" w:leader="dot" w:pos="9072"/>
            </w:tabs>
          </w:pPr>
          <w:r>
            <w:t xml:space="preserve">Platform License Fees</w:t>
          </w:r>
          <w:r>
            <w:tab/>
          </w:r>
          <w:r>
            <w:t xml:space="preserve">13</w:t>
          </w:r>
        </w:p>
        <w:p>
          <w:pPr>
            <w:pStyle w:val="TOC3"/>
            <w:tabs>
              <w:tab w:val="right" w:leader="dot" w:pos="9072"/>
            </w:tabs>
          </w:pPr>
          <w:r>
            <w:t xml:space="preserve">Infrastructure Costs</w:t>
          </w:r>
          <w:r>
            <w:tab/>
          </w:r>
          <w:r>
            <w:t xml:space="preserve">14</w:t>
          </w:r>
        </w:p>
        <w:p>
          <w:pPr>
            <w:pStyle w:val="TOC2"/>
            <w:tabs>
              <w:tab w:val="right" w:leader="dot" w:pos="9072"/>
            </w:tabs>
          </w:pPr>
          <w:r>
            <w:t xml:space="preserve">Implementation Costs</w:t>
          </w:r>
          <w:r>
            <w:tab/>
          </w:r>
          <w:r>
            <w:t xml:space="preserve">15</w:t>
          </w:r>
        </w:p>
        <w:p>
          <w:pPr>
            <w:pStyle w:val="TOC2"/>
            <w:tabs>
              <w:tab w:val="right" w:leader="dot" w:pos="9072"/>
            </w:tabs>
          </w:pPr>
          <w:r>
            <w:t xml:space="preserve">Support and Maintenance</w:t>
          </w:r>
          <w:r>
            <w:tab/>
          </w:r>
          <w:r>
            <w:t xml:space="preserve">16</w:t>
          </w:r>
        </w:p>
        <w:p>
          <w:pPr>
            <w:pStyle w:val="TOC3"/>
            <w:tabs>
              <w:tab w:val="right" w:leader="dot" w:pos="9072"/>
            </w:tabs>
          </w:pPr>
          <w:r>
            <w:t xml:space="preserve">Enterprise Support</w:t>
          </w:r>
          <w:r>
            <w:tab/>
          </w:r>
          <w:r>
            <w:t xml:space="preserve">17</w:t>
          </w:r>
        </w:p>
        <w:p>
          <w:pPr>
            <w:pStyle w:val="TOC2"/>
            <w:tabs>
              <w:tab w:val="right" w:leader="dot" w:pos="9072"/>
            </w:tabs>
          </w:pPr>
          <w:r>
            <w:t xml:space="preserve">Total Cost of Ownership</w:t>
          </w:r>
          <w:r>
            <w:tab/>
          </w:r>
          <w:r>
            <w:t xml:space="preserve">18</w:t>
          </w:r>
        </w:p>
        <w:p>
          <w:pPr>
            <w:pStyle w:val="TOC3"/>
            <w:tabs>
              <w:tab w:val="right" w:leader="dot" w:pos="9072"/>
            </w:tabs>
          </w:pPr>
          <w:r>
            <w:t xml:space="preserve">Five-Year TCO</w:t>
          </w:r>
          <w:r>
            <w:tab/>
          </w:r>
          <w:r>
            <w:t xml:space="preserve">19</w:t>
          </w:r>
        </w:p>
        <w:p>
          <w:pPr>
            <w:pStyle w:val="TOC3"/>
            <w:tabs>
              <w:tab w:val="right" w:leader="dot" w:pos="9072"/>
            </w:tabs>
          </w:pPr>
          <w:r>
            <w:t xml:space="preserve">Alternative Comparison</w:t>
          </w:r>
          <w:r>
            <w:tab/>
          </w:r>
          <w:r>
            <w:t xml:space="preserve">20</w:t>
          </w:r>
        </w:p>
        <w:p>
          <w:pPr>
            <w:pStyle w:val="TOC2"/>
            <w:tabs>
              <w:tab w:val="right" w:leader="dot" w:pos="9072"/>
            </w:tabs>
          </w:pPr>
          <w:r>
            <w:t xml:space="preserve">ROI Framework</w:t>
          </w:r>
          <w:r>
            <w:tab/>
          </w:r>
          <w:r>
            <w:t xml:space="preserve">21</w:t>
          </w:r>
        </w:p>
        <w:p>
          <w:pPr>
            <w:pStyle w:val="TOC3"/>
            <w:tabs>
              <w:tab w:val="right" w:leader="dot" w:pos="9072"/>
            </w:tabs>
          </w:pPr>
          <w:r>
            <w:t xml:space="preserve">Cost Avoidance</w:t>
          </w:r>
          <w:r>
            <w:tab/>
          </w:r>
          <w:r>
            <w:t xml:space="preserve">22</w:t>
          </w:r>
        </w:p>
        <w:p>
          <w:pPr>
            <w:pStyle w:val="TOC3"/>
            <w:tabs>
              <w:tab w:val="right" w:leader="dot" w:pos="9072"/>
            </w:tabs>
          </w:pPr>
          <w:r>
            <w:t xml:space="preserve">Revenue Enablement</w:t>
          </w:r>
          <w:r>
            <w:tab/>
          </w:r>
          <w:r>
            <w:t xml:space="preserve">23</w:t>
          </w:r>
        </w:p>
        <w:p>
          <w:pPr>
            <w:pStyle w:val="TOC3"/>
            <w:tabs>
              <w:tab w:val="right" w:leader="dot" w:pos="9072"/>
            </w:tabs>
          </w:pPr>
          <w:r>
            <w:t xml:space="preserve">Risk Reduction</w:t>
          </w:r>
          <w:r>
            <w:tab/>
          </w:r>
          <w:r>
            <w:t xml:space="preserve">24</w:t>
          </w:r>
        </w:p>
        <w:p>
          <w:pPr>
            <w:pStyle w:val="TOC2"/>
            <w:tabs>
              <w:tab w:val="right" w:leader="dot" w:pos="9072"/>
            </w:tabs>
          </w:pPr>
          <w:r>
            <w:t xml:space="preserve">Payment Terms</w:t>
          </w:r>
          <w:r>
            <w:tab/>
          </w:r>
          <w:r>
            <w:t xml:space="preserve">25</w:t>
          </w:r>
        </w:p>
        <w:p>
          <w:pPr>
            <w:pStyle w:val="TOC2"/>
            <w:tabs>
              <w:tab w:val="right" w:leader="dot" w:pos="9072"/>
            </w:tabs>
          </w:pPr>
          <w:r>
            <w:t xml:space="preserve">Contract Structure</w:t>
          </w:r>
          <w:r>
            <w:tab/>
          </w:r>
          <w:r>
            <w:t xml:space="preserve">26</w:t>
          </w:r>
        </w:p>
        <w:p>
          <w:pPr>
            <w:pStyle w:val="TOC3"/>
            <w:tabs>
              <w:tab w:val="right" w:leader="dot" w:pos="9072"/>
            </w:tabs>
          </w:pPr>
          <w:r>
            <w:t xml:space="preserve">Key Provisions</w:t>
          </w:r>
          <w:r>
            <w:tab/>
          </w:r>
          <w:r>
            <w:t xml:space="preserve">27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Title:</w:t>
      </w:r>
      <w:r>
        <w:rPr>
          <w:rFonts w:ascii="Figtree" w:hAnsi="Figtree"/>
          <w:b w:val="0"/>
          <w:i w:val="0"/>
          <w:sz w:val="22"/>
        </w:rPr>
        <w:t xml:space="preserve"> Commercial Proposal for Tokenized Investment Platform  </w:t>
      </w:r>
    </w:p>
    <w:p>
      <w:r>
        <w:rPr>
          <w:rFonts w:ascii="Figtree" w:hAnsi="Figtree"/>
          <w:b/>
          <w:i w:val="0"/>
          <w:sz w:val="22"/>
        </w:rPr>
        <w:t>Client:</w:t>
      </w:r>
      <w:r>
        <w:rPr>
          <w:rFonts w:ascii="Figtree" w:hAnsi="Figtree"/>
          <w:b w:val="0"/>
          <w:i w:val="0"/>
          <w:sz w:val="22"/>
        </w:rPr>
        <w:t xml:space="preserve"> Sarwa (UAE)  </w:t>
      </w:r>
    </w:p>
    <w:p>
      <w:r>
        <w:rPr>
          <w:rFonts w:ascii="Figtree" w:hAnsi="Figtree"/>
          <w:b/>
          <w:i w:val="0"/>
          <w:sz w:val="22"/>
        </w:rPr>
        <w:t>Reference:</w:t>
      </w:r>
      <w:r>
        <w:rPr>
          <w:rFonts w:ascii="Figtree" w:hAnsi="Figtree"/>
          <w:b w:val="0"/>
          <w:i w:val="0"/>
          <w:sz w:val="22"/>
        </w:rPr>
        <w:t xml:space="preserve"> SARWA-RFP-TOKENIZED-INVESTMENT-PLATFORM-202603  </w:t>
      </w:r>
    </w:p>
    <w:p>
      <w:r>
        <w:rPr>
          <w:rFonts w:ascii="Figtree" w:hAnsi="Figtree"/>
          <w:b/>
          <w:i w:val="0"/>
          <w:sz w:val="22"/>
        </w:rPr>
        <w:t>Submitted by:</w:t>
      </w:r>
      <w:r>
        <w:rPr>
          <w:rFonts w:ascii="Figtree" w:hAnsi="Figtree"/>
          <w:b w:val="0"/>
          <w:i w:val="0"/>
          <w:sz w:val="22"/>
        </w:rPr>
        <w:t xml:space="preserve"> SettleMint  </w:t>
      </w:r>
    </w:p>
    <w:p>
      <w:r>
        <w:rPr>
          <w:rFonts w:ascii="Figtree" w:hAnsi="Figtree"/>
          <w:b/>
          <w:i w:val="0"/>
          <w:sz w:val="22"/>
        </w:rPr>
        <w:t>Date:</w:t>
      </w:r>
      <w:r>
        <w:rPr>
          <w:rFonts w:ascii="Figtree" w:hAnsi="Figtree"/>
          <w:b w:val="0"/>
          <w:i w:val="0"/>
          <w:sz w:val="22"/>
        </w:rPr>
        <w:t xml:space="preserve"> March 2026  </w:t>
      </w:r>
    </w:p>
    <w:p>
      <w:r>
        <w:rPr>
          <w:rFonts w:ascii="Figtree" w:hAnsi="Figtree"/>
          <w:b/>
          <w:i w:val="0"/>
          <w:sz w:val="22"/>
        </w:rPr>
        <w:t>Version:</w:t>
      </w:r>
      <w:r>
        <w:rPr>
          <w:rFonts w:ascii="Figtree" w:hAnsi="Figtree"/>
          <w:b w:val="0"/>
          <w:i w:val="0"/>
          <w:sz w:val="22"/>
        </w:rPr>
        <w:t xml:space="preserve"> 1.0 (Draft)  </w:t>
      </w:r>
    </w:p>
    <w:p>
      <w:r>
        <w:rPr>
          <w:rFonts w:ascii="Figtree" w:hAnsi="Figtree"/>
          <w:b/>
          <w:i w:val="0"/>
          <w:sz w:val="22"/>
        </w:rPr>
        <w:t>Confidentiality:</w:t>
      </w:r>
      <w:r>
        <w:rPr>
          <w:rFonts w:ascii="Figtree" w:hAnsi="Figtree"/>
          <w:b w:val="0"/>
          <w:i w:val="0"/>
          <w:sz w:val="22"/>
        </w:rPr>
        <w:t xml:space="preserve"> Strictly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Commercial Decision Framework</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Pricing Structure</w:t>
      </w:r>
    </w:p>
    <w:p>
      <w:pPr>
        <w:pStyle w:val="ListParagraph"/>
        <w:numPr>
          <w:ilvl w:val="0"/>
          <w:numId w:val="6"/>
        </w:numPr>
      </w:pPr>
      <w:r>
        <w:rPr>
          <w:rFonts w:ascii="Figtree" w:hAnsi="Figtree"/>
          <w:b w:val="0"/>
          <w:i w:val="0"/>
          <w:sz w:val="22"/>
        </w:rPr>
        <w:t>Implementation Costs</w:t>
      </w:r>
    </w:p>
    <w:p>
      <w:pPr>
        <w:pStyle w:val="ListParagraph"/>
        <w:numPr>
          <w:ilvl w:val="0"/>
          <w:numId w:val="6"/>
        </w:numPr>
      </w:pPr>
      <w:r>
        <w:rPr>
          <w:rFonts w:ascii="Figtree" w:hAnsi="Figtree"/>
          <w:b w:val="0"/>
          <w:i w:val="0"/>
          <w:sz w:val="22"/>
        </w:rPr>
        <w:t>Support and Maintenance</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ROI Framework</w:t>
      </w:r>
    </w:p>
    <w:p>
      <w:pPr>
        <w:pStyle w:val="ListParagraph"/>
        <w:numPr>
          <w:ilvl w:val="0"/>
          <w:numId w:val="6"/>
        </w:numPr>
      </w:pPr>
      <w:r>
        <w:rPr>
          <w:rFonts w:ascii="Figtree" w:hAnsi="Figtree"/>
          <w:b w:val="0"/>
          <w:i w:val="0"/>
          <w:sz w:val="22"/>
        </w:rPr>
        <w:t>Payment Terms</w:t>
      </w:r>
    </w:p>
    <w:p>
      <w:pPr>
        <w:pStyle w:val="ListParagraph"/>
        <w:numPr>
          <w:ilvl w:val="0"/>
          <w:numId w:val="6"/>
        </w:numPr>
      </w:pPr>
      <w:r>
        <w:rPr>
          <w:rFonts w:ascii="Figtree" w:hAnsi="Figtree"/>
          <w:b w:val="0"/>
          <w:i w:val="0"/>
          <w:sz w:val="22"/>
        </w:rPr>
        <w:t>Contract Structure</w:t>
      </w:r>
    </w:p>
    <w:p>
      <w:r>
        <w:br w:type="page"/>
      </w:r>
    </w:p>
    <w:p>
      <w:pPr>
        <w:pStyle w:val="H2"/>
        <w:numPr>
          <w:ilvl w:val="1"/>
          <w:numId w:val="1"/>
        </w:numPr>
      </w:pPr>
      <w:r>
        <w:t>Executive Summary</w:t>
      </w:r>
    </w:p>
    <w:p>
      <w:r>
        <w:rPr>
          <w:rFonts w:ascii="Figtree" w:hAnsi="Figtree"/>
          <w:b w:val="0"/>
          <w:i w:val="0"/>
          <w:sz w:val="22"/>
        </w:rPr>
        <w:t>Sarwa needs a tokenized investment platform that can operate at retail scale under UAE regulatory supervision. The commercial decision is straightforward: building this internally would require 18+ months and a specialized engineering team that Sarwa does not have. Assembling multiple point solutions creates integration debt and a fragmented compliance posture that regulators will question.</w:t>
      </w:r>
    </w:p>
    <w:p>
      <w:r>
        <w:rPr>
          <w:rFonts w:ascii="Figtree" w:hAnsi="Figtree"/>
          <w:b w:val="0"/>
          <w:i w:val="0"/>
          <w:sz w:val="22"/>
        </w:rPr>
        <w:t>DALP provides a single platform covering asset configuration, compliance enforcement, custody integration, settlement, and distribution automation. The licensing model is predictable: fixed annual fees for the platform, scoped implementation services, and enterprise support aligned to Sarwa's operational needs.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468"/>
        <w:gridCol w:w="36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w:t>
            </w:r>
          </w:p>
        </w:tc>
        <w:tc>
          <w:tcPr>
            <w:tcW w:type="dxa" w:w="4873"/>
            <w:vAlign w:val="center"/>
          </w:tcPr>
          <w:p>
            <w:pPr>
              <w:spacing w:line="276" w:lineRule="auto" w:before="0" w:after="0"/>
            </w:pPr>
            <w:r/>
            <w:r>
              <w:rPr>
                <w:rFonts w:ascii="Figtree" w:hAnsi="Figtree"/>
                <w:b w:val="0"/>
                <w:i w:val="0"/>
                <w:sz w:val="20"/>
              </w:rPr>
              <w:t>€300,000/year</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w:t>
            </w:r>
          </w:p>
        </w:tc>
        <w:tc>
          <w:tcPr>
            <w:tcW w:type="dxa" w:w="4873"/>
            <w:vAlign w:val="center"/>
          </w:tcPr>
          <w:p>
            <w:pPr>
              <w:spacing w:line="276" w:lineRule="auto" w:before="0" w:after="0"/>
            </w:pPr>
            <w:r/>
            <w:r>
              <w:rPr>
                <w:rFonts w:ascii="Figtree" w:hAnsi="Figtree"/>
                <w:b w:val="0"/>
                <w:i w:val="0"/>
                <w:sz w:val="20"/>
              </w:rPr>
              <w:t>€120,000/year</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i w:val="0"/>
                <w:sz w:val="20"/>
              </w:rPr>
              <w:t>Total Platform License</w:t>
            </w:r>
          </w:p>
        </w:tc>
        <w:tc>
          <w:tcPr>
            <w:tcW w:type="dxa" w:w="4873"/>
            <w:vAlign w:val="center"/>
          </w:tcPr>
          <w:p>
            <w:pPr>
              <w:spacing w:line="276" w:lineRule="auto" w:before="0" w:after="0"/>
            </w:pPr>
            <w:r/>
            <w:r>
              <w:rPr>
                <w:rFonts w:ascii="Figtree" w:hAnsi="Figtree"/>
                <w:b/>
                <w:i w:val="0"/>
                <w:sz w:val="20"/>
              </w:rPr>
              <w:t>€420,000/year</w:t>
            </w:r>
          </w:p>
        </w:tc>
      </w:tr>
    </w:tbl>
    <w:p>
      <w:pPr>
        <w:spacing w:before="0" w:after="0" w:line="120" w:lineRule="exact"/>
      </w:pPr>
    </w:p>
    <w:p>
      <w:r>
        <w:rPr>
          <w:rFonts w:ascii="Figtree" w:hAnsi="Figtree"/>
          <w:b w:val="0"/>
          <w:i w:val="0"/>
          <w:sz w:val="22"/>
        </w:rPr>
        <w:t>All prices exclude applicable taxes and VAT. Payment terms are annual, upfront.</w:t>
      </w:r>
    </w:p>
    <w:p>
      <w:r>
        <w:rPr>
          <w:rFonts w:ascii="Figtree" w:hAnsi="Figtree"/>
          <w:b w:val="0"/>
          <w:i w:val="0"/>
          <w:sz w:val="22"/>
        </w:rPr>
        <w:t>The platform cost represents a small fraction of the revenue opportunity that tokenized investment products create for Sarwa's growing investor base.</w:t>
      </w:r>
    </w:p>
    <w:p>
      <w:r>
        <w:br w:type="page"/>
      </w:r>
    </w:p>
    <w:p>
      <w:pPr>
        <w:pStyle w:val="H2"/>
        <w:numPr>
          <w:ilvl w:val="1"/>
          <w:numId w:val="1"/>
        </w:numPr>
      </w:pPr>
      <w:r>
        <w:t>Commercial Decision Framework</w:t>
      </w:r>
    </w:p>
    <w:p>
      <w:pPr>
        <w:pStyle w:val="H3"/>
        <w:numPr>
          <w:ilvl w:val="2"/>
          <w:numId w:val="1"/>
        </w:numPr>
      </w:pPr>
      <w:r>
        <w:t>Build vs. Buy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5"/>
        <w:gridCol w:w="3078"/>
        <w:gridCol w:w="39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Platform</w:t>
            </w:r>
          </w:p>
        </w:tc>
      </w:tr>
      <w:tr>
        <w:trPr>
          <w:trHeight w:val="425" w:hRule="atLeast"/>
        </w:trPr>
        <w:tc>
          <w:tcPr>
            <w:tcW w:type="dxa" w:w="3249"/>
            <w:vAlign w:val="center"/>
          </w:tcPr>
          <w:p>
            <w:pPr>
              <w:spacing w:line="276" w:lineRule="auto" w:before="0" w:after="0"/>
            </w:pPr>
            <w:r/>
            <w:r>
              <w:rPr>
                <w:rFonts w:ascii="Figtree" w:hAnsi="Figtree"/>
                <w:b w:val="0"/>
                <w:i w:val="0"/>
                <w:sz w:val="20"/>
              </w:rPr>
              <w:t>Time to first product</w:t>
            </w:r>
          </w:p>
        </w:tc>
        <w:tc>
          <w:tcPr>
            <w:tcW w:type="dxa" w:w="3249"/>
            <w:vAlign w:val="center"/>
          </w:tcPr>
          <w:p>
            <w:pPr>
              <w:spacing w:line="276" w:lineRule="auto" w:before="0" w:after="0"/>
            </w:pPr>
            <w:r/>
            <w:r>
              <w:rPr>
                <w:rFonts w:ascii="Figtree" w:hAnsi="Figtree"/>
                <w:b w:val="0"/>
                <w:i w:val="0"/>
                <w:sz w:val="20"/>
              </w:rPr>
              <w:t>18-24 months</w:t>
            </w:r>
          </w:p>
        </w:tc>
        <w:tc>
          <w:tcPr>
            <w:tcW w:type="dxa" w:w="3249"/>
            <w:vAlign w:val="center"/>
          </w:tcPr>
          <w:p>
            <w:pPr>
              <w:spacing w:line="276" w:lineRule="auto" w:before="0" w:after="0"/>
            </w:pPr>
            <w:r/>
            <w:r>
              <w:rPr>
                <w:rFonts w:ascii="Figtree" w:hAnsi="Figtree"/>
                <w:b w:val="0"/>
                <w:i w:val="0"/>
                <w:sz w:val="20"/>
              </w:rPr>
              <w:t>5 months (22-week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Engineering team required</w:t>
            </w:r>
          </w:p>
        </w:tc>
        <w:tc>
          <w:tcPr>
            <w:tcW w:type="dxa" w:w="3249"/>
            <w:vAlign w:val="center"/>
          </w:tcPr>
          <w:p>
            <w:pPr>
              <w:spacing w:line="276" w:lineRule="auto" w:before="0" w:after="0"/>
            </w:pPr>
            <w:r/>
            <w:r>
              <w:rPr>
                <w:rFonts w:ascii="Figtree" w:hAnsi="Figtree"/>
                <w:b w:val="0"/>
                <w:i w:val="0"/>
                <w:sz w:val="20"/>
              </w:rPr>
              <w:t>8-12 specialized engineers</w:t>
            </w:r>
          </w:p>
        </w:tc>
        <w:tc>
          <w:tcPr>
            <w:tcW w:type="dxa" w:w="3249"/>
            <w:vAlign w:val="center"/>
          </w:tcPr>
          <w:p>
            <w:pPr>
              <w:spacing w:line="276" w:lineRule="auto" w:before="0" w:after="0"/>
            </w:pPr>
            <w:r/>
            <w:r>
              <w:rPr>
                <w:rFonts w:ascii="Figtree" w:hAnsi="Figtree"/>
                <w:b w:val="0"/>
                <w:i w:val="0"/>
                <w:sz w:val="20"/>
              </w:rPr>
              <w:t>Sarwa's existing team + SettleMint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readiness</w:t>
            </w:r>
          </w:p>
        </w:tc>
        <w:tc>
          <w:tcPr>
            <w:tcW w:type="dxa" w:w="3249"/>
            <w:vAlign w:val="center"/>
          </w:tcPr>
          <w:p>
            <w:pPr>
              <w:spacing w:line="276" w:lineRule="auto" w:before="0" w:after="0"/>
            </w:pPr>
            <w:r/>
            <w:r>
              <w:rPr>
                <w:rFonts w:ascii="Figtree" w:hAnsi="Figtree"/>
                <w:b w:val="0"/>
                <w:i w:val="0"/>
                <w:sz w:val="20"/>
              </w:rPr>
              <w:t>Unproven; requires SCA validation</w:t>
            </w:r>
          </w:p>
        </w:tc>
        <w:tc>
          <w:tcPr>
            <w:tcW w:type="dxa" w:w="3249"/>
            <w:vAlign w:val="center"/>
          </w:tcPr>
          <w:p>
            <w:pPr>
              <w:spacing w:line="276" w:lineRule="auto" w:before="0" w:after="0"/>
            </w:pPr>
            <w:r/>
            <w:r>
              <w:rPr>
                <w:rFonts w:ascii="Figtree" w:hAnsi="Figtree"/>
                <w:b w:val="0"/>
                <w:i w:val="0"/>
                <w:sz w:val="20"/>
              </w:rPr>
              <w:t>Production-proven; audited modules</w:t>
            </w:r>
          </w:p>
        </w:tc>
      </w:tr>
      <w:tr>
        <w:trPr>
          <w:trHeight w:val="425" w:hRule="atLeast"/>
        </w:trPr>
        <w:tc>
          <w:tcPr>
            <w:tcW w:type="dxa" w:w="3249"/>
            <w:vAlign w:val="center"/>
          </w:tcPr>
          <w:p>
            <w:pPr>
              <w:spacing w:line="276" w:lineRule="auto" w:before="0" w:after="0"/>
            </w:pPr>
            <w:r/>
            <w:r>
              <w:rPr>
                <w:rFonts w:ascii="Figtree" w:hAnsi="Figtree"/>
                <w:b w:val="0"/>
                <w:i w:val="0"/>
                <w:sz w:val="20"/>
              </w:rPr>
              <w:t>Product launch velocity</w:t>
            </w:r>
          </w:p>
        </w:tc>
        <w:tc>
          <w:tcPr>
            <w:tcW w:type="dxa" w:w="3249"/>
            <w:vAlign w:val="center"/>
          </w:tcPr>
          <w:p>
            <w:pPr>
              <w:spacing w:line="276" w:lineRule="auto" w:before="0" w:after="0"/>
            </w:pPr>
            <w:r/>
            <w:r>
              <w:rPr>
                <w:rFonts w:ascii="Figtree" w:hAnsi="Figtree"/>
                <w:b w:val="0"/>
                <w:i w:val="0"/>
                <w:sz w:val="20"/>
              </w:rPr>
              <w:t>Weeks per product (custom development)</w:t>
            </w:r>
          </w:p>
        </w:tc>
        <w:tc>
          <w:tcPr>
            <w:tcW w:type="dxa" w:w="3249"/>
            <w:vAlign w:val="center"/>
          </w:tcPr>
          <w:p>
            <w:pPr>
              <w:spacing w:line="276" w:lineRule="auto" w:before="0" w:after="0"/>
            </w:pPr>
            <w:r/>
            <w:r>
              <w:rPr>
                <w:rFonts w:ascii="Figtree" w:hAnsi="Figtree"/>
                <w:b w:val="0"/>
                <w:i w:val="0"/>
                <w:sz w:val="20"/>
              </w:rPr>
              <w:t>Days per product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5-year TCO</w:t>
            </w:r>
          </w:p>
        </w:tc>
        <w:tc>
          <w:tcPr>
            <w:tcW w:type="dxa" w:w="3249"/>
            <w:vAlign w:val="center"/>
          </w:tcPr>
          <w:p>
            <w:pPr>
              <w:spacing w:line="276" w:lineRule="auto" w:before="0" w:after="0"/>
            </w:pPr>
            <w:r/>
            <w:r>
              <w:rPr>
                <w:rFonts w:ascii="Figtree" w:hAnsi="Figtree"/>
                <w:b w:val="0"/>
                <w:i w:val="0"/>
                <w:sz w:val="20"/>
              </w:rPr>
              <w:t>€4M-€6M</w:t>
            </w:r>
          </w:p>
        </w:tc>
        <w:tc>
          <w:tcPr>
            <w:tcW w:type="dxa" w:w="3249"/>
            <w:vAlign w:val="center"/>
          </w:tcPr>
          <w:p>
            <w:pPr>
              <w:spacing w:line="276" w:lineRule="auto" w:before="0" w:after="0"/>
            </w:pPr>
            <w:r/>
            <w:r>
              <w:rPr>
                <w:rFonts w:ascii="Figtree" w:hAnsi="Figtree"/>
                <w:b w:val="0"/>
                <w:i w:val="0"/>
                <w:sz w:val="20"/>
              </w:rPr>
              <w:t>€2.1M-€2.5M</w:t>
            </w:r>
          </w:p>
        </w:tc>
      </w:tr>
    </w:tbl>
    <w:p>
      <w:pPr>
        <w:spacing w:before="0" w:after="0" w:line="120" w:lineRule="exact"/>
      </w:pPr>
    </w:p>
    <w:p>
      <w:pPr>
        <w:pStyle w:val="H3"/>
        <w:numPr>
          <w:ilvl w:val="2"/>
          <w:numId w:val="1"/>
        </w:numPr>
      </w:pPr>
      <w:r>
        <w:t>Revenue Opportunity Cost</w:t>
      </w:r>
    </w:p>
    <w:p>
      <w:r>
        <w:rPr>
          <w:rFonts w:ascii="Figtree" w:hAnsi="Figtree"/>
          <w:b w:val="0"/>
          <w:i w:val="0"/>
          <w:sz w:val="22"/>
        </w:rPr>
        <w:t>Every month of delayed product launch represents lost revenue. Sarwa's existing investor base can begin accessing tokenized products within 22 weeks of contract signature with DALP. An internal build delays that revenue by 12-18 additional months.</w:t>
      </w:r>
    </w:p>
    <w:p>
      <w:r>
        <w:rPr>
          <w:rFonts w:ascii="Figtree" w:hAnsi="Figtree"/>
          <w:b w:val="0"/>
          <w:i w:val="0"/>
          <w:sz w:val="22"/>
        </w:rPr>
        <w:t>At conservative assumptions (1,000 active investors in tokenized products generating €50/year in platform fees), a 12-month delay represents €50,000 in direct lost revenue and significantly more in missed customer acquisition opportunity.</w:t>
      </w:r>
    </w:p>
    <w:p>
      <w:r>
        <w:br w:type="page"/>
      </w:r>
    </w:p>
    <w:p>
      <w:pPr>
        <w:pStyle w:val="H2"/>
        <w:numPr>
          <w:ilvl w:val="1"/>
          <w:numId w:val="1"/>
        </w:numPr>
      </w:pPr>
      <w:r>
        <w:t>Licensing Model</w:t>
      </w:r>
    </w:p>
    <w:p>
      <w:pPr>
        <w:pStyle w:val="H3"/>
        <w:numPr>
          <w:ilvl w:val="2"/>
          <w:numId w:val="1"/>
        </w:numPr>
      </w:pPr>
      <w:r>
        <w:t>License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16"/>
        <w:gridCol w:w="4314"/>
        <w:gridCol w:w="2102"/>
        <w:gridCol w:w="143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License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Live platform for investors</w:t>
            </w:r>
          </w:p>
        </w:tc>
        <w:tc>
          <w:tcPr>
            <w:tcW w:type="dxa" w:w="2436"/>
            <w:vAlign w:val="center"/>
          </w:tcPr>
          <w:p>
            <w:pPr>
              <w:spacing w:line="276" w:lineRule="auto" w:before="0" w:after="0"/>
            </w:pPr>
            <w:r/>
            <w:r>
              <w:rPr>
                <w:rFonts w:ascii="Figtree" w:hAnsi="Figtree"/>
                <w:b w:val="0"/>
                <w:i w:val="0"/>
                <w:sz w:val="20"/>
              </w:rPr>
              <w:t>Production License</w:t>
            </w:r>
          </w:p>
        </w:tc>
        <w:tc>
          <w:tcPr>
            <w:tcW w:type="dxa" w:w="2436"/>
            <w:vAlign w:val="center"/>
          </w:tcPr>
          <w:p>
            <w:pPr>
              <w:spacing w:line="276" w:lineRule="auto" w:before="0" w:after="0"/>
            </w:pPr>
            <w:r/>
            <w:r>
              <w:rPr>
                <w:rFonts w:ascii="Figtree" w:hAnsi="Figtree"/>
                <w:b w:val="0"/>
                <w:i w:val="0"/>
                <w:sz w:val="20"/>
              </w:rPr>
              <w:t>€300,000/year</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Testing, staging, product configuration</w:t>
            </w:r>
          </w:p>
        </w:tc>
        <w:tc>
          <w:tcPr>
            <w:tcW w:type="dxa" w:w="2436"/>
            <w:vAlign w:val="center"/>
          </w:tcPr>
          <w:p>
            <w:pPr>
              <w:spacing w:line="276" w:lineRule="auto" w:before="0" w:after="0"/>
            </w:pPr>
            <w:r/>
            <w:r>
              <w:rPr>
                <w:rFonts w:ascii="Figtree" w:hAnsi="Figtree"/>
                <w:b w:val="0"/>
                <w:i w:val="0"/>
                <w:sz w:val="20"/>
              </w:rPr>
              <w:t>Development License</w:t>
            </w:r>
          </w:p>
        </w:tc>
        <w:tc>
          <w:tcPr>
            <w:tcW w:type="dxa" w:w="2436"/>
            <w:vAlign w:val="center"/>
          </w:tcPr>
          <w:p>
            <w:pPr>
              <w:spacing w:line="276" w:lineRule="auto" w:before="0" w:after="0"/>
            </w:pPr>
            <w:r/>
            <w:r>
              <w:rPr>
                <w:rFonts w:ascii="Figtree" w:hAnsi="Figtree"/>
                <w:b w:val="0"/>
                <w:i w:val="0"/>
                <w:sz w:val="20"/>
              </w:rPr>
              <w:t>€120,000/year</w:t>
            </w:r>
          </w:p>
        </w:tc>
      </w:tr>
    </w:tbl>
    <w:p>
      <w:pPr>
        <w:spacing w:before="0" w:after="0" w:line="120" w:lineRule="exact"/>
      </w:pPr>
    </w:p>
    <w:p>
      <w:pPr>
        <w:pStyle w:val="H3"/>
        <w:numPr>
          <w:ilvl w:val="2"/>
          <w:numId w:val="1"/>
        </w:numPr>
      </w:pPr>
      <w:r>
        <w:t>What the License Includes</w:t>
      </w:r>
    </w:p>
    <w:p>
      <w:pPr>
        <w:pStyle w:val="ListParagraph"/>
        <w:numPr>
          <w:ilvl w:val="0"/>
          <w:numId w:val="4"/>
        </w:numPr>
      </w:pPr>
      <w:r>
        <w:rPr>
          <w:rFonts w:ascii="Figtree" w:hAnsi="Figtree"/>
          <w:b w:val="0"/>
          <w:i w:val="0"/>
          <w:sz w:val="22"/>
        </w:rPr>
        <w:t>Full DALP platform access for all supported asset classes</w:t>
      </w:r>
    </w:p>
    <w:p>
      <w:pPr>
        <w:pStyle w:val="ListParagraph"/>
        <w:numPr>
          <w:ilvl w:val="0"/>
          <w:numId w:val="4"/>
        </w:numPr>
      </w:pPr>
      <w:r>
        <w:rPr>
          <w:rFonts w:ascii="Figtree" w:hAnsi="Figtree"/>
          <w:b w:val="0"/>
          <w:i w:val="0"/>
          <w:sz w:val="22"/>
        </w:rPr>
        <w:t>All 18 compliance module types</w:t>
      </w:r>
    </w:p>
    <w:p>
      <w:pPr>
        <w:pStyle w:val="ListParagraph"/>
        <w:numPr>
          <w:ilvl w:val="0"/>
          <w:numId w:val="4"/>
        </w:numPr>
      </w:pPr>
      <w:r>
        <w:rPr>
          <w:rFonts w:ascii="Figtree" w:hAnsi="Figtree"/>
          <w:b w:val="0"/>
          <w:i w:val="0"/>
          <w:sz w:val="22"/>
        </w:rPr>
        <w:t>Configurable token architecture with up to 32 pluggable features</w:t>
      </w:r>
    </w:p>
    <w:p>
      <w:pPr>
        <w:pStyle w:val="ListParagraph"/>
        <w:numPr>
          <w:ilvl w:val="0"/>
          <w:numId w:val="4"/>
        </w:numPr>
      </w:pPr>
      <w:r>
        <w:rPr>
          <w:rFonts w:ascii="Figtree" w:hAnsi="Figtree"/>
          <w:b w:val="0"/>
          <w:i w:val="0"/>
          <w:sz w:val="22"/>
        </w:rPr>
        <w:t>API access (REST, webhooks)</w:t>
      </w:r>
    </w:p>
    <w:p>
      <w:pPr>
        <w:pStyle w:val="ListParagraph"/>
        <w:numPr>
          <w:ilvl w:val="0"/>
          <w:numId w:val="4"/>
        </w:numPr>
      </w:pPr>
      <w:r>
        <w:rPr>
          <w:rFonts w:ascii="Figtree" w:hAnsi="Figtree"/>
          <w:b w:val="0"/>
          <w:i w:val="0"/>
          <w:sz w:val="22"/>
        </w:rPr>
        <w:t>Platform updates and compliance module updates</w:t>
      </w:r>
    </w:p>
    <w:p>
      <w:pPr>
        <w:pStyle w:val="ListParagraph"/>
        <w:numPr>
          <w:ilvl w:val="0"/>
          <w:numId w:val="4"/>
        </w:numPr>
      </w:pPr>
      <w:r>
        <w:rPr>
          <w:rFonts w:ascii="Figtree" w:hAnsi="Figtree"/>
          <w:b w:val="0"/>
          <w:i w:val="0"/>
          <w:sz w:val="22"/>
        </w:rPr>
        <w:t>Security patches</w:t>
      </w:r>
    </w:p>
    <w:p>
      <w:pPr>
        <w:pStyle w:val="H3"/>
        <w:numPr>
          <w:ilvl w:val="2"/>
          <w:numId w:val="1"/>
        </w:numPr>
      </w:pPr>
      <w:r>
        <w:t>What is Separately Scoped</w:t>
      </w:r>
    </w:p>
    <w:p>
      <w:pPr>
        <w:pStyle w:val="ListParagraph"/>
        <w:numPr>
          <w:ilvl w:val="0"/>
          <w:numId w:val="4"/>
        </w:numPr>
      </w:pPr>
      <w:r>
        <w:rPr>
          <w:rFonts w:ascii="Figtree" w:hAnsi="Figtree"/>
          <w:b w:val="0"/>
          <w:i w:val="0"/>
          <w:sz w:val="22"/>
        </w:rPr>
        <w:t>Implementation services (project-specific)</w:t>
      </w:r>
    </w:p>
    <w:p>
      <w:pPr>
        <w:pStyle w:val="ListParagraph"/>
        <w:numPr>
          <w:ilvl w:val="0"/>
          <w:numId w:val="4"/>
        </w:numPr>
      </w:pPr>
      <w:r>
        <w:rPr>
          <w:rFonts w:ascii="Figtree" w:hAnsi="Figtree"/>
          <w:b w:val="0"/>
          <w:i w:val="0"/>
          <w:sz w:val="22"/>
        </w:rPr>
        <w:t>Enterprise or Sovereign support tier (if not included in base)</w:t>
      </w:r>
    </w:p>
    <w:p>
      <w:pPr>
        <w:pStyle w:val="ListParagraph"/>
        <w:numPr>
          <w:ilvl w:val="0"/>
          <w:numId w:val="4"/>
        </w:numPr>
      </w:pPr>
      <w:r>
        <w:rPr>
          <w:rFonts w:ascii="Figtree" w:hAnsi="Figtree"/>
          <w:b w:val="0"/>
          <w:i w:val="0"/>
          <w:sz w:val="22"/>
        </w:rPr>
        <w:t>Infrastructure costs (cloud pass-through or self-hosted)</w:t>
      </w:r>
    </w:p>
    <w:p>
      <w:pPr>
        <w:pStyle w:val="ListParagraph"/>
        <w:numPr>
          <w:ilvl w:val="0"/>
          <w:numId w:val="4"/>
        </w:numPr>
      </w:pPr>
      <w:r>
        <w:rPr>
          <w:rFonts w:ascii="Figtree" w:hAnsi="Figtree"/>
          <w:b w:val="0"/>
          <w:i w:val="0"/>
          <w:sz w:val="22"/>
        </w:rPr>
        <w:t>Third-party custody provider fees (Fireblocks, DFNS)</w:t>
      </w:r>
    </w:p>
    <w:p>
      <w:r>
        <w:br w:type="page"/>
      </w:r>
    </w:p>
    <w:p>
      <w:pPr>
        <w:pStyle w:val="H2"/>
        <w:numPr>
          <w:ilvl w:val="1"/>
          <w:numId w:val="1"/>
        </w:numPr>
      </w:pPr>
      <w:r>
        <w:t>Pricing Structure</w:t>
      </w:r>
    </w:p>
    <w:p>
      <w:pPr>
        <w:pStyle w:val="H3"/>
        <w:numPr>
          <w:ilvl w:val="2"/>
          <w:numId w:val="1"/>
        </w:numPr>
      </w:pPr>
      <w:r>
        <w:t>Platform License Fees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2864"/>
        <w:gridCol w:w="31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€25,000/month</w:t>
            </w:r>
          </w:p>
        </w:tc>
        <w:tc>
          <w:tcPr>
            <w:tcW w:type="dxa" w:w="3249"/>
            <w:vAlign w:val="center"/>
          </w:tcPr>
          <w:p>
            <w:pPr>
              <w:spacing w:line="276" w:lineRule="auto" w:before="0" w:after="0"/>
            </w:pPr>
            <w:r/>
            <w:r>
              <w:rPr>
                <w:rFonts w:ascii="Figtree" w:hAnsi="Figtree"/>
                <w:b w:val="0"/>
                <w:i w:val="0"/>
                <w:sz w:val="20"/>
              </w:rPr>
              <w:t>€300,000/year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€10,000/month</w:t>
            </w:r>
          </w:p>
        </w:tc>
        <w:tc>
          <w:tcPr>
            <w:tcW w:type="dxa" w:w="3249"/>
            <w:vAlign w:val="center"/>
          </w:tcPr>
          <w:p>
            <w:pPr>
              <w:spacing w:line="276" w:lineRule="auto" w:before="0" w:after="0"/>
            </w:pPr>
            <w:r/>
            <w:r>
              <w:rPr>
                <w:rFonts w:ascii="Figtree" w:hAnsi="Figtree"/>
                <w:b w:val="0"/>
                <w:i w:val="0"/>
                <w:sz w:val="20"/>
              </w:rPr>
              <w:t>€120,000/year</w:t>
            </w:r>
          </w:p>
        </w:tc>
      </w:tr>
      <w:tr>
        <w:trPr>
          <w:trHeight w:val="425" w:hRule="atLeast"/>
        </w:trPr>
        <w:tc>
          <w:tcPr>
            <w:tcW w:type="dxa" w:w="3249"/>
            <w:vAlign w:val="center"/>
          </w:tcPr>
          <w:p>
            <w:pPr>
              <w:spacing w:line="276" w:lineRule="auto" w:before="0" w:after="0"/>
            </w:pPr>
            <w:r/>
            <w:r>
              <w:rPr>
                <w:rFonts w:ascii="Figtree" w:hAnsi="Figtree"/>
                <w:b/>
                <w:i w:val="0"/>
                <w:sz w:val="20"/>
              </w:rPr>
              <w:t>Combined</w:t>
            </w:r>
          </w:p>
        </w:tc>
        <w:tc>
          <w:tcPr>
            <w:tcW w:type="dxa" w:w="3249"/>
            <w:vAlign w:val="center"/>
          </w:tcPr>
          <w:p>
            <w:pPr>
              <w:spacing w:line="276" w:lineRule="auto" w:before="0" w:after="0"/>
            </w:pPr>
            <w:r/>
            <w:r>
              <w:rPr>
                <w:rFonts w:ascii="Figtree" w:hAnsi="Figtree"/>
                <w:b/>
                <w:i w:val="0"/>
                <w:sz w:val="20"/>
              </w:rPr>
              <w:t>€35,000/month</w:t>
            </w:r>
          </w:p>
        </w:tc>
        <w:tc>
          <w:tcPr>
            <w:tcW w:type="dxa" w:w="3249"/>
            <w:vAlign w:val="center"/>
          </w:tcPr>
          <w:p>
            <w:pPr>
              <w:spacing w:line="276" w:lineRule="auto" w:before="0" w:after="0"/>
            </w:pPr>
            <w:r/>
            <w:r>
              <w:rPr>
                <w:rFonts w:ascii="Figtree" w:hAnsi="Figtree"/>
                <w:b/>
                <w:i w:val="0"/>
                <w:sz w:val="20"/>
              </w:rPr>
              <w:t>€420,000/year</w:t>
            </w:r>
          </w:p>
        </w:tc>
      </w:tr>
    </w:tbl>
    <w:p>
      <w:pPr>
        <w:spacing w:before="0" w:after="0" w:line="120" w:lineRule="exact"/>
      </w:pPr>
    </w:p>
    <w:p>
      <w:r>
        <w:rPr>
          <w:rFonts w:ascii="Figtree" w:hAnsi="Figtree"/>
          <w:b w:val="0"/>
          <w:i w:val="0"/>
          <w:sz w:val="22"/>
        </w:rPr>
        <w:t>All prices exclude applicable taxes and VAT. Payment terms are annual, upfront.</w:t>
      </w:r>
    </w:p>
    <w:p>
      <w:pPr>
        <w:pStyle w:val="H3"/>
        <w:numPr>
          <w:ilvl w:val="2"/>
          <w:numId w:val="1"/>
        </w:numPr>
      </w:pPr>
      <w:r>
        <w:t>Infrastructure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2490"/>
        <w:gridCol w:w="355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Deployment Model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 Treatment</w:t>
            </w:r>
          </w:p>
        </w:tc>
      </w:tr>
      <w:tr>
        <w:trPr>
          <w:trHeight w:val="425" w:hRule="atLeast"/>
        </w:trPr>
        <w:tc>
          <w:tcPr>
            <w:tcW w:type="dxa" w:w="3249"/>
            <w:vAlign w:val="center"/>
          </w:tcPr>
          <w:p>
            <w:pPr>
              <w:spacing w:line="276" w:lineRule="auto" w:before="0" w:after="0"/>
            </w:pPr>
            <w:r/>
            <w:r>
              <w:rPr>
                <w:rFonts w:ascii="Figtree" w:hAnsi="Figtree"/>
                <w:b w:val="0"/>
                <w:i w:val="0"/>
                <w:sz w:val="20"/>
              </w:rPr>
              <w:t>Cloud-managed</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Pass-through at cost</w:t>
            </w:r>
          </w:p>
        </w:tc>
      </w:tr>
      <w:tr>
        <w:trPr>
          <w:trHeight w:val="425" w:hRule="atLeast"/>
        </w:trPr>
        <w:tc>
          <w:tcPr>
            <w:tcW w:type="dxa" w:w="3249"/>
            <w:vAlign w:val="center"/>
          </w:tcPr>
          <w:p>
            <w:pPr>
              <w:spacing w:line="276" w:lineRule="auto" w:before="0" w:after="0"/>
            </w:pPr>
            <w:r/>
            <w:r>
              <w:rPr>
                <w:rFonts w:ascii="Figtree" w:hAnsi="Figtree"/>
                <w:b w:val="0"/>
                <w:i w:val="0"/>
                <w:sz w:val="20"/>
              </w:rPr>
              <w:t>Self-hosted cloud</w:t>
            </w:r>
          </w:p>
        </w:tc>
        <w:tc>
          <w:tcPr>
            <w:tcW w:type="dxa" w:w="3249"/>
            <w:vAlign w:val="center"/>
          </w:tcPr>
          <w:p>
            <w:pPr>
              <w:spacing w:line="276" w:lineRule="auto" w:before="0" w:after="0"/>
            </w:pPr>
            <w:r/>
            <w:r>
              <w:rPr>
                <w:rFonts w:ascii="Figtree" w:hAnsi="Figtree"/>
                <w:b w:val="0"/>
                <w:i w:val="0"/>
                <w:sz w:val="20"/>
              </w:rPr>
              <w:t>Sarwa</w:t>
            </w:r>
          </w:p>
        </w:tc>
        <w:tc>
          <w:tcPr>
            <w:tcW w:type="dxa" w:w="3249"/>
            <w:vAlign w:val="center"/>
          </w:tcPr>
          <w:p>
            <w:pPr>
              <w:spacing w:line="276" w:lineRule="auto" w:before="0" w:after="0"/>
            </w:pPr>
            <w:r/>
            <w:r>
              <w:rPr>
                <w:rFonts w:ascii="Figtree" w:hAnsi="Figtree"/>
                <w:b w:val="0"/>
                <w:i w:val="0"/>
                <w:sz w:val="20"/>
              </w:rPr>
              <w:t>Sarwa bears cost</w:t>
            </w:r>
          </w:p>
        </w:tc>
      </w:tr>
      <w:tr>
        <w:trPr>
          <w:trHeight w:val="425" w:hRule="atLeast"/>
        </w:trPr>
        <w:tc>
          <w:tcPr>
            <w:tcW w:type="dxa" w:w="3249"/>
            <w:vAlign w:val="center"/>
          </w:tcPr>
          <w:p>
            <w:pPr>
              <w:spacing w:line="276" w:lineRule="auto" w:before="0" w:after="0"/>
            </w:pPr>
            <w:r/>
            <w:r>
              <w:rPr>
                <w:rFonts w:ascii="Figtree" w:hAnsi="Figtree"/>
                <w:b w:val="0"/>
                <w:i w:val="0"/>
                <w:sz w:val="20"/>
              </w:rPr>
              <w:t>On-premises</w:t>
            </w:r>
          </w:p>
        </w:tc>
        <w:tc>
          <w:tcPr>
            <w:tcW w:type="dxa" w:w="3249"/>
            <w:vAlign w:val="center"/>
          </w:tcPr>
          <w:p>
            <w:pPr>
              <w:spacing w:line="276" w:lineRule="auto" w:before="0" w:after="0"/>
            </w:pPr>
            <w:r/>
            <w:r>
              <w:rPr>
                <w:rFonts w:ascii="Figtree" w:hAnsi="Figtree"/>
                <w:b w:val="0"/>
                <w:i w:val="0"/>
                <w:sz w:val="20"/>
              </w:rPr>
              <w:t>Sarwa</w:t>
            </w:r>
          </w:p>
        </w:tc>
        <w:tc>
          <w:tcPr>
            <w:tcW w:type="dxa" w:w="3249"/>
            <w:vAlign w:val="center"/>
          </w:tcPr>
          <w:p>
            <w:pPr>
              <w:spacing w:line="276" w:lineRule="auto" w:before="0" w:after="0"/>
            </w:pPr>
            <w:r/>
            <w:r>
              <w:rPr>
                <w:rFonts w:ascii="Figtree" w:hAnsi="Figtree"/>
                <w:b w:val="0"/>
                <w:i w:val="0"/>
                <w:sz w:val="20"/>
              </w:rPr>
              <w:t>Sarwa bears cost</w:t>
            </w:r>
          </w:p>
        </w:tc>
      </w:tr>
    </w:tbl>
    <w:p>
      <w:pPr>
        <w:spacing w:before="0" w:after="0" w:line="120" w:lineRule="exact"/>
      </w:pPr>
    </w:p>
    <w:p>
      <w:r>
        <w:rPr>
          <w:rFonts w:ascii="Figtree" w:hAnsi="Figtree"/>
          <w:b w:val="0"/>
          <w:i w:val="0"/>
          <w:sz w:val="22"/>
        </w:rPr>
        <w:t>Cloud-managed is recommended for Sarwa's initial deployment to minimize operational overhead.</w:t>
      </w:r>
    </w:p>
    <w:p>
      <w:r>
        <w:br w:type="page"/>
      </w:r>
    </w:p>
    <w:p>
      <w:pPr>
        <w:pStyle w:val="H2"/>
        <w:numPr>
          <w:ilvl w:val="1"/>
          <w:numId w:val="1"/>
        </w:numPr>
      </w:pPr>
      <w:r>
        <w:t>Implementation Costs</w:t>
      </w:r>
    </w:p>
    <w:p>
      <w:r>
        <w:rPr>
          <w:rFonts w:ascii="Figtree" w:hAnsi="Figtree"/>
          <w:b w:val="0"/>
          <w:i w:val="0"/>
          <w:sz w:val="22"/>
        </w:rPr>
        <w:t>Implementation services cover the 22-week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60"/>
        <w:gridCol w:w="621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Service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Platform setup</w:t>
            </w:r>
          </w:p>
        </w:tc>
        <w:tc>
          <w:tcPr>
            <w:tcW w:type="dxa" w:w="4873"/>
            <w:vAlign w:val="center"/>
          </w:tcPr>
          <w:p>
            <w:pPr>
              <w:spacing w:line="276" w:lineRule="auto" w:before="0" w:after="0"/>
            </w:pPr>
            <w:r/>
            <w:r>
              <w:rPr>
                <w:rFonts w:ascii="Figtree" w:hAnsi="Figtree"/>
                <w:b w:val="0"/>
                <w:i w:val="0"/>
                <w:sz w:val="20"/>
              </w:rPr>
              <w:t>Environment configuration, network, contract deployment</w:t>
            </w:r>
          </w:p>
        </w:tc>
      </w:tr>
      <w:tr>
        <w:trPr>
          <w:trHeight w:val="425" w:hRule="atLeast"/>
        </w:trPr>
        <w:tc>
          <w:tcPr>
            <w:tcW w:type="dxa" w:w="4873"/>
            <w:vAlign w:val="center"/>
          </w:tcPr>
          <w:p>
            <w:pPr>
              <w:spacing w:line="276" w:lineRule="auto" w:before="0" w:after="0"/>
            </w:pPr>
            <w:r/>
            <w:r>
              <w:rPr>
                <w:rFonts w:ascii="Figtree" w:hAnsi="Figtree"/>
                <w:b w:val="0"/>
                <w:i w:val="0"/>
                <w:sz w:val="20"/>
              </w:rPr>
              <w:t>API integration</w:t>
            </w:r>
          </w:p>
        </w:tc>
        <w:tc>
          <w:tcPr>
            <w:tcW w:type="dxa" w:w="4873"/>
            <w:vAlign w:val="center"/>
          </w:tcPr>
          <w:p>
            <w:pPr>
              <w:spacing w:line="276" w:lineRule="auto" w:before="0" w:after="0"/>
            </w:pPr>
            <w:r/>
            <w:r>
              <w:rPr>
                <w:rFonts w:ascii="Figtree" w:hAnsi="Figtree"/>
                <w:b w:val="0"/>
                <w:i w:val="0"/>
                <w:sz w:val="20"/>
              </w:rPr>
              <w:t>Connection to Sarwa mobile backend, KYC, payment</w:t>
            </w:r>
          </w:p>
        </w:tc>
      </w:tr>
      <w:tr>
        <w:trPr>
          <w:trHeight w:val="425" w:hRule="atLeast"/>
        </w:trPr>
        <w:tc>
          <w:tcPr>
            <w:tcW w:type="dxa" w:w="4873"/>
            <w:vAlign w:val="center"/>
          </w:tcPr>
          <w:p>
            <w:pPr>
              <w:spacing w:line="276" w:lineRule="auto" w:before="0" w:after="0"/>
            </w:pPr>
            <w:r/>
            <w:r>
              <w:rPr>
                <w:rFonts w:ascii="Figtree" w:hAnsi="Figtree"/>
                <w:b w:val="0"/>
                <w:i w:val="0"/>
                <w:sz w:val="20"/>
              </w:rPr>
              <w:t>Product configuration</w:t>
            </w:r>
          </w:p>
        </w:tc>
        <w:tc>
          <w:tcPr>
            <w:tcW w:type="dxa" w:w="4873"/>
            <w:vAlign w:val="center"/>
          </w:tcPr>
          <w:p>
            <w:pPr>
              <w:spacing w:line="276" w:lineRule="auto" w:before="0" w:after="0"/>
            </w:pPr>
            <w:r/>
            <w:r>
              <w:rPr>
                <w:rFonts w:ascii="Figtree" w:hAnsi="Figtree"/>
                <w:b w:val="0"/>
                <w:i w:val="0"/>
                <w:sz w:val="20"/>
              </w:rPr>
              <w:t>First 3 tokenized investment products configured</w:t>
            </w:r>
          </w:p>
        </w:tc>
      </w:tr>
      <w:tr>
        <w:trPr>
          <w:trHeight w:val="425" w:hRule="atLeast"/>
        </w:trPr>
        <w:tc>
          <w:tcPr>
            <w:tcW w:type="dxa" w:w="4873"/>
            <w:vAlign w:val="center"/>
          </w:tcPr>
          <w:p>
            <w:pPr>
              <w:spacing w:line="276" w:lineRule="auto" w:before="0" w:after="0"/>
            </w:pPr>
            <w:r/>
            <w:r>
              <w:rPr>
                <w:rFonts w:ascii="Figtree" w:hAnsi="Figtree"/>
                <w:b w:val="0"/>
                <w:i w:val="0"/>
                <w:sz w:val="20"/>
              </w:rPr>
              <w:t>Compliance setup</w:t>
            </w:r>
          </w:p>
        </w:tc>
        <w:tc>
          <w:tcPr>
            <w:tcW w:type="dxa" w:w="4873"/>
            <w:vAlign w:val="center"/>
          </w:tcPr>
          <w:p>
            <w:pPr>
              <w:spacing w:line="276" w:lineRule="auto" w:before="0" w:after="0"/>
            </w:pPr>
            <w:r/>
            <w:r>
              <w:rPr>
                <w:rFonts w:ascii="Figtree" w:hAnsi="Figtree"/>
                <w:b w:val="0"/>
                <w:i w:val="0"/>
                <w:sz w:val="20"/>
              </w:rPr>
              <w:t>Module selection and configuration for UAE requirements</w:t>
            </w:r>
          </w:p>
        </w:tc>
      </w:tr>
      <w:tr>
        <w:trPr>
          <w:trHeight w:val="425" w:hRule="atLeast"/>
        </w:trPr>
        <w:tc>
          <w:tcPr>
            <w:tcW w:type="dxa" w:w="4873"/>
            <w:vAlign w:val="center"/>
          </w:tcPr>
          <w:p>
            <w:pPr>
              <w:spacing w:line="276" w:lineRule="auto" w:before="0" w:after="0"/>
            </w:pPr>
            <w:r/>
            <w:r>
              <w:rPr>
                <w:rFonts w:ascii="Figtree" w:hAnsi="Figtree"/>
                <w:b w:val="0"/>
                <w:i w:val="0"/>
                <w:sz w:val="20"/>
              </w:rPr>
              <w:t>Distribution engine</w:t>
            </w:r>
          </w:p>
        </w:tc>
        <w:tc>
          <w:tcPr>
            <w:tcW w:type="dxa" w:w="4873"/>
            <w:vAlign w:val="center"/>
          </w:tcPr>
          <w:p>
            <w:pPr>
              <w:spacing w:line="276" w:lineRule="auto" w:before="0" w:after="0"/>
            </w:pPr>
            <w:r/>
            <w:r>
              <w:rPr>
                <w:rFonts w:ascii="Figtree" w:hAnsi="Figtree"/>
                <w:b w:val="0"/>
                <w:i w:val="0"/>
                <w:sz w:val="20"/>
              </w:rPr>
              <w:t>Automated distribution scheduling and testing</w:t>
            </w:r>
          </w:p>
        </w:tc>
      </w:tr>
      <w:tr>
        <w:trPr>
          <w:trHeight w:val="425" w:hRule="atLeast"/>
        </w:trPr>
        <w:tc>
          <w:tcPr>
            <w:tcW w:type="dxa" w:w="4873"/>
            <w:vAlign w:val="center"/>
          </w:tcPr>
          <w:p>
            <w:pPr>
              <w:spacing w:line="276" w:lineRule="auto" w:before="0" w:after="0"/>
            </w:pPr>
            <w:r/>
            <w:r>
              <w:rPr>
                <w:rFonts w:ascii="Figtree" w:hAnsi="Figtree"/>
                <w:b w:val="0"/>
                <w:i w:val="0"/>
                <w:sz w:val="20"/>
              </w:rPr>
              <w:t>Security review</w:t>
            </w:r>
          </w:p>
        </w:tc>
        <w:tc>
          <w:tcPr>
            <w:tcW w:type="dxa" w:w="4873"/>
            <w:vAlign w:val="center"/>
          </w:tcPr>
          <w:p>
            <w:pPr>
              <w:spacing w:line="276" w:lineRule="auto" w:before="0" w:after="0"/>
            </w:pPr>
            <w:r/>
            <w:r>
              <w:rPr>
                <w:rFonts w:ascii="Figtree" w:hAnsi="Figtree"/>
                <w:b w:val="0"/>
                <w:i w:val="0"/>
                <w:sz w:val="20"/>
              </w:rPr>
              <w:t>Penetration test support, security questionnaire</w:t>
            </w:r>
          </w:p>
        </w:tc>
      </w:tr>
      <w:tr>
        <w:trPr>
          <w:trHeight w:val="425" w:hRule="atLeast"/>
        </w:trPr>
        <w:tc>
          <w:tcPr>
            <w:tcW w:type="dxa" w:w="4873"/>
            <w:vAlign w:val="center"/>
          </w:tcPr>
          <w:p>
            <w:pPr>
              <w:spacing w:line="276" w:lineRule="auto" w:before="0" w:after="0"/>
            </w:pPr>
            <w:r/>
            <w:r>
              <w:rPr>
                <w:rFonts w:ascii="Figtree" w:hAnsi="Figtree"/>
                <w:b w:val="0"/>
                <w:i w:val="0"/>
                <w:sz w:val="20"/>
              </w:rPr>
              <w:t>Go-live</w:t>
            </w:r>
          </w:p>
        </w:tc>
        <w:tc>
          <w:tcPr>
            <w:tcW w:type="dxa" w:w="4873"/>
            <w:vAlign w:val="center"/>
          </w:tcPr>
          <w:p>
            <w:pPr>
              <w:spacing w:line="276" w:lineRule="auto" w:before="0" w:after="0"/>
            </w:pPr>
            <w:r/>
            <w:r>
              <w:rPr>
                <w:rFonts w:ascii="Figtree" w:hAnsi="Figtree"/>
                <w:b w:val="0"/>
                <w:i w:val="0"/>
                <w:sz w:val="20"/>
              </w:rPr>
              <w:t>Production deployment, hypercare period</w:t>
            </w:r>
          </w:p>
        </w:tc>
      </w:tr>
      <w:tr>
        <w:trPr>
          <w:trHeight w:val="425" w:hRule="atLeast"/>
        </w:trPr>
        <w:tc>
          <w:tcPr>
            <w:tcW w:type="dxa" w:w="4873"/>
            <w:vAlign w:val="center"/>
          </w:tcPr>
          <w:p>
            <w:pPr>
              <w:spacing w:line="276" w:lineRule="auto" w:before="0" w:after="0"/>
            </w:pPr>
            <w:r/>
            <w:r>
              <w:rPr>
                <w:rFonts w:ascii="Figtree" w:hAnsi="Figtree"/>
                <w:b w:val="0"/>
                <w:i w:val="0"/>
                <w:sz w:val="20"/>
              </w:rPr>
              <w:t>Documentation</w:t>
            </w:r>
          </w:p>
        </w:tc>
        <w:tc>
          <w:tcPr>
            <w:tcW w:type="dxa" w:w="4873"/>
            <w:vAlign w:val="center"/>
          </w:tcPr>
          <w:p>
            <w:pPr>
              <w:spacing w:line="276" w:lineRule="auto" w:before="0" w:after="0"/>
            </w:pPr>
            <w:r/>
            <w:r>
              <w:rPr>
                <w:rFonts w:ascii="Figtree" w:hAnsi="Figtree"/>
                <w:b w:val="0"/>
                <w:i w:val="0"/>
                <w:sz w:val="20"/>
              </w:rPr>
              <w:t>Runbooks, operational procedures</w:t>
            </w:r>
          </w:p>
        </w:tc>
      </w:tr>
    </w:tbl>
    <w:p>
      <w:pPr>
        <w:spacing w:before="0" w:after="0" w:line="120" w:lineRule="exact"/>
      </w:pPr>
    </w:p>
    <w:p>
      <w:r>
        <w:rPr>
          <w:rFonts w:ascii="Figtree" w:hAnsi="Figtree"/>
          <w:b/>
          <w:i w:val="0"/>
          <w:sz w:val="22"/>
        </w:rPr>
        <w:t>Implementation cost:</w:t>
      </w:r>
      <w:r>
        <w:rPr>
          <w:rFonts w:ascii="Figtree" w:hAnsi="Figtree"/>
          <w:b w:val="0"/>
          <w:i w:val="0"/>
          <w:sz w:val="22"/>
        </w:rPr>
        <w:t xml:space="preserve"> [CLIENT-SPECIFIC - scoped at contract based on confirmed integration complexity]</w:t>
      </w:r>
    </w:p>
    <w:p>
      <w:r>
        <w:br w:type="page"/>
      </w:r>
    </w:p>
    <w:p>
      <w:pPr>
        <w:pStyle w:val="H2"/>
        <w:numPr>
          <w:ilvl w:val="1"/>
          <w:numId w:val="1"/>
        </w:numPr>
      </w:pPr>
      <w:r>
        <w:t>Support and Maintenance</w:t>
      </w:r>
    </w:p>
    <w:p>
      <w:pPr>
        <w:pStyle w:val="H3"/>
        <w:numPr>
          <w:ilvl w:val="2"/>
          <w:numId w:val="1"/>
        </w:numPr>
      </w:pPr>
      <w:r>
        <w:t>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00"/>
        <w:gridCol w:w="487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Availability</w:t>
            </w:r>
          </w:p>
        </w:tc>
        <w:tc>
          <w:tcPr>
            <w:tcW w:type="dxa" w:w="4873"/>
            <w:vAlign w:val="center"/>
          </w:tcPr>
          <w:p>
            <w:pPr>
              <w:spacing w:line="276" w:lineRule="auto" w:before="0" w:after="0"/>
            </w:pPr>
            <w:r/>
            <w:r>
              <w:rPr>
                <w:rFonts w:ascii="Figtree" w:hAnsi="Figtree"/>
                <w:b w:val="0"/>
                <w:i w:val="0"/>
                <w:sz w:val="20"/>
              </w:rPr>
              <w:t>24/5</w:t>
            </w:r>
          </w:p>
        </w:tc>
      </w:tr>
      <w:tr>
        <w:trPr>
          <w:trHeight w:val="425" w:hRule="atLeast"/>
        </w:trPr>
        <w:tc>
          <w:tcPr>
            <w:tcW w:type="dxa" w:w="4873"/>
            <w:vAlign w:val="center"/>
          </w:tcPr>
          <w:p>
            <w:pPr>
              <w:spacing w:line="276" w:lineRule="auto" w:before="0" w:after="0"/>
            </w:pPr>
            <w:r/>
            <w:r>
              <w:rPr>
                <w:rFonts w:ascii="Figtree" w:hAnsi="Figtree"/>
                <w:b w:val="0"/>
                <w:i w:val="0"/>
                <w:sz w:val="20"/>
              </w:rPr>
              <w:t>Critical response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Standard response</w:t>
            </w:r>
          </w:p>
        </w:tc>
        <w:tc>
          <w:tcPr>
            <w:tcW w:type="dxa" w:w="4873"/>
            <w:vAlign w:val="center"/>
          </w:tcPr>
          <w:p>
            <w:pPr>
              <w:spacing w:line="276" w:lineRule="auto" w:before="0" w:after="0"/>
            </w:pPr>
            <w:r/>
            <w:r>
              <w:rPr>
                <w:rFonts w:ascii="Figtree" w:hAnsi="Figtree"/>
                <w:b w:val="0"/>
                <w:i w:val="0"/>
                <w:sz w:val="20"/>
              </w:rPr>
              <w:t>8 hours</w:t>
            </w:r>
          </w:p>
        </w:tc>
      </w:tr>
      <w:tr>
        <w:trPr>
          <w:trHeight w:val="425" w:hRule="atLeast"/>
        </w:trPr>
        <w:tc>
          <w:tcPr>
            <w:tcW w:type="dxa" w:w="4873"/>
            <w:vAlign w:val="center"/>
          </w:tcPr>
          <w:p>
            <w:pPr>
              <w:spacing w:line="276" w:lineRule="auto" w:before="0" w:after="0"/>
            </w:pPr>
            <w:r/>
            <w:r>
              <w:rPr>
                <w:rFonts w:ascii="Figtree" w:hAnsi="Figtree"/>
                <w:b w:val="0"/>
                <w:i w:val="0"/>
                <w:sz w:val="20"/>
              </w:rPr>
              <w:t>Technical account manager</w:t>
            </w:r>
          </w:p>
        </w:tc>
        <w:tc>
          <w:tcPr>
            <w:tcW w:type="dxa" w:w="4873"/>
            <w:vAlign w:val="center"/>
          </w:tcPr>
          <w:p>
            <w:pPr>
              <w:spacing w:line="276" w:lineRule="auto" w:before="0" w:after="0"/>
            </w:pPr>
            <w:r/>
            <w:r>
              <w:rPr>
                <w:rFonts w:ascii="Figtree" w:hAnsi="Figtree"/>
                <w:b w:val="0"/>
                <w:i w:val="0"/>
                <w:sz w:val="20"/>
              </w:rPr>
              <w:t>Dedicated</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 updates</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Security patches</w:t>
            </w:r>
          </w:p>
        </w:tc>
        <w:tc>
          <w:tcPr>
            <w:tcW w:type="dxa" w:w="4873"/>
            <w:vAlign w:val="center"/>
          </w:tcPr>
          <w:p>
            <w:pPr>
              <w:spacing w:line="276" w:lineRule="auto" w:before="0" w:after="0"/>
            </w:pPr>
            <w:r/>
            <w:r>
              <w:rPr>
                <w:rFonts w:ascii="Figtree" w:hAnsi="Figtree"/>
                <w:b w:val="0"/>
                <w:i w:val="0"/>
                <w:sz w:val="20"/>
              </w:rPr>
              <w:t>Same business day (emergency)</w:t>
            </w:r>
          </w:p>
        </w:tc>
      </w:tr>
    </w:tbl>
    <w:p>
      <w:pPr>
        <w:spacing w:before="0" w:after="0" w:line="120" w:lineRule="exact"/>
      </w:pPr>
    </w:p>
    <w:p>
      <w:r>
        <w:rPr>
          <w:rFonts w:ascii="Figtree" w:hAnsi="Figtree"/>
          <w:b/>
          <w:i w:val="0"/>
          <w:sz w:val="22"/>
        </w:rPr>
        <w:t>Support cost:</w:t>
      </w:r>
      <w:r>
        <w:rPr>
          <w:rFonts w:ascii="Figtree" w:hAnsi="Figtree"/>
          <w:b w:val="0"/>
          <w:i w:val="0"/>
          <w:sz w:val="22"/>
        </w:rPr>
        <w:t xml:space="preserve"> [CLIENT-SPECIFIC]</w:t>
      </w:r>
    </w:p>
    <w:p>
      <w:r>
        <w:br w:type="page"/>
      </w:r>
    </w:p>
    <w:p>
      <w:pPr>
        <w:pStyle w:val="H2"/>
        <w:numPr>
          <w:ilvl w:val="1"/>
          <w:numId w:val="1"/>
        </w:numPr>
      </w:pPr>
      <w:r>
        <w:t>Total Cost of Ownership</w:t>
      </w:r>
    </w:p>
    <w:p>
      <w:pPr>
        <w:pStyle w:val="H3"/>
        <w:numPr>
          <w:ilvl w:val="2"/>
          <w:numId w:val="1"/>
        </w:numPr>
      </w:pPr>
      <w:r>
        <w:t>Five-Year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22"/>
        <w:gridCol w:w="1230"/>
        <w:gridCol w:w="3229"/>
        <w:gridCol w:w="369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License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Infrastructure (est.)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Total Annual</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€48,000-€96,000</w:t>
            </w:r>
          </w:p>
        </w:tc>
        <w:tc>
          <w:tcPr>
            <w:tcW w:type="dxa" w:w="2436"/>
            <w:vAlign w:val="center"/>
          </w:tcPr>
          <w:p>
            <w:pPr>
              <w:spacing w:line="276" w:lineRule="auto" w:before="0" w:after="0"/>
            </w:pPr>
            <w:r/>
            <w:r>
              <w:rPr>
                <w:rFonts w:ascii="Figtree" w:hAnsi="Figtree"/>
                <w:b w:val="0"/>
                <w:i w:val="0"/>
                <w:sz w:val="20"/>
              </w:rPr>
              <w:t>€468,000-€516,000 + impl</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€48,000-€96,000</w:t>
            </w:r>
          </w:p>
        </w:tc>
        <w:tc>
          <w:tcPr>
            <w:tcW w:type="dxa" w:w="2436"/>
            <w:vAlign w:val="center"/>
          </w:tcPr>
          <w:p>
            <w:pPr>
              <w:spacing w:line="276" w:lineRule="auto" w:before="0" w:after="0"/>
            </w:pPr>
            <w:r/>
            <w:r>
              <w:rPr>
                <w:rFonts w:ascii="Figtree" w:hAnsi="Figtree"/>
                <w:b w:val="0"/>
                <w:i w:val="0"/>
                <w:sz w:val="20"/>
              </w:rPr>
              <w:t>€468,000-€516,000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€55,000-€105,000</w:t>
            </w:r>
          </w:p>
        </w:tc>
        <w:tc>
          <w:tcPr>
            <w:tcW w:type="dxa" w:w="2436"/>
            <w:vAlign w:val="center"/>
          </w:tcPr>
          <w:p>
            <w:pPr>
              <w:spacing w:line="276" w:lineRule="auto" w:before="0" w:after="0"/>
            </w:pPr>
            <w:r/>
            <w:r>
              <w:rPr>
                <w:rFonts w:ascii="Figtree" w:hAnsi="Figtree"/>
                <w:b w:val="0"/>
                <w:i w:val="0"/>
                <w:sz w:val="20"/>
              </w:rPr>
              <w:t>€475,000-€525,000</w:t>
            </w:r>
          </w:p>
        </w:tc>
      </w:tr>
      <w:tr>
        <w:trPr>
          <w:trHeight w:val="425" w:hRule="atLeast"/>
        </w:trPr>
        <w:tc>
          <w:tcPr>
            <w:tcW w:type="dxa" w:w="2436"/>
            <w:vAlign w:val="center"/>
          </w:tcPr>
          <w:p>
            <w:pPr>
              <w:spacing w:line="276" w:lineRule="auto" w:before="0" w:after="0"/>
            </w:pPr>
            <w:r/>
            <w:r>
              <w:rPr>
                <w:rFonts w:ascii="Figtree" w:hAnsi="Figtree"/>
                <w:b w:val="0"/>
                <w:i w:val="0"/>
                <w:sz w:val="20"/>
              </w:rPr>
              <w:t>Year 4</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€55,000-€105,000</w:t>
            </w:r>
          </w:p>
        </w:tc>
        <w:tc>
          <w:tcPr>
            <w:tcW w:type="dxa" w:w="2436"/>
            <w:vAlign w:val="center"/>
          </w:tcPr>
          <w:p>
            <w:pPr>
              <w:spacing w:line="276" w:lineRule="auto" w:before="0" w:after="0"/>
            </w:pPr>
            <w:r/>
            <w:r>
              <w:rPr>
                <w:rFonts w:ascii="Figtree" w:hAnsi="Figtree"/>
                <w:b w:val="0"/>
                <w:i w:val="0"/>
                <w:sz w:val="20"/>
              </w:rPr>
              <w:t>€475,000-€525,000</w:t>
            </w:r>
          </w:p>
        </w:tc>
      </w:tr>
      <w:tr>
        <w:trPr>
          <w:trHeight w:val="425" w:hRule="atLeast"/>
        </w:trPr>
        <w:tc>
          <w:tcPr>
            <w:tcW w:type="dxa" w:w="2436"/>
            <w:vAlign w:val="center"/>
          </w:tcPr>
          <w:p>
            <w:pPr>
              <w:spacing w:line="276" w:lineRule="auto" w:before="0" w:after="0"/>
            </w:pPr>
            <w:r/>
            <w:r>
              <w:rPr>
                <w:rFonts w:ascii="Figtree" w:hAnsi="Figtree"/>
                <w:b w:val="0"/>
                <w:i w:val="0"/>
                <w:sz w:val="20"/>
              </w:rPr>
              <w:t>Year 5</w:t>
            </w:r>
          </w:p>
        </w:tc>
        <w:tc>
          <w:tcPr>
            <w:tcW w:type="dxa" w:w="2436"/>
            <w:vAlign w:val="center"/>
          </w:tcPr>
          <w:p>
            <w:pPr>
              <w:spacing w:line="276" w:lineRule="auto" w:before="0" w:after="0"/>
            </w:pPr>
            <w:r/>
            <w:r>
              <w:rPr>
                <w:rFonts w:ascii="Figtree" w:hAnsi="Figtree"/>
                <w:b w:val="0"/>
                <w:i w:val="0"/>
                <w:sz w:val="20"/>
              </w:rPr>
              <w:t>€420,000</w:t>
            </w:r>
          </w:p>
        </w:tc>
        <w:tc>
          <w:tcPr>
            <w:tcW w:type="dxa" w:w="2436"/>
            <w:vAlign w:val="center"/>
          </w:tcPr>
          <w:p>
            <w:pPr>
              <w:spacing w:line="276" w:lineRule="auto" w:before="0" w:after="0"/>
            </w:pPr>
            <w:r/>
            <w:r>
              <w:rPr>
                <w:rFonts w:ascii="Figtree" w:hAnsi="Figtree"/>
                <w:b w:val="0"/>
                <w:i w:val="0"/>
                <w:sz w:val="20"/>
              </w:rPr>
              <w:t>€60,000-€110,000</w:t>
            </w:r>
          </w:p>
        </w:tc>
        <w:tc>
          <w:tcPr>
            <w:tcW w:type="dxa" w:w="2436"/>
            <w:vAlign w:val="center"/>
          </w:tcPr>
          <w:p>
            <w:pPr>
              <w:spacing w:line="276" w:lineRule="auto" w:before="0" w:after="0"/>
            </w:pPr>
            <w:r/>
            <w:r>
              <w:rPr>
                <w:rFonts w:ascii="Figtree" w:hAnsi="Figtree"/>
                <w:b w:val="0"/>
                <w:i w:val="0"/>
                <w:sz w:val="20"/>
              </w:rPr>
              <w:t>€480,000-€530,000</w:t>
            </w:r>
          </w:p>
        </w:tc>
      </w:tr>
    </w:tbl>
    <w:p>
      <w:pPr>
        <w:spacing w:before="0" w:after="0" w:line="120" w:lineRule="exact"/>
      </w:pPr>
    </w:p>
    <w:p>
      <w:pPr>
        <w:pStyle w:val="H3"/>
        <w:numPr>
          <w:ilvl w:val="2"/>
          <w:numId w:val="1"/>
        </w:numPr>
      </w:pPr>
      <w:r>
        <w:t>Alternative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0"/>
        <w:gridCol w:w="3557"/>
        <w:gridCol w:w="30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5-Year Cumulative</w:t>
            </w:r>
          </w:p>
        </w:tc>
      </w:tr>
      <w:tr>
        <w:trPr>
          <w:trHeight w:val="425" w:hRule="atLeast"/>
        </w:trPr>
        <w:tc>
          <w:tcPr>
            <w:tcW w:type="dxa" w:w="3249"/>
            <w:vAlign w:val="center"/>
          </w:tcPr>
          <w:p>
            <w:pPr>
              <w:spacing w:line="276" w:lineRule="auto" w:before="0" w:after="0"/>
            </w:pPr>
            <w:r/>
            <w:r>
              <w:rPr>
                <w:rFonts w:ascii="Figtree" w:hAnsi="Figtree"/>
                <w:b w:val="0"/>
                <w:i w:val="0"/>
                <w:sz w:val="20"/>
              </w:rPr>
              <w:t>DALP</w:t>
            </w:r>
          </w:p>
        </w:tc>
        <w:tc>
          <w:tcPr>
            <w:tcW w:type="dxa" w:w="3249"/>
            <w:vAlign w:val="center"/>
          </w:tcPr>
          <w:p>
            <w:pPr>
              <w:spacing w:line="276" w:lineRule="auto" w:before="0" w:after="0"/>
            </w:pPr>
            <w:r/>
            <w:r>
              <w:rPr>
                <w:rFonts w:ascii="Figtree" w:hAnsi="Figtree"/>
                <w:b w:val="0"/>
                <w:i w:val="0"/>
                <w:sz w:val="20"/>
              </w:rPr>
              <w:t>€420K + impl + infra</w:t>
            </w:r>
          </w:p>
        </w:tc>
        <w:tc>
          <w:tcPr>
            <w:tcW w:type="dxa" w:w="3249"/>
            <w:vAlign w:val="center"/>
          </w:tcPr>
          <w:p>
            <w:pPr>
              <w:spacing w:line="276" w:lineRule="auto" w:before="0" w:after="0"/>
            </w:pPr>
            <w:r/>
            <w:r>
              <w:rPr>
                <w:rFonts w:ascii="Figtree" w:hAnsi="Figtree"/>
                <w:b w:val="0"/>
                <w:i w:val="0"/>
                <w:sz w:val="20"/>
              </w:rPr>
              <w:t>~€2.1M-€2.5M</w:t>
            </w:r>
          </w:p>
        </w:tc>
      </w:tr>
      <w:tr>
        <w:trPr>
          <w:trHeight w:val="425" w:hRule="atLeast"/>
        </w:trPr>
        <w:tc>
          <w:tcPr>
            <w:tcW w:type="dxa" w:w="3249"/>
            <w:vAlign w:val="center"/>
          </w:tcPr>
          <w:p>
            <w:pPr>
              <w:spacing w:line="276" w:lineRule="auto" w:before="0" w:after="0"/>
            </w:pPr>
            <w:r/>
            <w:r>
              <w:rPr>
                <w:rFonts w:ascii="Figtree" w:hAnsi="Figtree"/>
                <w:b w:val="0"/>
                <w:i w:val="0"/>
                <w:sz w:val="20"/>
              </w:rPr>
              <w:t>Multi-vendor</w:t>
            </w:r>
          </w:p>
        </w:tc>
        <w:tc>
          <w:tcPr>
            <w:tcW w:type="dxa" w:w="3249"/>
            <w:vAlign w:val="center"/>
          </w:tcPr>
          <w:p>
            <w:pPr>
              <w:spacing w:line="276" w:lineRule="auto" w:before="0" w:after="0"/>
            </w:pPr>
            <w:r/>
            <w:r>
              <w:rPr>
                <w:rFonts w:ascii="Figtree" w:hAnsi="Figtree"/>
                <w:b w:val="0"/>
                <w:i w:val="0"/>
                <w:sz w:val="20"/>
              </w:rPr>
              <w:t>€700K-€1M</w:t>
            </w:r>
          </w:p>
        </w:tc>
        <w:tc>
          <w:tcPr>
            <w:tcW w:type="dxa" w:w="3249"/>
            <w:vAlign w:val="center"/>
          </w:tcPr>
          <w:p>
            <w:pPr>
              <w:spacing w:line="276" w:lineRule="auto" w:before="0" w:after="0"/>
            </w:pPr>
            <w:r/>
            <w:r>
              <w:rPr>
                <w:rFonts w:ascii="Figtree" w:hAnsi="Figtree"/>
                <w:b w:val="0"/>
                <w:i w:val="0"/>
                <w:sz w:val="20"/>
              </w:rPr>
              <w:t>~€3M-€4M</w:t>
            </w:r>
          </w:p>
        </w:tc>
      </w:tr>
      <w:tr>
        <w:trPr>
          <w:trHeight w:val="425" w:hRule="atLeast"/>
        </w:trPr>
        <w:tc>
          <w:tcPr>
            <w:tcW w:type="dxa" w:w="3249"/>
            <w:vAlign w:val="center"/>
          </w:tcPr>
          <w:p>
            <w:pPr>
              <w:spacing w:line="276" w:lineRule="auto" w:before="0" w:after="0"/>
            </w:pPr>
            <w:r/>
            <w:r>
              <w:rPr>
                <w:rFonts w:ascii="Figtree" w:hAnsi="Figtree"/>
                <w:b w:val="0"/>
                <w:i w:val="0"/>
                <w:sz w:val="20"/>
              </w:rPr>
              <w:t>Internal build</w:t>
            </w:r>
          </w:p>
        </w:tc>
        <w:tc>
          <w:tcPr>
            <w:tcW w:type="dxa" w:w="3249"/>
            <w:vAlign w:val="center"/>
          </w:tcPr>
          <w:p>
            <w:pPr>
              <w:spacing w:line="276" w:lineRule="auto" w:before="0" w:after="0"/>
            </w:pPr>
            <w:r/>
            <w:r>
              <w:rPr>
                <w:rFonts w:ascii="Figtree" w:hAnsi="Figtree"/>
                <w:b w:val="0"/>
                <w:i w:val="0"/>
                <w:sz w:val="20"/>
              </w:rPr>
              <w:t>€1.2M-€2M</w:t>
            </w:r>
          </w:p>
        </w:tc>
        <w:tc>
          <w:tcPr>
            <w:tcW w:type="dxa" w:w="3249"/>
            <w:vAlign w:val="center"/>
          </w:tcPr>
          <w:p>
            <w:pPr>
              <w:spacing w:line="276" w:lineRule="auto" w:before="0" w:after="0"/>
            </w:pPr>
            <w:r/>
            <w:r>
              <w:rPr>
                <w:rFonts w:ascii="Figtree" w:hAnsi="Figtree"/>
                <w:b w:val="0"/>
                <w:i w:val="0"/>
                <w:sz w:val="20"/>
              </w:rPr>
              <w:t>~€4M-€6M</w:t>
            </w:r>
          </w:p>
        </w:tc>
      </w:tr>
    </w:tbl>
    <w:p>
      <w:pPr>
        <w:spacing w:before="0" w:after="0" w:line="120" w:lineRule="exact"/>
      </w:pPr>
    </w:p>
    <w:p>
      <w:r>
        <w:br w:type="page"/>
      </w:r>
    </w:p>
    <w:p>
      <w:pPr>
        <w:pStyle w:val="H2"/>
        <w:numPr>
          <w:ilvl w:val="1"/>
          <w:numId w:val="1"/>
        </w:numPr>
      </w:pPr>
      <w:r>
        <w:t>ROI Framework</w:t>
      </w:r>
    </w:p>
    <w:p>
      <w:pPr>
        <w:pStyle w:val="H3"/>
        <w:numPr>
          <w:ilvl w:val="2"/>
          <w:numId w:val="1"/>
        </w:numPr>
      </w:pPr>
      <w:r>
        <w:t>Cost Avoidance</w:t>
      </w:r>
    </w:p>
    <w:p>
      <w:pPr>
        <w:pStyle w:val="ListParagraph"/>
        <w:numPr>
          <w:ilvl w:val="0"/>
          <w:numId w:val="4"/>
        </w:numPr>
      </w:pPr>
      <w:r>
        <w:rPr>
          <w:rFonts w:ascii="Figtree" w:hAnsi="Figtree"/>
          <w:b/>
          <w:i w:val="0"/>
          <w:sz w:val="22"/>
        </w:rPr>
        <w:t>Engineering avoidance:</w:t>
      </w:r>
      <w:r>
        <w:rPr>
          <w:rFonts w:ascii="Figtree" w:hAnsi="Figtree"/>
          <w:b w:val="0"/>
          <w:i w:val="0"/>
          <w:sz w:val="22"/>
        </w:rPr>
        <w:t xml:space="preserve"> €1.5M-€3M avoided over 3 years compared to internal build</w:t>
      </w:r>
    </w:p>
    <w:p>
      <w:pPr>
        <w:pStyle w:val="ListParagraph"/>
        <w:numPr>
          <w:ilvl w:val="0"/>
          <w:numId w:val="4"/>
        </w:numPr>
      </w:pPr>
      <w:r>
        <w:rPr>
          <w:rFonts w:ascii="Figtree" w:hAnsi="Figtree"/>
          <w:b/>
          <w:i w:val="0"/>
          <w:sz w:val="22"/>
        </w:rPr>
        <w:t>Integration maintenance:</w:t>
      </w:r>
      <w:r>
        <w:rPr>
          <w:rFonts w:ascii="Figtree" w:hAnsi="Figtree"/>
          <w:b w:val="0"/>
          <w:i w:val="0"/>
          <w:sz w:val="22"/>
        </w:rPr>
        <w:t xml:space="preserve"> Single platform eliminates multi-vendor integration costs</w:t>
      </w:r>
    </w:p>
    <w:p>
      <w:pPr>
        <w:pStyle w:val="ListParagraph"/>
        <w:numPr>
          <w:ilvl w:val="0"/>
          <w:numId w:val="4"/>
        </w:numPr>
      </w:pPr>
      <w:r>
        <w:rPr>
          <w:rFonts w:ascii="Figtree" w:hAnsi="Figtree"/>
          <w:b/>
          <w:i w:val="0"/>
          <w:sz w:val="22"/>
        </w:rPr>
        <w:t>Regulatory remediation:</w:t>
      </w:r>
      <w:r>
        <w:rPr>
          <w:rFonts w:ascii="Figtree" w:hAnsi="Figtree"/>
          <w:b w:val="0"/>
          <w:i w:val="0"/>
          <w:sz w:val="22"/>
        </w:rPr>
        <w:t xml:space="preserve"> Production-proven compliance modules reduce remediation risk</w:t>
      </w:r>
    </w:p>
    <w:p>
      <w:pPr>
        <w:pStyle w:val="H3"/>
        <w:numPr>
          <w:ilvl w:val="2"/>
          <w:numId w:val="1"/>
        </w:numPr>
      </w:pPr>
      <w:r>
        <w:t>Revenue Enablement</w:t>
      </w:r>
    </w:p>
    <w:p>
      <w:pPr>
        <w:pStyle w:val="ListParagraph"/>
        <w:numPr>
          <w:ilvl w:val="0"/>
          <w:numId w:val="4"/>
        </w:numPr>
      </w:pPr>
      <w:r>
        <w:rPr>
          <w:rFonts w:ascii="Figtree" w:hAnsi="Figtree"/>
          <w:b/>
          <w:i w:val="0"/>
          <w:sz w:val="22"/>
        </w:rPr>
        <w:t>12+ months faster to market:</w:t>
      </w:r>
      <w:r>
        <w:rPr>
          <w:rFonts w:ascii="Figtree" w:hAnsi="Figtree"/>
          <w:b w:val="0"/>
          <w:i w:val="0"/>
          <w:sz w:val="22"/>
        </w:rPr>
        <w:t xml:space="preserve"> Tokenized products generating revenue within 6 months vs. 18+ months</w:t>
      </w:r>
    </w:p>
    <w:p>
      <w:pPr>
        <w:pStyle w:val="ListParagraph"/>
        <w:numPr>
          <w:ilvl w:val="0"/>
          <w:numId w:val="4"/>
        </w:numPr>
      </w:pPr>
      <w:r>
        <w:rPr>
          <w:rFonts w:ascii="Figtree" w:hAnsi="Figtree"/>
          <w:b/>
          <w:i w:val="0"/>
          <w:sz w:val="22"/>
        </w:rPr>
        <w:t>Product velocity:</w:t>
      </w:r>
      <w:r>
        <w:rPr>
          <w:rFonts w:ascii="Figtree" w:hAnsi="Figtree"/>
          <w:b w:val="0"/>
          <w:i w:val="0"/>
          <w:sz w:val="22"/>
        </w:rPr>
        <w:t xml:space="preserve"> New products in days, not months. Each product is an incremental revenue stream</w:t>
      </w:r>
    </w:p>
    <w:p>
      <w:pPr>
        <w:pStyle w:val="ListParagraph"/>
        <w:numPr>
          <w:ilvl w:val="0"/>
          <w:numId w:val="4"/>
        </w:numPr>
      </w:pPr>
      <w:r>
        <w:rPr>
          <w:rFonts w:ascii="Figtree" w:hAnsi="Figtree"/>
          <w:b/>
          <w:i w:val="0"/>
          <w:sz w:val="22"/>
        </w:rPr>
        <w:t>Investor acquisition:</w:t>
      </w:r>
      <w:r>
        <w:rPr>
          <w:rFonts w:ascii="Figtree" w:hAnsi="Figtree"/>
          <w:b w:val="0"/>
          <w:i w:val="0"/>
          <w:sz w:val="22"/>
        </w:rPr>
        <w:t xml:space="preserve"> Tokenized products attract a new investor segment interested in fractional digital assets</w:t>
      </w:r>
    </w:p>
    <w:p>
      <w:pPr>
        <w:pStyle w:val="H3"/>
        <w:numPr>
          <w:ilvl w:val="2"/>
          <w:numId w:val="1"/>
        </w:numPr>
      </w:pPr>
      <w:r>
        <w:t>Risk Reduction</w:t>
      </w:r>
    </w:p>
    <w:p>
      <w:pPr>
        <w:pStyle w:val="ListParagraph"/>
        <w:numPr>
          <w:ilvl w:val="0"/>
          <w:numId w:val="4"/>
        </w:numPr>
      </w:pPr>
      <w:r>
        <w:rPr>
          <w:rFonts w:ascii="Figtree" w:hAnsi="Figtree"/>
          <w:b/>
          <w:i w:val="0"/>
          <w:sz w:val="22"/>
        </w:rPr>
        <w:t>Regulatory confidence:</w:t>
      </w:r>
      <w:r>
        <w:rPr>
          <w:rFonts w:ascii="Figtree" w:hAnsi="Figtree"/>
          <w:b w:val="0"/>
          <w:i w:val="0"/>
          <w:sz w:val="22"/>
        </w:rPr>
        <w:t xml:space="preserve"> Pre-audited compliance modules reduce SCA examination risk</w:t>
      </w:r>
    </w:p>
    <w:p>
      <w:pPr>
        <w:pStyle w:val="ListParagraph"/>
        <w:numPr>
          <w:ilvl w:val="0"/>
          <w:numId w:val="4"/>
        </w:numPr>
      </w:pPr>
      <w:r>
        <w:rPr>
          <w:rFonts w:ascii="Figtree" w:hAnsi="Figtree"/>
          <w:b/>
          <w:i w:val="0"/>
          <w:sz w:val="22"/>
        </w:rPr>
        <w:t>Operational reliability:</w:t>
      </w:r>
      <w:r>
        <w:rPr>
          <w:rFonts w:ascii="Figtree" w:hAnsi="Figtree"/>
          <w:b w:val="0"/>
          <w:i w:val="0"/>
          <w:sz w:val="22"/>
        </w:rPr>
        <w:t xml:space="preserve"> 99.9% uptime SLA protects investor experience</w:t>
      </w:r>
    </w:p>
    <w:p>
      <w:pPr>
        <w:pStyle w:val="ListParagraph"/>
        <w:numPr>
          <w:ilvl w:val="0"/>
          <w:numId w:val="4"/>
        </w:numPr>
      </w:pPr>
      <w:r>
        <w:rPr>
          <w:rFonts w:ascii="Figtree" w:hAnsi="Figtree"/>
          <w:b/>
          <w:i w:val="0"/>
          <w:sz w:val="22"/>
        </w:rPr>
        <w:t>Platform continuity:</w:t>
      </w:r>
      <w:r>
        <w:rPr>
          <w:rFonts w:ascii="Figtree" w:hAnsi="Figtree"/>
          <w:b w:val="0"/>
          <w:i w:val="0"/>
          <w:sz w:val="22"/>
        </w:rPr>
        <w:t xml:space="preserve"> Single vendor reduces key-person and technology fragmentation risk</w:t>
      </w:r>
    </w:p>
    <w:p>
      <w:r>
        <w:br w:type="page"/>
      </w:r>
    </w:p>
    <w:p>
      <w:pPr>
        <w:pStyle w:val="H2"/>
        <w:numPr>
          <w:ilvl w:val="1"/>
          <w:numId w:val="1"/>
        </w:numPr>
      </w:pPr>
      <w:r>
        <w:t>Payment Terms</w:t>
      </w:r>
    </w:p>
    <w:p>
      <w:pPr>
        <w:pStyle w:val="ListParagraph"/>
        <w:numPr>
          <w:ilvl w:val="0"/>
          <w:numId w:val="4"/>
        </w:numPr>
      </w:pPr>
      <w:r>
        <w:rPr>
          <w:rFonts w:ascii="Figtree" w:hAnsi="Figtree"/>
          <w:b/>
          <w:i w:val="0"/>
          <w:sz w:val="22"/>
        </w:rPr>
        <w:t>License fee:</w:t>
      </w:r>
      <w:r>
        <w:rPr>
          <w:rFonts w:ascii="Figtree" w:hAnsi="Figtree"/>
          <w:b w:val="0"/>
          <w:i w:val="0"/>
          <w:sz w:val="22"/>
        </w:rPr>
        <w:t xml:space="preserve"> Annual, upfront, invoiced 30 days before renewal</w:t>
      </w:r>
    </w:p>
    <w:p>
      <w:pPr>
        <w:pStyle w:val="ListParagraph"/>
        <w:numPr>
          <w:ilvl w:val="0"/>
          <w:numId w:val="4"/>
        </w:numPr>
      </w:pPr>
      <w:r>
        <w:rPr>
          <w:rFonts w:ascii="Figtree" w:hAnsi="Figtree"/>
          <w:b/>
          <w:i w:val="0"/>
          <w:sz w:val="22"/>
        </w:rPr>
        <w:t>Implementation:</w:t>
      </w:r>
      <w:r>
        <w:rPr>
          <w:rFonts w:ascii="Figtree" w:hAnsi="Figtree"/>
          <w:b w:val="0"/>
          <w:i w:val="0"/>
          <w:sz w:val="22"/>
        </w:rPr>
        <w:t xml:space="preserve"> Milestone-based; 30% on signature, 40% on Phase 2 completion, 30% on go-live</w:t>
      </w:r>
    </w:p>
    <w:p>
      <w:pPr>
        <w:pStyle w:val="ListParagraph"/>
        <w:numPr>
          <w:ilvl w:val="0"/>
          <w:numId w:val="4"/>
        </w:numPr>
      </w:pPr>
      <w:r>
        <w:rPr>
          <w:rFonts w:ascii="Figtree" w:hAnsi="Figtree"/>
          <w:b/>
          <w:i w:val="0"/>
          <w:sz w:val="22"/>
        </w:rPr>
        <w:t>Infrastructure (pass-through):</w:t>
      </w:r>
      <w:r>
        <w:rPr>
          <w:rFonts w:ascii="Figtree" w:hAnsi="Figtree"/>
          <w:b w:val="0"/>
          <w:i w:val="0"/>
          <w:sz w:val="22"/>
        </w:rPr>
        <w:t xml:space="preserve"> Monthly at cost</w:t>
      </w:r>
    </w:p>
    <w:p>
      <w:pPr>
        <w:pStyle w:val="ListParagraph"/>
        <w:numPr>
          <w:ilvl w:val="0"/>
          <w:numId w:val="4"/>
        </w:numPr>
      </w:pPr>
      <w:r>
        <w:rPr>
          <w:rFonts w:ascii="Figtree" w:hAnsi="Figtree"/>
          <w:b/>
          <w:i w:val="0"/>
          <w:sz w:val="22"/>
        </w:rPr>
        <w:t>Currency:</w:t>
      </w:r>
      <w:r>
        <w:rPr>
          <w:rFonts w:ascii="Figtree" w:hAnsi="Figtree"/>
          <w:b w:val="0"/>
          <w:i w:val="0"/>
          <w:sz w:val="22"/>
        </w:rPr>
        <w:t xml:space="preserve"> EUR base; USD invoicing available at invoice-date exchange rate</w:t>
      </w:r>
    </w:p>
    <w:p>
      <w:r>
        <w:rPr>
          <w:rFonts w:ascii="Figtree" w:hAnsi="Figtree"/>
          <w:b w:val="0"/>
          <w:i w:val="0"/>
          <w:sz w:val="22"/>
        </w:rPr>
        <w:t>All prices exclude applicable taxes and VAT.</w:t>
      </w:r>
    </w:p>
    <w:p>
      <w:r>
        <w:br w:type="page"/>
      </w:r>
    </w:p>
    <w:p>
      <w:pPr>
        <w:pStyle w:val="H2"/>
        <w:numPr>
          <w:ilvl w:val="1"/>
          <w:numId w:val="1"/>
        </w:numPr>
      </w:pPr>
      <w:r>
        <w:t>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11"/>
        <w:gridCol w:w="54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Document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4873"/>
            <w:vAlign w:val="center"/>
          </w:tcPr>
          <w:p>
            <w:pPr>
              <w:spacing w:line="276" w:lineRule="auto" w:before="0" w:after="0"/>
            </w:pPr>
            <w:r/>
            <w:r>
              <w:rPr>
                <w:rFonts w:ascii="Figtree" w:hAnsi="Figtree"/>
                <w:b w:val="0"/>
                <w:i w:val="0"/>
                <w:sz w:val="20"/>
              </w:rPr>
              <w:t>Master Services Agreement</w:t>
            </w:r>
          </w:p>
        </w:tc>
        <w:tc>
          <w:tcPr>
            <w:tcW w:type="dxa" w:w="4873"/>
            <w:vAlign w:val="center"/>
          </w:tcPr>
          <w:p>
            <w:pPr>
              <w:spacing w:line="276" w:lineRule="auto" w:before="0" w:after="0"/>
            </w:pPr>
            <w:r/>
            <w:r>
              <w:rPr>
                <w:rFonts w:ascii="Figtree" w:hAnsi="Figtree"/>
                <w:b w:val="0"/>
                <w:i w:val="0"/>
                <w:sz w:val="20"/>
              </w:rPr>
              <w:t>Terms, liability, IP, data handling</w:t>
            </w:r>
          </w:p>
        </w:tc>
      </w:tr>
      <w:tr>
        <w:trPr>
          <w:trHeight w:val="425" w:hRule="atLeast"/>
        </w:trPr>
        <w:tc>
          <w:tcPr>
            <w:tcW w:type="dxa" w:w="4873"/>
            <w:vAlign w:val="center"/>
          </w:tcPr>
          <w:p>
            <w:pPr>
              <w:spacing w:line="276" w:lineRule="auto" w:before="0" w:after="0"/>
            </w:pPr>
            <w:r/>
            <w:r>
              <w:rPr>
                <w:rFonts w:ascii="Figtree" w:hAnsi="Figtree"/>
                <w:b w:val="0"/>
                <w:i w:val="0"/>
                <w:sz w:val="20"/>
              </w:rPr>
              <w:t>License Order Form</w:t>
            </w:r>
          </w:p>
        </w:tc>
        <w:tc>
          <w:tcPr>
            <w:tcW w:type="dxa" w:w="4873"/>
            <w:vAlign w:val="center"/>
          </w:tcPr>
          <w:p>
            <w:pPr>
              <w:spacing w:line="276" w:lineRule="auto" w:before="0" w:after="0"/>
            </w:pPr>
            <w:r/>
            <w:r>
              <w:rPr>
                <w:rFonts w:ascii="Figtree" w:hAnsi="Figtree"/>
                <w:b w:val="0"/>
                <w:i w:val="0"/>
                <w:sz w:val="20"/>
              </w:rPr>
              <w:t>Environments, license quantities, fees</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SOW</w:t>
            </w:r>
          </w:p>
        </w:tc>
        <w:tc>
          <w:tcPr>
            <w:tcW w:type="dxa" w:w="4873"/>
            <w:vAlign w:val="center"/>
          </w:tcPr>
          <w:p>
            <w:pPr>
              <w:spacing w:line="276" w:lineRule="auto" w:before="0" w:after="0"/>
            </w:pPr>
            <w:r/>
            <w:r>
              <w:rPr>
                <w:rFonts w:ascii="Figtree" w:hAnsi="Figtree"/>
                <w:b w:val="0"/>
                <w:i w:val="0"/>
                <w:sz w:val="20"/>
              </w:rPr>
              <w:t>Programme scope, milestones, pricing</w:t>
            </w:r>
          </w:p>
        </w:tc>
      </w:tr>
      <w:tr>
        <w:trPr>
          <w:trHeight w:val="425" w:hRule="atLeast"/>
        </w:trPr>
        <w:tc>
          <w:tcPr>
            <w:tcW w:type="dxa" w:w="4873"/>
            <w:vAlign w:val="center"/>
          </w:tcPr>
          <w:p>
            <w:pPr>
              <w:spacing w:line="276" w:lineRule="auto" w:before="0" w:after="0"/>
            </w:pPr>
            <w:r/>
            <w:r>
              <w:rPr>
                <w:rFonts w:ascii="Figtree" w:hAnsi="Figtree"/>
                <w:b w:val="0"/>
                <w:i w:val="0"/>
                <w:sz w:val="20"/>
              </w:rPr>
              <w:t>Support Schedule</w:t>
            </w:r>
          </w:p>
        </w:tc>
        <w:tc>
          <w:tcPr>
            <w:tcW w:type="dxa" w:w="4873"/>
            <w:vAlign w:val="center"/>
          </w:tcPr>
          <w:p>
            <w:pPr>
              <w:spacing w:line="276" w:lineRule="auto" w:before="0" w:after="0"/>
            </w:pPr>
            <w:r/>
            <w:r>
              <w:rPr>
                <w:rFonts w:ascii="Figtree" w:hAnsi="Figtree"/>
                <w:b w:val="0"/>
                <w:i w:val="0"/>
                <w:sz w:val="20"/>
              </w:rPr>
              <w:t>SLA terms, escalation, response times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 Agreement</w:t>
            </w:r>
          </w:p>
        </w:tc>
        <w:tc>
          <w:tcPr>
            <w:tcW w:type="dxa" w:w="4873"/>
            <w:vAlign w:val="center"/>
          </w:tcPr>
          <w:p>
            <w:pPr>
              <w:spacing w:line="276" w:lineRule="auto" w:before="0" w:after="0"/>
            </w:pPr>
            <w:r/>
            <w:r>
              <w:rPr>
                <w:rFonts w:ascii="Figtree" w:hAnsi="Figtree"/>
                <w:b w:val="0"/>
                <w:i w:val="0"/>
                <w:sz w:val="20"/>
              </w:rPr>
              <w:t>Privacy and data protection</w:t>
            </w:r>
          </w:p>
        </w:tc>
      </w:tr>
    </w:tbl>
    <w:p>
      <w:pPr>
        <w:spacing w:before="0" w:after="0" w:line="120" w:lineRule="exact"/>
      </w:pPr>
    </w:p>
    <w:p>
      <w:pPr>
        <w:pStyle w:val="H3"/>
        <w:numPr>
          <w:ilvl w:val="2"/>
          <w:numId w:val="1"/>
        </w:numPr>
      </w:pPr>
      <w:r>
        <w:t>Key Provisions</w:t>
      </w:r>
    </w:p>
    <w:p>
      <w:pPr>
        <w:pStyle w:val="ListParagraph"/>
        <w:numPr>
          <w:ilvl w:val="0"/>
          <w:numId w:val="4"/>
        </w:numPr>
      </w:pPr>
      <w:r>
        <w:rPr>
          <w:rFonts w:ascii="Figtree" w:hAnsi="Figtree"/>
          <w:b/>
          <w:i w:val="0"/>
          <w:sz w:val="22"/>
        </w:rPr>
        <w:t>IP:</w:t>
      </w:r>
      <w:r>
        <w:rPr>
          <w:rFonts w:ascii="Figtree" w:hAnsi="Figtree"/>
          <w:b w:val="0"/>
          <w:i w:val="0"/>
          <w:sz w:val="22"/>
        </w:rPr>
        <w:t xml:space="preserve"> Sarwa owns all configurations and operational data. SettleMint owns DALP platform code</w:t>
      </w:r>
    </w:p>
    <w:p>
      <w:pPr>
        <w:pStyle w:val="ListParagraph"/>
        <w:numPr>
          <w:ilvl w:val="0"/>
          <w:numId w:val="4"/>
        </w:numPr>
      </w:pPr>
      <w:r>
        <w:rPr>
          <w:rFonts w:ascii="Figtree" w:hAnsi="Figtree"/>
          <w:b/>
          <w:i w:val="0"/>
          <w:sz w:val="22"/>
        </w:rPr>
        <w:t>Data:</w:t>
      </w:r>
      <w:r>
        <w:rPr>
          <w:rFonts w:ascii="Figtree" w:hAnsi="Figtree"/>
          <w:b w:val="0"/>
          <w:i w:val="0"/>
          <w:sz w:val="22"/>
        </w:rPr>
        <w:t xml:space="preserve"> Sarwa retains control; SettleMint processes data only for service delivery</w:t>
      </w:r>
    </w:p>
    <w:p>
      <w:pPr>
        <w:pStyle w:val="ListParagraph"/>
        <w:numPr>
          <w:ilvl w:val="0"/>
          <w:numId w:val="4"/>
        </w:numPr>
      </w:pPr>
      <w:r>
        <w:rPr>
          <w:rFonts w:ascii="Figtree" w:hAnsi="Figtree"/>
          <w:b/>
          <w:i w:val="0"/>
          <w:sz w:val="22"/>
        </w:rPr>
        <w:t>Exit:</w:t>
      </w:r>
      <w:r>
        <w:rPr>
          <w:rFonts w:ascii="Figtree" w:hAnsi="Figtree"/>
          <w:b w:val="0"/>
          <w:i w:val="0"/>
          <w:sz w:val="22"/>
        </w:rPr>
        <w:t xml:space="preserve"> 90-day off-boarding with full data export. Platform continues at maintenance level during transition</w:t>
      </w:r>
    </w:p>
    <w:p>
      <w:pPr>
        <w:pStyle w:val="ListParagraph"/>
        <w:numPr>
          <w:ilvl w:val="0"/>
          <w:numId w:val="4"/>
        </w:numPr>
      </w:pPr>
      <w:r>
        <w:rPr>
          <w:rFonts w:ascii="Figtree" w:hAnsi="Figtree"/>
          <w:b/>
          <w:i w:val="0"/>
          <w:sz w:val="22"/>
        </w:rPr>
        <w:t>Liability:</w:t>
      </w:r>
      <w:r>
        <w:rPr>
          <w:rFonts w:ascii="Figtree" w:hAnsi="Figtree"/>
          <w:b w:val="0"/>
          <w:i w:val="0"/>
          <w:sz w:val="22"/>
        </w:rPr>
        <w:t xml:space="preserve"> Capped at annual fees paid for platform-related failures</w:t>
      </w:r>
    </w:p>
    <w:p>
      <w:r>
        <w:br w:type="page"/>
      </w:r>
    </w:p>
    <w:p>
      <w:r>
        <w:rPr>
          <w:rFonts w:ascii="Figtree" w:hAnsi="Figtree"/>
          <w:b w:val="0"/>
          <w:i/>
          <w:sz w:val="22"/>
        </w:rPr>
        <w:t>This commercial proposal is submitted in strict confidence by SettleMint. All figures marked [CLIENT-SPECIFIC] require scope validation. All prices exclude applicable taxes and VAT.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