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Commercial Decision Framework</w:t>
          </w:r>
          <w:r>
            <w:tab/>
          </w:r>
          <w:r>
            <w:t xml:space="preserve">5</w:t>
          </w:r>
        </w:p>
        <w:p>
          <w:pPr>
            <w:pStyle w:val="TOC3"/>
            <w:tabs>
              <w:tab w:val="right" w:leader="dot" w:pos="9072"/>
            </w:tabs>
          </w:pPr>
          <w:r>
            <w:t xml:space="preserve">Build vs. Buy</w:t>
          </w:r>
          <w:r>
            <w:tab/>
          </w:r>
          <w:r>
            <w:t xml:space="preserve">6</w:t>
          </w:r>
        </w:p>
        <w:p>
          <w:pPr>
            <w:pStyle w:val="TOC3"/>
            <w:tabs>
              <w:tab w:val="right" w:leader="dot" w:pos="9072"/>
            </w:tabs>
          </w:pPr>
          <w:r>
            <w:t xml:space="preserve">Islamic Finance Market Opportunity</w:t>
          </w:r>
          <w:r>
            <w:tab/>
          </w:r>
          <w:r>
            <w:t xml:space="preserve">7</w:t>
          </w:r>
        </w:p>
        <w:p>
          <w:pPr>
            <w:pStyle w:val="TOC2"/>
            <w:tabs>
              <w:tab w:val="right" w:leader="dot" w:pos="9072"/>
            </w:tabs>
          </w:pPr>
          <w:r>
            <w:t xml:space="preserve">Pricing Structure</w:t>
          </w:r>
          <w:r>
            <w:tab/>
          </w:r>
          <w:r>
            <w:t xml:space="preserve">8</w:t>
          </w:r>
        </w:p>
        <w:p>
          <w:pPr>
            <w:pStyle w:val="TOC3"/>
            <w:tabs>
              <w:tab w:val="right" w:leader="dot" w:pos="9072"/>
            </w:tabs>
          </w:pPr>
          <w:r>
            <w:t xml:space="preserve">Infrastructure</w:t>
          </w:r>
          <w:r>
            <w:tab/>
          </w:r>
          <w:r>
            <w:t xml:space="preserve">9</w:t>
          </w:r>
        </w:p>
        <w:p>
          <w:pPr>
            <w:pStyle w:val="TOC2"/>
            <w:tabs>
              <w:tab w:val="right" w:leader="dot" w:pos="9072"/>
            </w:tabs>
          </w:pPr>
          <w:r>
            <w:t xml:space="preserve">Implementation Costs</w:t>
          </w:r>
          <w:r>
            <w:tab/>
          </w:r>
          <w:r>
            <w:t xml:space="preserve">10</w:t>
          </w:r>
        </w:p>
        <w:p>
          <w:pPr>
            <w:pStyle w:val="TOC2"/>
            <w:tabs>
              <w:tab w:val="right" w:leader="dot" w:pos="9072"/>
            </w:tabs>
          </w:pPr>
          <w:r>
            <w:t xml:space="preserve">Support and Maintenance</w:t>
          </w:r>
          <w:r>
            <w:tab/>
          </w:r>
          <w:r>
            <w:t xml:space="preserve">11</w:t>
          </w:r>
        </w:p>
        <w:p>
          <w:pPr>
            <w:pStyle w:val="TOC2"/>
            <w:tabs>
              <w:tab w:val="right" w:leader="dot" w:pos="9072"/>
            </w:tabs>
          </w:pPr>
          <w:r>
            <w:t xml:space="preserve">Total Cost of Ownership</w:t>
          </w:r>
          <w:r>
            <w:tab/>
          </w:r>
          <w:r>
            <w:t xml:space="preserve">12</w:t>
          </w:r>
        </w:p>
        <w:p>
          <w:pPr>
            <w:pStyle w:val="TOC3"/>
            <w:tabs>
              <w:tab w:val="right" w:leader="dot" w:pos="9072"/>
            </w:tabs>
          </w:pPr>
          <w:r>
            <w:t xml:space="preserve">Five-Year TCO</w:t>
          </w:r>
          <w:r>
            <w:tab/>
          </w:r>
          <w:r>
            <w:t xml:space="preserve">13</w:t>
          </w:r>
        </w:p>
        <w:p>
          <w:pPr>
            <w:pStyle w:val="TOC2"/>
            <w:tabs>
              <w:tab w:val="right" w:leader="dot" w:pos="9072"/>
            </w:tabs>
          </w:pPr>
          <w:r>
            <w:t xml:space="preserve">ROI Framework</w:t>
          </w:r>
          <w:r>
            <w:tab/>
          </w:r>
          <w:r>
            <w:t xml:space="preserve">14</w:t>
          </w:r>
        </w:p>
        <w:p>
          <w:pPr>
            <w:pStyle w:val="TOC3"/>
            <w:tabs>
              <w:tab w:val="right" w:leader="dot" w:pos="9072"/>
            </w:tabs>
          </w:pPr>
          <w:r>
            <w:t xml:space="preserve">Cost Avoidance</w:t>
          </w:r>
          <w:r>
            <w:tab/>
          </w:r>
          <w:r>
            <w:t xml:space="preserve">15</w:t>
          </w:r>
        </w:p>
        <w:p>
          <w:pPr>
            <w:pStyle w:val="TOC3"/>
            <w:tabs>
              <w:tab w:val="right" w:leader="dot" w:pos="9072"/>
            </w:tabs>
          </w:pPr>
          <w:r>
            <w:t xml:space="preserve">Revenue Impact</w:t>
          </w:r>
          <w:r>
            <w:tab/>
          </w:r>
          <w:r>
            <w:t xml:space="preserve">16</w:t>
          </w:r>
        </w:p>
        <w:p>
          <w:pPr>
            <w:pStyle w:val="TOC3"/>
            <w:tabs>
              <w:tab w:val="right" w:leader="dot" w:pos="9072"/>
            </w:tabs>
          </w:pPr>
          <w:r>
            <w:t xml:space="preserve">Risk Reduction</w:t>
          </w:r>
          <w:r>
            <w:tab/>
          </w:r>
          <w:r>
            <w:t xml:space="preserve">17</w:t>
          </w:r>
        </w:p>
        <w:p>
          <w:pPr>
            <w:pStyle w:val="TOC2"/>
            <w:tabs>
              <w:tab w:val="right" w:leader="dot" w:pos="9072"/>
            </w:tabs>
          </w:pPr>
          <w:r>
            <w:t xml:space="preserve">Payment Terms</w:t>
          </w:r>
          <w:r>
            <w:tab/>
          </w:r>
          <w:r>
            <w:t xml:space="preserve">18</w:t>
          </w:r>
        </w:p>
        <w:p>
          <w:pPr>
            <w:pStyle w:val="TOC2"/>
            <w:tabs>
              <w:tab w:val="right" w:leader="dot" w:pos="9072"/>
            </w:tabs>
          </w:pPr>
          <w:r>
            <w:t xml:space="preserve">Contract Structure</w:t>
          </w:r>
          <w:r>
            <w:tab/>
          </w:r>
          <w:r>
            <w:t xml:space="preserve">19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for Sharia-Compliant Tokenized Lending and Funding Rails  </w:t>
      </w:r>
    </w:p>
    <w:p>
      <w:r>
        <w:rPr>
          <w:rFonts w:ascii="Figtree" w:hAnsi="Figtree"/>
          <w:b/>
          <w:i w:val="0"/>
          <w:sz w:val="22"/>
        </w:rPr>
        <w:t>Client:</w:t>
      </w:r>
      <w:r>
        <w:rPr>
          <w:rFonts w:ascii="Figtree" w:hAnsi="Figtree"/>
          <w:b w:val="0"/>
          <w:i w:val="0"/>
          <w:sz w:val="22"/>
        </w:rPr>
        <w:t xml:space="preserve"> Tamara (KSA)  </w:t>
      </w:r>
    </w:p>
    <w:p>
      <w:r>
        <w:rPr>
          <w:rFonts w:ascii="Figtree" w:hAnsi="Figtree"/>
          <w:b/>
          <w:i w:val="0"/>
          <w:sz w:val="22"/>
        </w:rPr>
        <w:t>Reference:</w:t>
      </w:r>
      <w:r>
        <w:rPr>
          <w:rFonts w:ascii="Figtree" w:hAnsi="Figtree"/>
          <w:b w:val="0"/>
          <w:i w:val="0"/>
          <w:sz w:val="22"/>
        </w:rPr>
        <w:t xml:space="preserve"> TAMARA-RFP-SHARIA-TOKENIZED-LENDING-202603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Commercial Decision Framework</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Implementation Costs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ROI Framework</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Contract Structure</w:t>
      </w:r>
    </w:p>
    <w:p>
      <w:r>
        <w:br w:type="page"/>
      </w:r>
    </w:p>
    <w:p>
      <w:pPr>
        <w:pStyle w:val="H2"/>
        <w:numPr>
          <w:ilvl w:val="1"/>
          <w:numId w:val="1"/>
        </w:numPr>
      </w:pPr>
      <w:r>
        <w:t>Executive Summary</w:t>
      </w:r>
    </w:p>
    <w:p>
      <w:r>
        <w:rPr>
          <w:rFonts w:ascii="Figtree" w:hAnsi="Figtree"/>
          <w:b w:val="0"/>
          <w:i w:val="0"/>
          <w:sz w:val="22"/>
        </w:rPr>
        <w:t>Tamara requires infrastructure that bridges its growing BNPL receivable portfolio with the Islamic finance investor community. Traditional bank financing limits scale and investor diversity. Building a tokenization platform internally would require 18+ months of specialized engineering and regulatory validation that Tamara cannot afford given competitive pressure.</w:t>
      </w:r>
    </w:p>
    <w:p>
      <w:r>
        <w:rPr>
          <w:rFonts w:ascii="Figtree" w:hAnsi="Figtree"/>
          <w:b w:val="0"/>
          <w:i w:val="0"/>
          <w:sz w:val="22"/>
        </w:rPr>
        <w:t>DALP provides a ready-to-deploy platform that natively supports Sharia-compliant token structures: murabaha, wakala, and musharaka instruments are configurable through the platform's composable architecture. The compliance layer handles both SAMA/CMA regulatory requirements and Sharia supervisory board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8"/>
        <w:gridCol w:w="36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€300,000/year</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€120,000/year</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i w:val="0"/>
                <w:sz w:val="20"/>
              </w:rPr>
              <w:t>Total Platform License</w:t>
            </w:r>
          </w:p>
        </w:tc>
        <w:tc>
          <w:tcPr>
            <w:tcW w:type="dxa" w:w="4873"/>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 Payment terms are annual, upfront.</w:t>
      </w:r>
    </w:p>
    <w:p>
      <w:r>
        <w:br w:type="page"/>
      </w:r>
    </w:p>
    <w:p>
      <w:pPr>
        <w:pStyle w:val="H2"/>
        <w:numPr>
          <w:ilvl w:val="1"/>
          <w:numId w:val="1"/>
        </w:numPr>
      </w:pPr>
      <w:r>
        <w:t>Commercial Decision Framework</w:t>
      </w:r>
    </w:p>
    <w:p>
      <w:pPr>
        <w:pStyle w:val="H3"/>
        <w:numPr>
          <w:ilvl w:val="2"/>
          <w:numId w:val="1"/>
        </w:numPr>
      </w:pPr>
      <w:r>
        <w:t>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8"/>
        <w:gridCol w:w="1568"/>
        <w:gridCol w:w="36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first Sharia pool</w:t>
            </w:r>
          </w:p>
        </w:tc>
        <w:tc>
          <w:tcPr>
            <w:tcW w:type="dxa" w:w="3249"/>
            <w:vAlign w:val="center"/>
          </w:tcPr>
          <w:p>
            <w:pPr>
              <w:spacing w:line="276" w:lineRule="auto" w:before="0" w:after="0"/>
            </w:pPr>
            <w:r/>
            <w:r>
              <w:rPr>
                <w:rFonts w:ascii="Figtree" w:hAnsi="Figtree"/>
                <w:b w:val="0"/>
                <w:i w:val="0"/>
                <w:sz w:val="20"/>
              </w:rPr>
              <w:t>18-30 months</w:t>
            </w:r>
          </w:p>
        </w:tc>
        <w:tc>
          <w:tcPr>
            <w:tcW w:type="dxa" w:w="3249"/>
            <w:vAlign w:val="center"/>
          </w:tcPr>
          <w:p>
            <w:pPr>
              <w:spacing w:line="276" w:lineRule="auto" w:before="0" w:after="0"/>
            </w:pPr>
            <w:r/>
            <w:r>
              <w:rPr>
                <w:rFonts w:ascii="Figtree" w:hAnsi="Figtree"/>
                <w:b w:val="0"/>
                <w:i w:val="0"/>
                <w:sz w:val="20"/>
              </w:rPr>
              <w:t>6 months</w:t>
            </w:r>
          </w:p>
        </w:tc>
      </w:tr>
      <w:tr>
        <w:trPr>
          <w:trHeight w:val="425" w:hRule="atLeast"/>
        </w:trPr>
        <w:tc>
          <w:tcPr>
            <w:tcW w:type="dxa" w:w="3249"/>
            <w:vAlign w:val="center"/>
          </w:tcPr>
          <w:p>
            <w:pPr>
              <w:spacing w:line="276" w:lineRule="auto" w:before="0" w:after="0"/>
            </w:pPr>
            <w:r/>
            <w:r>
              <w:rPr>
                <w:rFonts w:ascii="Figtree" w:hAnsi="Figtree"/>
                <w:b w:val="0"/>
                <w:i w:val="0"/>
                <w:sz w:val="20"/>
              </w:rPr>
              <w:t>Sharia compliance engineering</w:t>
            </w:r>
          </w:p>
        </w:tc>
        <w:tc>
          <w:tcPr>
            <w:tcW w:type="dxa" w:w="3249"/>
            <w:vAlign w:val="center"/>
          </w:tcPr>
          <w:p>
            <w:pPr>
              <w:spacing w:line="276" w:lineRule="auto" w:before="0" w:after="0"/>
            </w:pPr>
            <w:r/>
            <w:r>
              <w:rPr>
                <w:rFonts w:ascii="Figtree" w:hAnsi="Figtree"/>
                <w:b w:val="0"/>
                <w:i w:val="0"/>
                <w:sz w:val="20"/>
              </w:rPr>
              <w:t>From scratch</w:t>
            </w:r>
          </w:p>
        </w:tc>
        <w:tc>
          <w:tcPr>
            <w:tcW w:type="dxa" w:w="3249"/>
            <w:vAlign w:val="center"/>
          </w:tcPr>
          <w:p>
            <w:pPr>
              <w:spacing w:line="276" w:lineRule="auto" w:before="0" w:after="0"/>
            </w:pPr>
            <w:r/>
            <w:r>
              <w:rPr>
                <w:rFonts w:ascii="Figtree" w:hAnsi="Figtree"/>
                <w:b w:val="0"/>
                <w:i w:val="0"/>
                <w:sz w:val="20"/>
              </w:rPr>
              <w:t>Pre-configured</w:t>
            </w:r>
          </w:p>
        </w:tc>
      </w:tr>
      <w:tr>
        <w:trPr>
          <w:trHeight w:val="425" w:hRule="atLeast"/>
        </w:trPr>
        <w:tc>
          <w:tcPr>
            <w:tcW w:type="dxa" w:w="3249"/>
            <w:vAlign w:val="center"/>
          </w:tcPr>
          <w:p>
            <w:pPr>
              <w:spacing w:line="276" w:lineRule="auto" w:before="0" w:after="0"/>
            </w:pPr>
            <w:r/>
            <w:r>
              <w:rPr>
                <w:rFonts w:ascii="Figtree" w:hAnsi="Figtree"/>
                <w:b w:val="0"/>
                <w:i w:val="0"/>
                <w:sz w:val="20"/>
              </w:rPr>
              <w:t>SAMA/CMA regulatory alignment</w:t>
            </w:r>
          </w:p>
        </w:tc>
        <w:tc>
          <w:tcPr>
            <w:tcW w:type="dxa" w:w="3249"/>
            <w:vAlign w:val="center"/>
          </w:tcPr>
          <w:p>
            <w:pPr>
              <w:spacing w:line="276" w:lineRule="auto" w:before="0" w:after="0"/>
            </w:pPr>
            <w:r/>
            <w:r>
              <w:rPr>
                <w:rFonts w:ascii="Figtree" w:hAnsi="Figtree"/>
                <w:b w:val="0"/>
                <w:i w:val="0"/>
                <w:sz w:val="20"/>
              </w:rPr>
              <w:t>Unproven</w:t>
            </w:r>
          </w:p>
        </w:tc>
        <w:tc>
          <w:tcPr>
            <w:tcW w:type="dxa" w:w="3249"/>
            <w:vAlign w:val="center"/>
          </w:tcPr>
          <w:p>
            <w:pPr>
              <w:spacing w:line="276" w:lineRule="auto" w:before="0" w:after="0"/>
            </w:pPr>
            <w:r/>
            <w:r>
              <w:rPr>
                <w:rFonts w:ascii="Figtree" w:hAnsi="Figtree"/>
                <w:b w:val="0"/>
                <w:i w:val="0"/>
                <w:sz w:val="20"/>
              </w:rPr>
              <w:t>Production-tested modules</w:t>
            </w:r>
          </w:p>
        </w:tc>
      </w:tr>
      <w:tr>
        <w:trPr>
          <w:trHeight w:val="425" w:hRule="atLeast"/>
        </w:trPr>
        <w:tc>
          <w:tcPr>
            <w:tcW w:type="dxa" w:w="3249"/>
            <w:vAlign w:val="center"/>
          </w:tcPr>
          <w:p>
            <w:pPr>
              <w:spacing w:line="276" w:lineRule="auto" w:before="0" w:after="0"/>
            </w:pPr>
            <w:r/>
            <w:r>
              <w:rPr>
                <w:rFonts w:ascii="Figtree" w:hAnsi="Figtree"/>
                <w:b w:val="0"/>
                <w:i w:val="0"/>
                <w:sz w:val="20"/>
              </w:rPr>
              <w:t>Islamic finance investor readiness</w:t>
            </w:r>
          </w:p>
        </w:tc>
        <w:tc>
          <w:tcPr>
            <w:tcW w:type="dxa" w:w="3249"/>
            <w:vAlign w:val="center"/>
          </w:tcPr>
          <w:p>
            <w:pPr>
              <w:spacing w:line="276" w:lineRule="auto" w:before="0" w:after="0"/>
            </w:pPr>
            <w:r/>
            <w:r>
              <w:rPr>
                <w:rFonts w:ascii="Figtree" w:hAnsi="Figtree"/>
                <w:b w:val="0"/>
                <w:i w:val="0"/>
                <w:sz w:val="20"/>
              </w:rPr>
              <w:t>Manual</w:t>
            </w:r>
          </w:p>
        </w:tc>
        <w:tc>
          <w:tcPr>
            <w:tcW w:type="dxa" w:w="3249"/>
            <w:vAlign w:val="center"/>
          </w:tcPr>
          <w:p>
            <w:pPr>
              <w:spacing w:line="276" w:lineRule="auto" w:before="0" w:after="0"/>
            </w:pPr>
            <w:r/>
            <w:r>
              <w:rPr>
                <w:rFonts w:ascii="Figtree" w:hAnsi="Figtree"/>
                <w:b w:val="0"/>
                <w:i w:val="0"/>
                <w:sz w:val="20"/>
              </w:rPr>
              <w:t>Automated onboarding + compliance</w:t>
            </w:r>
          </w:p>
        </w:tc>
      </w:tr>
      <w:tr>
        <w:trPr>
          <w:trHeight w:val="425" w:hRule="atLeast"/>
        </w:trPr>
        <w:tc>
          <w:tcPr>
            <w:tcW w:type="dxa" w:w="3249"/>
            <w:vAlign w:val="center"/>
          </w:tcPr>
          <w:p>
            <w:pPr>
              <w:spacing w:line="276" w:lineRule="auto" w:before="0" w:after="0"/>
            </w:pPr>
            <w:r/>
            <w:r>
              <w:rPr>
                <w:rFonts w:ascii="Figtree" w:hAnsi="Figtree"/>
                <w:b w:val="0"/>
                <w:i w:val="0"/>
                <w:sz w:val="20"/>
              </w:rPr>
              <w:t>5-year TCO</w:t>
            </w:r>
          </w:p>
        </w:tc>
        <w:tc>
          <w:tcPr>
            <w:tcW w:type="dxa" w:w="3249"/>
            <w:vAlign w:val="center"/>
          </w:tcPr>
          <w:p>
            <w:pPr>
              <w:spacing w:line="276" w:lineRule="auto" w:before="0" w:after="0"/>
            </w:pPr>
            <w:r/>
            <w:r>
              <w:rPr>
                <w:rFonts w:ascii="Figtree" w:hAnsi="Figtree"/>
                <w:b w:val="0"/>
                <w:i w:val="0"/>
                <w:sz w:val="20"/>
              </w:rPr>
              <w:t>€5M-€9M</w:t>
            </w:r>
          </w:p>
        </w:tc>
        <w:tc>
          <w:tcPr>
            <w:tcW w:type="dxa" w:w="3249"/>
            <w:vAlign w:val="center"/>
          </w:tcPr>
          <w:p>
            <w:pPr>
              <w:spacing w:line="276" w:lineRule="auto" w:before="0" w:after="0"/>
            </w:pPr>
            <w:r/>
            <w:r>
              <w:rPr>
                <w:rFonts w:ascii="Figtree" w:hAnsi="Figtree"/>
                <w:b w:val="0"/>
                <w:i w:val="0"/>
                <w:sz w:val="20"/>
              </w:rPr>
              <w:t>€2.1M-€2.8M</w:t>
            </w:r>
          </w:p>
        </w:tc>
      </w:tr>
    </w:tbl>
    <w:p>
      <w:pPr>
        <w:spacing w:before="0" w:after="0" w:line="120" w:lineRule="exact"/>
      </w:pPr>
    </w:p>
    <w:p>
      <w:pPr>
        <w:pStyle w:val="H3"/>
        <w:numPr>
          <w:ilvl w:val="2"/>
          <w:numId w:val="1"/>
        </w:numPr>
      </w:pPr>
      <w:r>
        <w:t>Islamic Finance Market Opportunity</w:t>
      </w:r>
    </w:p>
    <w:p>
      <w:r>
        <w:rPr>
          <w:rFonts w:ascii="Figtree" w:hAnsi="Figtree"/>
          <w:b w:val="0"/>
          <w:i w:val="0"/>
          <w:sz w:val="22"/>
        </w:rPr>
        <w:t>The global Islamic finance market exceeds $3 trillion. Tokenized Sharia-compliant instruments are an emerging asset class with strong demand from GCC institutional investors seeking yield through permissible structures. Tamara's receivable portfolio, properly structured and tokenized, accesses this demand pool directly.</w:t>
      </w:r>
    </w:p>
    <w:p>
      <w:r>
        <w:br w:type="page"/>
      </w:r>
    </w:p>
    <w:p>
      <w:pPr>
        <w:pStyle w:val="H2"/>
        <w:numPr>
          <w:ilvl w:val="1"/>
          <w:numId w:val="1"/>
        </w:numPr>
      </w:pPr>
      <w:r>
        <w:t>Pricing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€35,000/month</w:t>
            </w:r>
          </w:p>
        </w:tc>
        <w:tc>
          <w:tcPr>
            <w:tcW w:type="dxa" w:w="3249"/>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w:t>
      </w:r>
    </w:p>
    <w:p>
      <w:pPr>
        <w:pStyle w:val="H3"/>
        <w:numPr>
          <w:ilvl w:val="2"/>
          <w:numId w:val="1"/>
        </w:numPr>
      </w:pPr>
      <w:r>
        <w:t>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4"/>
        <w:gridCol w:w="302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Cloud (KSA-hosted)</w:t>
            </w:r>
          </w:p>
        </w:tc>
        <w:tc>
          <w:tcPr>
            <w:tcW w:type="dxa" w:w="3249"/>
            <w:vAlign w:val="center"/>
          </w:tcPr>
          <w:p>
            <w:pPr>
              <w:spacing w:line="276" w:lineRule="auto" w:before="0" w:after="0"/>
            </w:pPr>
            <w:r/>
            <w:r>
              <w:rPr>
                <w:rFonts w:ascii="Figtree" w:hAnsi="Figtree"/>
                <w:b w:val="0"/>
                <w:i w:val="0"/>
                <w:sz w:val="20"/>
              </w:rPr>
              <w:t>Tamara + SettleMint</w:t>
            </w:r>
          </w:p>
        </w:tc>
        <w:tc>
          <w:tcPr>
            <w:tcW w:type="dxa" w:w="3249"/>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On-premises (KSA)</w:t>
            </w:r>
          </w:p>
        </w:tc>
        <w:tc>
          <w:tcPr>
            <w:tcW w:type="dxa" w:w="3249"/>
            <w:vAlign w:val="center"/>
          </w:tcPr>
          <w:p>
            <w:pPr>
              <w:spacing w:line="276" w:lineRule="auto" w:before="0" w:after="0"/>
            </w:pPr>
            <w:r/>
            <w:r>
              <w:rPr>
                <w:rFonts w:ascii="Figtree" w:hAnsi="Figtree"/>
                <w:b w:val="0"/>
                <w:i w:val="0"/>
                <w:sz w:val="20"/>
              </w:rPr>
              <w:t>Tamara</w:t>
            </w:r>
          </w:p>
        </w:tc>
        <w:tc>
          <w:tcPr>
            <w:tcW w:type="dxa" w:w="3249"/>
            <w:vAlign w:val="center"/>
          </w:tcPr>
          <w:p>
            <w:pPr>
              <w:spacing w:line="276" w:lineRule="auto" w:before="0" w:after="0"/>
            </w:pPr>
            <w:r/>
            <w:r>
              <w:rPr>
                <w:rFonts w:ascii="Figtree" w:hAnsi="Figtree"/>
                <w:b w:val="0"/>
                <w:i w:val="0"/>
                <w:sz w:val="20"/>
              </w:rPr>
              <w:t>Tamara bears cost</w:t>
            </w:r>
          </w:p>
        </w:tc>
      </w:tr>
    </w:tbl>
    <w:p>
      <w:pPr>
        <w:spacing w:before="0" w:after="0" w:line="120" w:lineRule="exact"/>
      </w:pPr>
    </w:p>
    <w:p>
      <w:r>
        <w:rPr>
          <w:rFonts w:ascii="Figtree" w:hAnsi="Figtree"/>
          <w:b w:val="0"/>
          <w:i w:val="0"/>
          <w:sz w:val="22"/>
        </w:rPr>
        <w:t>KSA-hosted deployment is recommended to address SAMA data sovereignty requirements.</w:t>
      </w:r>
    </w:p>
    <w:p>
      <w:r>
        <w:br w:type="page"/>
      </w:r>
    </w:p>
    <w:p>
      <w:pPr>
        <w:pStyle w:val="H2"/>
        <w:numPr>
          <w:ilvl w:val="1"/>
          <w:numId w:val="1"/>
        </w:numPr>
      </w:pPr>
      <w:r>
        <w:t>Implementation Costs</w:t>
      </w:r>
    </w:p>
    <w:p>
      <w:r>
        <w:rPr>
          <w:rFonts w:ascii="Figtree" w:hAnsi="Figtree"/>
          <w:b w:val="0"/>
          <w:i w:val="0"/>
          <w:sz w:val="22"/>
        </w:rPr>
        <w:t>24-week programme covering platform setup, Sharia token structure configuration, SAMA/CMA compliance module setup, investor compliance integration, profit distribution testing, and go-live.</w:t>
      </w:r>
    </w:p>
    <w:p>
      <w:r>
        <w:rPr>
          <w:rFonts w:ascii="Figtree" w:hAnsi="Figtree"/>
          <w:b/>
          <w:i w:val="0"/>
          <w:sz w:val="22"/>
        </w:rPr>
        <w:t>Implementation cost:</w:t>
      </w:r>
      <w:r>
        <w:rPr>
          <w:rFonts w:ascii="Figtree" w:hAnsi="Figtree"/>
          <w:b w:val="0"/>
          <w:i w:val="0"/>
          <w:sz w:val="22"/>
        </w:rPr>
        <w:t xml:space="preserve"> [CLIENT-SPECIFIC]</w:t>
      </w:r>
    </w:p>
    <w:p>
      <w:r>
        <w:br w:type="page"/>
      </w:r>
    </w:p>
    <w:p>
      <w:pPr>
        <w:pStyle w:val="H2"/>
        <w:numPr>
          <w:ilvl w:val="1"/>
          <w:numId w:val="1"/>
        </w:numPr>
      </w:pPr>
      <w:r>
        <w:t>Support and Maintenance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69"/>
        <w:gridCol w:w="40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Availability</w:t>
            </w:r>
          </w:p>
        </w:tc>
        <w:tc>
          <w:tcPr>
            <w:tcW w:type="dxa" w:w="4873"/>
            <w:vAlign w:val="center"/>
          </w:tcPr>
          <w:p>
            <w:pPr>
              <w:spacing w:line="276" w:lineRule="auto" w:before="0" w:after="0"/>
            </w:pPr>
            <w:r/>
            <w:r>
              <w:rPr>
                <w:rFonts w:ascii="Figtree" w:hAnsi="Figtree"/>
                <w:b w:val="0"/>
                <w:i w:val="0"/>
                <w:sz w:val="20"/>
              </w:rPr>
              <w:t>24/5</w:t>
            </w:r>
          </w:p>
        </w:tc>
      </w:tr>
      <w:tr>
        <w:trPr>
          <w:trHeight w:val="425" w:hRule="atLeast"/>
        </w:trPr>
        <w:tc>
          <w:tcPr>
            <w:tcW w:type="dxa" w:w="4873"/>
            <w:vAlign w:val="center"/>
          </w:tcPr>
          <w:p>
            <w:pPr>
              <w:spacing w:line="276" w:lineRule="auto" w:before="0" w:after="0"/>
            </w:pPr>
            <w:r/>
            <w:r>
              <w:rPr>
                <w:rFonts w:ascii="Figtree" w:hAnsi="Figtree"/>
                <w:b w:val="0"/>
                <w:i w:val="0"/>
                <w:sz w:val="20"/>
              </w:rPr>
              <w:t>Critical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TAM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Updates and patches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5"/>
        <w:gridCol w:w="1693"/>
        <w:gridCol w:w="2540"/>
        <w:gridCol w:w="290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Infrastructure (est.)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€60,000-€120,000</w:t>
            </w:r>
          </w:p>
        </w:tc>
        <w:tc>
          <w:tcPr>
            <w:tcW w:type="dxa" w:w="2436"/>
            <w:vAlign w:val="center"/>
          </w:tcPr>
          <w:p>
            <w:pPr>
              <w:spacing w:line="276" w:lineRule="auto" w:before="0" w:after="0"/>
            </w:pPr>
            <w:r/>
            <w:r>
              <w:rPr>
                <w:rFonts w:ascii="Figtree" w:hAnsi="Figtree"/>
                <w:b w:val="0"/>
                <w:i w:val="0"/>
                <w:sz w:val="20"/>
              </w:rPr>
              <w:t>€480,000-€540,000 + impl</w:t>
            </w:r>
          </w:p>
        </w:tc>
      </w:tr>
      <w:tr>
        <w:trPr>
          <w:trHeight w:val="425" w:hRule="atLeast"/>
        </w:trPr>
        <w:tc>
          <w:tcPr>
            <w:tcW w:type="dxa" w:w="2436"/>
            <w:vAlign w:val="center"/>
          </w:tcPr>
          <w:p>
            <w:pPr>
              <w:spacing w:line="276" w:lineRule="auto" w:before="0" w:after="0"/>
            </w:pPr>
            <w:r/>
            <w:r>
              <w:rPr>
                <w:rFonts w:ascii="Figtree" w:hAnsi="Figtree"/>
                <w:b w:val="0"/>
                <w:i w:val="0"/>
                <w:sz w:val="20"/>
              </w:rPr>
              <w:t>Year 2-5</w:t>
            </w:r>
          </w:p>
        </w:tc>
        <w:tc>
          <w:tcPr>
            <w:tcW w:type="dxa" w:w="2436"/>
            <w:vAlign w:val="center"/>
          </w:tcPr>
          <w:p>
            <w:pPr>
              <w:spacing w:line="276" w:lineRule="auto" w:before="0" w:after="0"/>
            </w:pPr>
            <w:r/>
            <w:r>
              <w:rPr>
                <w:rFonts w:ascii="Figtree" w:hAnsi="Figtree"/>
                <w:b w:val="0"/>
                <w:i w:val="0"/>
                <w:sz w:val="20"/>
              </w:rPr>
              <w:t>€420,000/yr</w:t>
            </w:r>
          </w:p>
        </w:tc>
        <w:tc>
          <w:tcPr>
            <w:tcW w:type="dxa" w:w="2436"/>
            <w:vAlign w:val="center"/>
          </w:tcPr>
          <w:p>
            <w:pPr>
              <w:spacing w:line="276" w:lineRule="auto" w:before="0" w:after="0"/>
            </w:pPr>
            <w:r/>
            <w:r>
              <w:rPr>
                <w:rFonts w:ascii="Figtree" w:hAnsi="Figtree"/>
                <w:b w:val="0"/>
                <w:i w:val="0"/>
                <w:sz w:val="20"/>
              </w:rPr>
              <w:t>€60,000-€140,000/yr</w:t>
            </w:r>
          </w:p>
        </w:tc>
        <w:tc>
          <w:tcPr>
            <w:tcW w:type="dxa" w:w="2436"/>
            <w:vAlign w:val="center"/>
          </w:tcPr>
          <w:p>
            <w:pPr>
              <w:spacing w:line="276" w:lineRule="auto" w:before="0" w:after="0"/>
            </w:pPr>
            <w:r/>
            <w:r>
              <w:rPr>
                <w:rFonts w:ascii="Figtree" w:hAnsi="Figtree"/>
                <w:b w:val="0"/>
                <w:i w:val="0"/>
                <w:sz w:val="20"/>
              </w:rPr>
              <w:t>~€480,000-€560,000/yr</w:t>
            </w:r>
          </w:p>
        </w:tc>
      </w:tr>
      <w:tr>
        <w:trPr>
          <w:trHeight w:val="425" w:hRule="atLeast"/>
        </w:trPr>
        <w:tc>
          <w:tcPr>
            <w:tcW w:type="dxa" w:w="2436"/>
            <w:vAlign w:val="center"/>
          </w:tcPr>
          <w:p>
            <w:pPr>
              <w:spacing w:line="276" w:lineRule="auto" w:before="0" w:after="0"/>
            </w:pPr>
            <w:r/>
            <w:r>
              <w:rPr>
                <w:rFonts w:ascii="Figtree" w:hAnsi="Figtree"/>
                <w:b/>
                <w:i w:val="0"/>
                <w:sz w:val="20"/>
              </w:rPr>
              <w:t>5-Year Total</w:t>
            </w:r>
          </w:p>
        </w:tc>
        <w:tc>
          <w:tcPr>
            <w:tcW w:type="dxa" w:w="2436"/>
            <w:vAlign w:val="center"/>
          </w:tcPr>
          <w:p>
            <w:pPr>
              <w:spacing w:line="276" w:lineRule="auto" w:before="0" w:after="0"/>
            </w:pPr>
            <w:r/>
            <w:r>
              <w:rPr>
                <w:rFonts w:ascii="Figtree" w:hAnsi="Figtree"/>
                <w:b/>
                <w:i w:val="0"/>
                <w:sz w:val="20"/>
              </w:rPr>
              <w:t>€2,100,000</w:t>
            </w:r>
          </w:p>
        </w:tc>
        <w:tc>
          <w:tcPr>
            <w:tcW w:type="dxa" w:w="2436"/>
            <w:vAlign w:val="center"/>
          </w:tcPr>
          <w:p>
            <w:pPr>
              <w:spacing w:line="276" w:lineRule="auto" w:before="0" w:after="0"/>
            </w:pPr>
            <w:r/>
            <w:r>
              <w:rPr>
                <w:rFonts w:ascii="Figtree" w:hAnsi="Figtree"/>
                <w:b/>
                <w:i w:val="0"/>
                <w:sz w:val="20"/>
              </w:rPr>
              <w:t>€300,000-€650,000</w:t>
            </w:r>
          </w:p>
        </w:tc>
        <w:tc>
          <w:tcPr>
            <w:tcW w:type="dxa" w:w="2436"/>
            <w:vAlign w:val="center"/>
          </w:tcPr>
          <w:p>
            <w:pPr>
              <w:spacing w:line="276" w:lineRule="auto" w:before="0" w:after="0"/>
            </w:pPr>
            <w:r/>
            <w:r>
              <w:rPr>
                <w:rFonts w:ascii="Figtree" w:hAnsi="Figtree"/>
                <w:b/>
                <w:i w:val="0"/>
                <w:sz w:val="20"/>
              </w:rPr>
              <w:t>~€2.4M-€2.8M + impl</w:t>
            </w:r>
          </w:p>
        </w:tc>
      </w:tr>
    </w:tbl>
    <w:p>
      <w:pPr>
        <w:spacing w:before="0" w:after="0" w:line="120" w:lineRule="exact"/>
      </w:pPr>
    </w:p>
    <w:p>
      <w:r>
        <w:br w:type="page"/>
      </w:r>
    </w:p>
    <w:p>
      <w:pPr>
        <w:pStyle w:val="H2"/>
        <w:numPr>
          <w:ilvl w:val="1"/>
          <w:numId w:val="1"/>
        </w:numPr>
      </w:pPr>
      <w:r>
        <w:t>ROI Framework</w:t>
      </w:r>
    </w:p>
    <w:p>
      <w:pPr>
        <w:pStyle w:val="H3"/>
        <w:numPr>
          <w:ilvl w:val="2"/>
          <w:numId w:val="1"/>
        </w:numPr>
      </w:pPr>
      <w:r>
        <w:t>Cost Avoidance</w:t>
      </w:r>
    </w:p>
    <w:p>
      <w:pPr>
        <w:pStyle w:val="ListParagraph"/>
        <w:numPr>
          <w:ilvl w:val="0"/>
          <w:numId w:val="4"/>
        </w:numPr>
      </w:pPr>
      <w:r>
        <w:rPr>
          <w:rFonts w:ascii="Figtree" w:hAnsi="Figtree"/>
          <w:b/>
          <w:i w:val="0"/>
          <w:sz w:val="22"/>
        </w:rPr>
        <w:t>Engineering:</w:t>
      </w:r>
      <w:r>
        <w:rPr>
          <w:rFonts w:ascii="Figtree" w:hAnsi="Figtree"/>
          <w:b w:val="0"/>
          <w:i w:val="0"/>
          <w:sz w:val="22"/>
        </w:rPr>
        <w:t xml:space="preserve"> €2M-€5M avoided vs. building Sharia-compliant tokenization internally</w:t>
      </w:r>
    </w:p>
    <w:p>
      <w:pPr>
        <w:pStyle w:val="ListParagraph"/>
        <w:numPr>
          <w:ilvl w:val="0"/>
          <w:numId w:val="4"/>
        </w:numPr>
      </w:pPr>
      <w:r>
        <w:rPr>
          <w:rFonts w:ascii="Figtree" w:hAnsi="Figtree"/>
          <w:b/>
          <w:i w:val="0"/>
          <w:sz w:val="22"/>
        </w:rPr>
        <w:t>Sharia certification:</w:t>
      </w:r>
      <w:r>
        <w:rPr>
          <w:rFonts w:ascii="Figtree" w:hAnsi="Figtree"/>
          <w:b w:val="0"/>
          <w:i w:val="0"/>
          <w:sz w:val="22"/>
        </w:rPr>
        <w:t xml:space="preserve"> Pre-configured structures reduce Sharia board certification cycles from months to weeks</w:t>
      </w:r>
    </w:p>
    <w:p>
      <w:pPr>
        <w:pStyle w:val="H3"/>
        <w:numPr>
          <w:ilvl w:val="2"/>
          <w:numId w:val="1"/>
        </w:numPr>
      </w:pPr>
      <w:r>
        <w:t>Revenue Impact</w:t>
      </w:r>
    </w:p>
    <w:p>
      <w:pPr>
        <w:pStyle w:val="ListParagraph"/>
        <w:numPr>
          <w:ilvl w:val="0"/>
          <w:numId w:val="4"/>
        </w:numPr>
      </w:pPr>
      <w:r>
        <w:rPr>
          <w:rFonts w:ascii="Figtree" w:hAnsi="Figtree"/>
          <w:b/>
          <w:i w:val="0"/>
          <w:sz w:val="22"/>
        </w:rPr>
        <w:t>Broader investor access:</w:t>
      </w:r>
      <w:r>
        <w:rPr>
          <w:rFonts w:ascii="Figtree" w:hAnsi="Figtree"/>
          <w:b w:val="0"/>
          <w:i w:val="0"/>
          <w:sz w:val="22"/>
        </w:rPr>
        <w:t xml:space="preserve"> Islamic finance institutional investors gain access to Tamara's receivables</w:t>
      </w:r>
    </w:p>
    <w:p>
      <w:pPr>
        <w:pStyle w:val="ListParagraph"/>
        <w:numPr>
          <w:ilvl w:val="0"/>
          <w:numId w:val="4"/>
        </w:numPr>
      </w:pPr>
      <w:r>
        <w:rPr>
          <w:rFonts w:ascii="Figtree" w:hAnsi="Figtree"/>
          <w:b/>
          <w:i w:val="0"/>
          <w:sz w:val="22"/>
        </w:rPr>
        <w:t>Funding cost improvement:</w:t>
      </w:r>
      <w:r>
        <w:rPr>
          <w:rFonts w:ascii="Figtree" w:hAnsi="Figtree"/>
          <w:b w:val="0"/>
          <w:i w:val="0"/>
          <w:sz w:val="22"/>
        </w:rPr>
        <w:t xml:space="preserve"> 30-80 bps through investor competition on a growing portfolio</w:t>
      </w:r>
    </w:p>
    <w:p>
      <w:pPr>
        <w:pStyle w:val="ListParagraph"/>
        <w:numPr>
          <w:ilvl w:val="0"/>
          <w:numId w:val="4"/>
        </w:numPr>
      </w:pPr>
      <w:r>
        <w:rPr>
          <w:rFonts w:ascii="Figtree" w:hAnsi="Figtree"/>
          <w:b/>
          <w:i w:val="0"/>
          <w:sz w:val="22"/>
        </w:rPr>
        <w:t>Faster capital deployment:</w:t>
      </w:r>
      <w:r>
        <w:rPr>
          <w:rFonts w:ascii="Figtree" w:hAnsi="Figtree"/>
          <w:b w:val="0"/>
          <w:i w:val="0"/>
          <w:sz w:val="22"/>
        </w:rPr>
        <w:t xml:space="preserve"> Weeks instead of months for new funding rounds</w:t>
      </w:r>
    </w:p>
    <w:p>
      <w:pPr>
        <w:pStyle w:val="H3"/>
        <w:numPr>
          <w:ilvl w:val="2"/>
          <w:numId w:val="1"/>
        </w:numPr>
      </w:pPr>
      <w:r>
        <w:t>Risk Reduction</w:t>
      </w:r>
    </w:p>
    <w:p>
      <w:pPr>
        <w:pStyle w:val="ListParagraph"/>
        <w:numPr>
          <w:ilvl w:val="0"/>
          <w:numId w:val="4"/>
        </w:numPr>
      </w:pPr>
      <w:r>
        <w:rPr>
          <w:rFonts w:ascii="Figtree" w:hAnsi="Figtree"/>
          <w:b/>
          <w:i w:val="0"/>
          <w:sz w:val="22"/>
        </w:rPr>
        <w:t>SAMA/CMA compliance:</w:t>
      </w:r>
      <w:r>
        <w:rPr>
          <w:rFonts w:ascii="Figtree" w:hAnsi="Figtree"/>
          <w:b w:val="0"/>
          <w:i w:val="0"/>
          <w:sz w:val="22"/>
        </w:rPr>
        <w:t xml:space="preserve"> Pre-audited modules reduce regulatory examination risk</w:t>
      </w:r>
    </w:p>
    <w:p>
      <w:pPr>
        <w:pStyle w:val="ListParagraph"/>
        <w:numPr>
          <w:ilvl w:val="0"/>
          <w:numId w:val="4"/>
        </w:numPr>
      </w:pPr>
      <w:r>
        <w:rPr>
          <w:rFonts w:ascii="Figtree" w:hAnsi="Figtree"/>
          <w:b/>
          <w:i w:val="0"/>
          <w:sz w:val="22"/>
        </w:rPr>
        <w:t>Sharia compliance continuity:</w:t>
      </w:r>
      <w:r>
        <w:rPr>
          <w:rFonts w:ascii="Figtree" w:hAnsi="Figtree"/>
          <w:b w:val="0"/>
          <w:i w:val="0"/>
          <w:sz w:val="22"/>
        </w:rPr>
        <w:t xml:space="preserve"> Automated enforcement prevents inadvertent Sharia non-compliance</w:t>
      </w:r>
    </w:p>
    <w:p>
      <w:pPr>
        <w:pStyle w:val="ListParagraph"/>
        <w:numPr>
          <w:ilvl w:val="0"/>
          <w:numId w:val="4"/>
        </w:numPr>
      </w:pPr>
      <w:r>
        <w:rPr>
          <w:rFonts w:ascii="Figtree" w:hAnsi="Figtree"/>
          <w:b/>
          <w:i w:val="0"/>
          <w:sz w:val="22"/>
        </w:rPr>
        <w:t>Operational reliability:</w:t>
      </w:r>
      <w:r>
        <w:rPr>
          <w:rFonts w:ascii="Figtree" w:hAnsi="Figtree"/>
          <w:b w:val="0"/>
          <w:i w:val="0"/>
          <w:sz w:val="22"/>
        </w:rPr>
        <w:t xml:space="preserve"> Automated profit distribution eliminates manual processing risk</w:t>
      </w:r>
    </w:p>
    <w:p>
      <w:r>
        <w:br w:type="page"/>
      </w:r>
    </w:p>
    <w:p>
      <w:pPr>
        <w:pStyle w:val="H2"/>
        <w:numPr>
          <w:ilvl w:val="1"/>
          <w:numId w:val="1"/>
        </w:numPr>
      </w:pPr>
      <w:r>
        <w:t>Payment Terms</w:t>
      </w:r>
    </w:p>
    <w:p>
      <w:pPr>
        <w:pStyle w:val="ListParagraph"/>
        <w:numPr>
          <w:ilvl w:val="0"/>
          <w:numId w:val="4"/>
        </w:numPr>
      </w:pPr>
      <w:r>
        <w:rPr>
          <w:rFonts w:ascii="Figtree" w:hAnsi="Figtree"/>
          <w:b/>
          <w:i w:val="0"/>
          <w:sz w:val="22"/>
        </w:rPr>
        <w:t>License:</w:t>
      </w:r>
      <w:r>
        <w:rPr>
          <w:rFonts w:ascii="Figtree" w:hAnsi="Figtree"/>
          <w:b w:val="0"/>
          <w:i w:val="0"/>
          <w:sz w:val="22"/>
        </w:rPr>
        <w:t xml:space="preserve"> Annual, upfront</w:t>
      </w:r>
    </w:p>
    <w:p>
      <w:pPr>
        <w:pStyle w:val="ListParagraph"/>
        <w:numPr>
          <w:ilvl w:val="0"/>
          <w:numId w:val="4"/>
        </w:numPr>
      </w:pPr>
      <w:r>
        <w:rPr>
          <w:rFonts w:ascii="Figtree" w:hAnsi="Figtree"/>
          <w:b/>
          <w:i w:val="0"/>
          <w:sz w:val="22"/>
        </w:rPr>
        <w:t>Implementation:</w:t>
      </w:r>
      <w:r>
        <w:rPr>
          <w:rFonts w:ascii="Figtree" w:hAnsi="Figtree"/>
          <w:b w:val="0"/>
          <w:i w:val="0"/>
          <w:sz w:val="22"/>
        </w:rPr>
        <w:t xml:space="preserve"> Milestone-based (30/40/30)</w:t>
      </w:r>
    </w:p>
    <w:p>
      <w:pPr>
        <w:pStyle w:val="ListParagraph"/>
        <w:numPr>
          <w:ilvl w:val="0"/>
          <w:numId w:val="4"/>
        </w:numPr>
      </w:pPr>
      <w:r>
        <w:rPr>
          <w:rFonts w:ascii="Figtree" w:hAnsi="Figtree"/>
          <w:b/>
          <w:i w:val="0"/>
          <w:sz w:val="22"/>
        </w:rPr>
        <w:t>Currency:</w:t>
      </w:r>
      <w:r>
        <w:rPr>
          <w:rFonts w:ascii="Figtree" w:hAnsi="Figtree"/>
          <w:b w:val="0"/>
          <w:i w:val="0"/>
          <w:sz w:val="22"/>
        </w:rPr>
        <w:t xml:space="preserve"> EUR base; SAR or USD available at invoice-date rate</w:t>
      </w:r>
    </w:p>
    <w:p>
      <w:r>
        <w:rPr>
          <w:rFonts w:ascii="Figtree" w:hAnsi="Figtree"/>
          <w:b w:val="0"/>
          <w:i w:val="0"/>
          <w:sz w:val="22"/>
        </w:rPr>
        <w:t>All prices exclude applicable taxes and VAT.</w:t>
      </w:r>
    </w:p>
    <w:p>
      <w:r>
        <w:br w:type="page"/>
      </w:r>
    </w:p>
    <w:p>
      <w:pPr>
        <w:pStyle w:val="H2"/>
        <w:numPr>
          <w:ilvl w:val="1"/>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w:t>
            </w:r>
          </w:p>
        </w:tc>
        <w:tc>
          <w:tcPr>
            <w:tcW w:type="dxa" w:w="4873"/>
            <w:vAlign w:val="center"/>
          </w:tcPr>
          <w:p>
            <w:pPr>
              <w:spacing w:line="276" w:lineRule="auto" w:before="0" w:after="0"/>
            </w:pPr>
            <w:r/>
            <w:r>
              <w:rPr>
                <w:rFonts w:ascii="Figtree" w:hAnsi="Figtree"/>
                <w:b w:val="0"/>
                <w:i w:val="0"/>
                <w:sz w:val="20"/>
              </w:rPr>
              <w:t>Terms, liability, IP</w:t>
            </w:r>
          </w:p>
        </w:tc>
      </w:tr>
      <w:tr>
        <w:trPr>
          <w:trHeight w:val="425" w:hRule="atLeast"/>
        </w:trPr>
        <w:tc>
          <w:tcPr>
            <w:tcW w:type="dxa" w:w="4873"/>
            <w:vAlign w:val="center"/>
          </w:tcPr>
          <w:p>
            <w:pPr>
              <w:spacing w:line="276" w:lineRule="auto" w:before="0" w:after="0"/>
            </w:pPr>
            <w:r/>
            <w:r>
              <w:rPr>
                <w:rFonts w:ascii="Figtree" w:hAnsi="Figtree"/>
                <w:b w:val="0"/>
                <w:i w:val="0"/>
                <w:sz w:val="20"/>
              </w:rPr>
              <w:t>License Order Form</w:t>
            </w:r>
          </w:p>
        </w:tc>
        <w:tc>
          <w:tcPr>
            <w:tcW w:type="dxa" w:w="4873"/>
            <w:vAlign w:val="center"/>
          </w:tcPr>
          <w:p>
            <w:pPr>
              <w:spacing w:line="276" w:lineRule="auto" w:before="0" w:after="0"/>
            </w:pPr>
            <w:r/>
            <w:r>
              <w:rPr>
                <w:rFonts w:ascii="Figtree" w:hAnsi="Figtree"/>
                <w:b w:val="0"/>
                <w:i w:val="0"/>
                <w:sz w:val="20"/>
              </w:rPr>
              <w:t>Environments, fees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SOW</w:t>
            </w:r>
          </w:p>
        </w:tc>
        <w:tc>
          <w:tcPr>
            <w:tcW w:type="dxa" w:w="4873"/>
            <w:vAlign w:val="center"/>
          </w:tcPr>
          <w:p>
            <w:pPr>
              <w:spacing w:line="276" w:lineRule="auto" w:before="0" w:after="0"/>
            </w:pPr>
            <w:r/>
            <w:r>
              <w:rPr>
                <w:rFonts w:ascii="Figtree" w:hAnsi="Figtree"/>
                <w:b w:val="0"/>
                <w:i w:val="0"/>
                <w:sz w:val="20"/>
              </w:rPr>
              <w:t>Programme scope</w:t>
            </w:r>
          </w:p>
        </w:tc>
      </w:tr>
      <w:tr>
        <w:trPr>
          <w:trHeight w:val="425" w:hRule="atLeast"/>
        </w:trPr>
        <w:tc>
          <w:tcPr>
            <w:tcW w:type="dxa" w:w="4873"/>
            <w:vAlign w:val="center"/>
          </w:tcPr>
          <w:p>
            <w:pPr>
              <w:spacing w:line="276" w:lineRule="auto" w:before="0" w:after="0"/>
            </w:pPr>
            <w:r/>
            <w:r>
              <w:rPr>
                <w:rFonts w:ascii="Figtree" w:hAnsi="Figtree"/>
                <w:b w:val="0"/>
                <w:i w:val="0"/>
                <w:sz w:val="20"/>
              </w:rPr>
              <w:t>Support Schedule</w:t>
            </w:r>
          </w:p>
        </w:tc>
        <w:tc>
          <w:tcPr>
            <w:tcW w:type="dxa" w:w="4873"/>
            <w:vAlign w:val="center"/>
          </w:tcPr>
          <w:p>
            <w:pPr>
              <w:spacing w:line="276" w:lineRule="auto" w:before="0" w:after="0"/>
            </w:pPr>
            <w:r/>
            <w:r>
              <w:rPr>
                <w:rFonts w:ascii="Figtree" w:hAnsi="Figtree"/>
                <w:b w:val="0"/>
                <w:i w:val="0"/>
                <w:sz w:val="20"/>
              </w:rPr>
              <w:t>SLA terms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Data sovereignty, privacy</w:t>
            </w:r>
          </w:p>
        </w:tc>
      </w:tr>
    </w:tbl>
    <w:p>
      <w:pPr>
        <w:spacing w:before="0" w:after="0" w:line="120" w:lineRule="exact"/>
      </w:pPr>
    </w:p>
    <w:p>
      <w:r>
        <w:rPr>
          <w:rFonts w:ascii="Figtree" w:hAnsi="Figtree"/>
          <w:b/>
          <w:i w:val="0"/>
          <w:sz w:val="22"/>
        </w:rPr>
        <w:t>Data sovereignty:</w:t>
      </w:r>
      <w:r>
        <w:rPr>
          <w:rFonts w:ascii="Figtree" w:hAnsi="Figtree"/>
          <w:b w:val="0"/>
          <w:i w:val="0"/>
          <w:sz w:val="22"/>
        </w:rPr>
        <w:t xml:space="preserve"> Contract includes KSA data residency provisions per SAMA requirements.</w:t>
      </w:r>
    </w:p>
    <w:p>
      <w:r>
        <w:br w:type="page"/>
      </w:r>
    </w:p>
    <w:p>
      <w:r>
        <w:rPr>
          <w:rFonts w:ascii="Figtree" w:hAnsi="Figtree"/>
          <w:b w:val="0"/>
          <w:i/>
          <w:sz w:val="22"/>
        </w:rPr>
        <w:t>This commercial proposal is submitted in strict confidence by SettleMint. 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