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About SettleMint</w:t>
          </w:r>
          <w:r>
            <w:tab/>
          </w:r>
          <w:r>
            <w:t xml:space="preserve">5</w:t>
          </w:r>
        </w:p>
        <w:p>
          <w:pPr>
            <w:pStyle w:val="TOC3"/>
            <w:tabs>
              <w:tab w:val="right" w:leader="dot" w:pos="9072"/>
            </w:tabs>
          </w:pPr>
          <w:r>
            <w:t xml:space="preserve">Company Overview</w:t>
          </w:r>
          <w:r>
            <w:tab/>
          </w:r>
          <w:r>
            <w:t xml:space="preserve">6</w:t>
          </w:r>
        </w:p>
        <w:p>
          <w:pPr>
            <w:pStyle w:val="TOC3"/>
            <w:tabs>
              <w:tab w:val="right" w:leader="dot" w:pos="9072"/>
            </w:tabs>
          </w:pPr>
          <w:r>
            <w:t xml:space="preserve">Relevance to Absa Group</w:t>
          </w:r>
          <w:r>
            <w:tab/>
          </w:r>
          <w:r>
            <w:t xml:space="preserve">7</w:t>
          </w:r>
        </w:p>
        <w:p>
          <w:pPr>
            <w:pStyle w:val="TOC2"/>
            <w:tabs>
              <w:tab w:val="right" w:leader="dot" w:pos="9072"/>
            </w:tabs>
          </w:pPr>
          <w:r>
            <w:t xml:space="preserve">About DALP</w:t>
          </w:r>
          <w:r>
            <w:tab/>
          </w:r>
          <w:r>
            <w:t xml:space="preserve">8</w:t>
          </w:r>
        </w:p>
        <w:p>
          <w:pPr>
            <w:pStyle w:val="TOC3"/>
            <w:tabs>
              <w:tab w:val="right" w:leader="dot" w:pos="9072"/>
            </w:tabs>
          </w:pPr>
          <w:r>
            <w:t xml:space="preserve">Trade Finance Lifecycle</w:t>
          </w:r>
          <w:r>
            <w:tab/>
          </w:r>
          <w:r>
            <w:t xml:space="preserve">9</w:t>
          </w:r>
        </w:p>
        <w:p>
          <w:pPr>
            <w:pStyle w:val="TOC3"/>
            <w:tabs>
              <w:tab w:val="right" w:leader="dot" w:pos="9072"/>
            </w:tabs>
          </w:pPr>
          <w:r>
            <w:t xml:space="preserve">Core Capabilities for Trade Finance</w:t>
          </w:r>
          <w:r>
            <w:tab/>
          </w:r>
          <w:r>
            <w:t xml:space="preserve">10</w:t>
          </w:r>
        </w:p>
        <w:p>
          <w:pPr>
            <w:pStyle w:val="TOC2"/>
            <w:tabs>
              <w:tab w:val="right" w:leader="dot" w:pos="9072"/>
            </w:tabs>
          </w:pPr>
          <w:r>
            <w:t xml:space="preserve">Customer References</w:t>
          </w:r>
          <w:r>
            <w:tab/>
          </w:r>
          <w:r>
            <w:t xml:space="preserve">11</w:t>
          </w:r>
        </w:p>
        <w:p>
          <w:pPr>
            <w:pStyle w:val="TOC3"/>
            <w:tabs>
              <w:tab w:val="right" w:leader="dot" w:pos="9072"/>
            </w:tabs>
          </w:pPr>
          <w:r>
            <w:t xml:space="preserve">Trade Finance References</w:t>
          </w:r>
          <w:r>
            <w:tab/>
          </w:r>
          <w:r>
            <w:t xml:space="preserve">12</w:t>
          </w:r>
        </w:p>
        <w:p>
          <w:pPr>
            <w:pStyle w:val="TOC3"/>
            <w:tabs>
              <w:tab w:val="right" w:leader="dot" w:pos="9072"/>
            </w:tabs>
          </w:pPr>
          <w:r>
            <w:t xml:space="preserve">Expanded: RBI Innovation Hub — Trade Finance</w:t>
          </w:r>
          <w:r>
            <w:tab/>
          </w:r>
          <w:r>
            <w:t xml:space="preserve">13</w:t>
          </w:r>
        </w:p>
        <w:p>
          <w:pPr>
            <w:pStyle w:val="TOC2"/>
            <w:tabs>
              <w:tab w:val="right" w:leader="dot" w:pos="9072"/>
            </w:tabs>
          </w:pPr>
          <w:r>
            <w:t xml:space="preserve">Proposed Solution</w:t>
          </w:r>
          <w:r>
            <w:tab/>
          </w:r>
          <w:r>
            <w:t xml:space="preserve">14</w:t>
          </w:r>
        </w:p>
        <w:p>
          <w:pPr>
            <w:pStyle w:val="TOC3"/>
            <w:tabs>
              <w:tab w:val="right" w:leader="dot" w:pos="9072"/>
            </w:tabs>
          </w:pPr>
          <w:r>
            <w:t xml:space="preserve">Solution Overview</w:t>
          </w:r>
          <w:r>
            <w:tab/>
          </w:r>
          <w:r>
            <w:t xml:space="preserve">15</w:t>
          </w:r>
        </w:p>
        <w:p>
          <w:pPr>
            <w:pStyle w:val="TOC3"/>
            <w:tabs>
              <w:tab w:val="right" w:leader="dot" w:pos="9072"/>
            </w:tabs>
          </w:pPr>
          <w:r>
            <w:t xml:space="preserve">Receivable Token Configuration</w:t>
          </w:r>
          <w:r>
            <w:tab/>
          </w:r>
          <w:r>
            <w:t xml:space="preserve">16</w:t>
          </w:r>
        </w:p>
        <w:p>
          <w:pPr>
            <w:pStyle w:val="TOC3"/>
            <w:tabs>
              <w:tab w:val="right" w:leader="dot" w:pos="9072"/>
            </w:tabs>
          </w:pPr>
          <w:r>
            <w:t xml:space="preserve">Trade Finance Workflow</w:t>
          </w:r>
          <w:r>
            <w:tab/>
          </w:r>
          <w:r>
            <w:t xml:space="preserve">17</w:t>
          </w:r>
        </w:p>
        <w:p>
          <w:pPr>
            <w:pStyle w:val="TOC3"/>
            <w:tabs>
              <w:tab w:val="right" w:leader="dot" w:pos="9072"/>
            </w:tabs>
          </w:pPr>
          <w:r>
            <w:t xml:space="preserve">Functional Fit Matrix</w:t>
          </w:r>
          <w:r>
            <w:tab/>
          </w:r>
          <w:r>
            <w:t xml:space="preserve">18</w:t>
          </w:r>
        </w:p>
        <w:p>
          <w:pPr>
            <w:pStyle w:val="TOC2"/>
            <w:tabs>
              <w:tab w:val="right" w:leader="dot" w:pos="9072"/>
            </w:tabs>
          </w:pPr>
          <w:r>
            <w:t xml:space="preserve">Technical Architecture</w:t>
          </w:r>
          <w:r>
            <w:tab/>
          </w:r>
          <w:r>
            <w:t xml:space="preserve">19</w:t>
          </w:r>
        </w:p>
        <w:p>
          <w:pPr>
            <w:pStyle w:val="TOC3"/>
            <w:tabs>
              <w:tab w:val="right" w:leader="dot" w:pos="9072"/>
            </w:tabs>
          </w:pPr>
          <w:r>
            <w:t xml:space="preserve">Four-Layer Stack</w:t>
          </w:r>
          <w:r>
            <w:tab/>
          </w:r>
          <w:r>
            <w:t xml:space="preserve">20</w:t>
          </w:r>
        </w:p>
        <w:p>
          <w:pPr>
            <w:pStyle w:val="TOC3"/>
            <w:tabs>
              <w:tab w:val="right" w:leader="dot" w:pos="9072"/>
            </w:tabs>
          </w:pPr>
          <w:r>
            <w:t xml:space="preserve">Security: 5-Layer Defense-in-Depth</w:t>
          </w:r>
          <w:r>
            <w:tab/>
          </w:r>
          <w:r>
            <w:t xml:space="preserve">21</w:t>
          </w:r>
        </w:p>
        <w:p>
          <w:pPr>
            <w:pStyle w:val="TOC2"/>
            <w:tabs>
              <w:tab w:val="right" w:leader="dot" w:pos="9072"/>
            </w:tabs>
          </w:pPr>
          <w:r>
            <w:t xml:space="preserve">Implementation (19 Weeks)</w:t>
          </w:r>
          <w:r>
            <w:tab/>
          </w:r>
          <w:r>
            <w:t xml:space="preserve">22</w:t>
          </w:r>
        </w:p>
        <w:p>
          <w:pPr>
            <w:pStyle w:val="TOC2"/>
            <w:tabs>
              <w:tab w:val="right" w:leader="dot" w:pos="9072"/>
            </w:tabs>
          </w:pPr>
          <w:r>
            <w:t xml:space="preserve">Deployment</w:t>
          </w:r>
          <w:r>
            <w:tab/>
          </w:r>
          <w:r>
            <w:t xml:space="preserve">23</w:t>
          </w:r>
        </w:p>
        <w:p>
          <w:pPr>
            <w:pStyle w:val="TOC2"/>
            <w:tabs>
              <w:tab w:val="right" w:leader="dot" w:pos="9072"/>
            </w:tabs>
          </w:pPr>
          <w:r>
            <w:t xml:space="preserve">Support: Premium</w:t>
          </w:r>
          <w:r>
            <w:tab/>
          </w:r>
          <w:r>
            <w:t xml:space="preserve">24</w:t>
          </w:r>
        </w:p>
        <w:p>
          <w:pPr>
            <w:pStyle w:val="TOC2"/>
            <w:tabs>
              <w:tab w:val="right" w:leader="dot" w:pos="9072"/>
            </w:tabs>
          </w:pPr>
          <w:r>
            <w:t xml:space="preserve">Risk Register</w:t>
          </w:r>
          <w:r>
            <w:tab/>
          </w:r>
          <w:r>
            <w:t xml:space="preserve">25</w:t>
          </w:r>
        </w:p>
        <w:p>
          <w:pPr>
            <w:pStyle w:val="TOC2"/>
            <w:tabs>
              <w:tab w:val="right" w:leader="dot" w:pos="9072"/>
            </w:tabs>
          </w:pPr>
          <w:r>
            <w:t xml:space="preserve">Appendices</w:t>
          </w:r>
          <w:r>
            <w:tab/>
          </w:r>
          <w:r>
            <w:t xml:space="preserve">26</w:t>
          </w:r>
        </w:p>
        <w:p>
          <w:pPr>
            <w:pStyle w:val="TOC3"/>
            <w:tabs>
              <w:tab w:val="right" w:leader="dot" w:pos="9072"/>
            </w:tabs>
          </w:pPr>
          <w:r>
            <w:t xml:space="preserve">Glossary</w:t>
          </w:r>
          <w:r>
            <w:tab/>
          </w:r>
          <w:r>
            <w:t xml:space="preserve">27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9"/>
        <w:gridCol w:w="72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Tokenized Trade Finance Workflow and Receivables Digitization</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Absa Group</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ABSA-GROUP-RFP-TOKENIZED-TRADE-FINANCE-202603</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Adam Popat, CEO</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Absa's Programme Objectives</w:t>
      </w:r>
    </w:p>
    <w:p>
      <w:pPr>
        <w:pStyle w:val="ListParagraph"/>
        <w:numPr>
          <w:ilvl w:val="0"/>
          <w:numId w:val="4"/>
        </w:numPr>
      </w:pPr>
      <w:r>
        <w:rPr>
          <w:rFonts w:ascii="Figtree" w:hAnsi="Figtree"/>
          <w:b w:val="0"/>
          <w:i w:val="0"/>
          <w:sz w:val="22"/>
        </w:rPr>
        <w:t>Customer References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Smart Contract Architecture for Trade Finance</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Deployment Model</w:t>
      </w:r>
    </w:p>
    <w:p>
      <w:pPr>
        <w:pStyle w:val="ListParagraph"/>
        <w:numPr>
          <w:ilvl w:val="0"/>
          <w:numId w:val="4"/>
        </w:numPr>
      </w:pPr>
      <w:r>
        <w:rPr>
          <w:rFonts w:ascii="Figtree" w:hAnsi="Figtree"/>
          <w:b w:val="0"/>
          <w:i w:val="0"/>
          <w:sz w:val="22"/>
        </w:rPr>
        <w:t>Training and Knowledge Transfer</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Risk Management</w:t>
      </w:r>
    </w:p>
    <w:p>
      <w:pPr>
        <w:pStyle w:val="ListParagraph"/>
        <w:numPr>
          <w:ilvl w:val="0"/>
          <w:numId w:val="4"/>
        </w:numPr>
      </w:pPr>
      <w:r>
        <w:rPr>
          <w:rFonts w:ascii="Figtree" w:hAnsi="Figtree"/>
          <w:b w:val="0"/>
          <w:i w:val="0"/>
          <w:sz w:val="22"/>
        </w:rPr>
        <w:t>Compliance Matrix</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Absa Group has identified tokenized trade finance workflow and receivables digitization as a business-critical capability requiring production-grade discipline. This procurement seeks a platform that can support trade finance operations within South Africa's regulatory environment — including SARB prudential controls, FSCA financial sector regulations, and the practical considerations of cross-border African trade.</w:t>
      </w:r>
    </w:p>
    <w:p>
      <w:r>
        <w:rPr>
          <w:rFonts w:ascii="Figtree" w:hAnsi="Figtree"/>
          <w:b w:val="0"/>
          <w:i w:val="0"/>
          <w:sz w:val="22"/>
        </w:rPr>
        <w:t>SettleMint's Digital Asset Lifecycle Platform (DALP) addresses this requirement through its durable workflow engine and configurable token architecture. DALP provides production-ready infrastructure for tokenizing trade finance instruments (letters of credit, bills of exchange, receivables), orchestrating multi-party approval workflows, enforcing compliance at the smart contract level, and settling through atomic delivery-versus-payment.</w:t>
      </w:r>
    </w:p>
    <w:p>
      <w:r>
        <w:rPr>
          <w:rFonts w:ascii="Figtree" w:hAnsi="Figtree"/>
          <w:b/>
          <w:i w:val="0"/>
          <w:sz w:val="22"/>
        </w:rPr>
        <w:t>Why DALP fits Absa Group's requirements:</w:t>
      </w:r>
    </w:p>
    <w:p>
      <w:pPr>
        <w:pStyle w:val="ListParagraph"/>
        <w:numPr>
          <w:ilvl w:val="0"/>
          <w:numId w:val="4"/>
        </w:numPr>
      </w:pPr>
      <w:r>
        <w:rPr>
          <w:rFonts w:ascii="Figtree" w:hAnsi="Figtree"/>
          <w:b/>
          <w:i w:val="0"/>
          <w:sz w:val="22"/>
        </w:rPr>
        <w:t>Trade finance workflow capability.</w:t>
      </w:r>
      <w:r>
        <w:rPr>
          <w:rFonts w:ascii="Figtree" w:hAnsi="Figtree"/>
          <w:b w:val="0"/>
          <w:i w:val="0"/>
          <w:sz w:val="22"/>
        </w:rPr>
        <w:t xml:space="preserve"> DALP's durable execution engine handles multi-step trade finance workflows — document presentation, counterparty verification, milestone approvals, limit checks, and conditional settlement — with deterministic completion guarantees. Each workflow step produces auditable evidence, and failure at any point triggers defined recovery paths. The Reserve Bank of India Innovation Hub engagement — multi-bank, multi-node, multi-cloud blockchain for fraud-proof trade finance (letters of credit) — directly demonstrates this capability.</w:t>
      </w:r>
    </w:p>
    <w:p>
      <w:pPr>
        <w:pStyle w:val="ListParagraph"/>
        <w:numPr>
          <w:ilvl w:val="0"/>
          <w:numId w:val="4"/>
        </w:numPr>
      </w:pPr>
      <w:r>
        <w:rPr>
          <w:rFonts w:ascii="Figtree" w:hAnsi="Figtree"/>
          <w:b/>
          <w:i w:val="0"/>
          <w:sz w:val="22"/>
        </w:rPr>
        <w:t>Receivables digitization.</w:t>
      </w:r>
      <w:r>
        <w:rPr>
          <w:rFonts w:ascii="Figtree" w:hAnsi="Figtree"/>
          <w:b w:val="0"/>
          <w:i w:val="0"/>
          <w:sz w:val="22"/>
        </w:rPr>
        <w:t xml:space="preserve"> DALPAsset's configurable architecture supports tokenization of trade receivables with document metadata linking, counterparty identity verification, transfer restrictions to nominated parties, and milestone-based liquidity release. Receivable tokens can be transferred (sold, discounted, pledged) with full compliance enforcement.</w:t>
      </w:r>
    </w:p>
    <w:p>
      <w:pPr>
        <w:pStyle w:val="ListParagraph"/>
        <w:numPr>
          <w:ilvl w:val="0"/>
          <w:numId w:val="4"/>
        </w:numPr>
      </w:pPr>
      <w:r>
        <w:rPr>
          <w:rFonts w:ascii="Figtree" w:hAnsi="Figtree"/>
          <w:b/>
          <w:i w:val="0"/>
          <w:sz w:val="22"/>
        </w:rPr>
        <w:t>African market understanding.</w:t>
      </w:r>
      <w:r>
        <w:rPr>
          <w:rFonts w:ascii="Figtree" w:hAnsi="Figtree"/>
          <w:b w:val="0"/>
          <w:i w:val="0"/>
          <w:sz w:val="22"/>
        </w:rPr>
        <w:t xml:space="preserve"> SettleMint's Standard Chartered engagement spans Asia, Africa, and the Middle East. The South African Reserve Bank's Project Khokha (wholesale CBDC pilot) and JSE digital asset initiatives demonstrate the market's trajectory. DALP's configurable compliance engine accommodates SARB and FSCA requirements through module composition.</w:t>
      </w:r>
    </w:p>
    <w:p>
      <w:pPr>
        <w:pStyle w:val="ListParagraph"/>
        <w:numPr>
          <w:ilvl w:val="0"/>
          <w:numId w:val="4"/>
        </w:numPr>
      </w:pPr>
      <w:r>
        <w:rPr>
          <w:rFonts w:ascii="Figtree" w:hAnsi="Figtree"/>
          <w:b/>
          <w:i w:val="0"/>
          <w:sz w:val="22"/>
        </w:rPr>
        <w:t>Production credentials.</w:t>
      </w:r>
      <w:r>
        <w:rPr>
          <w:rFonts w:ascii="Figtree" w:hAnsi="Figtree"/>
          <w:b w:val="0"/>
          <w:i w:val="0"/>
          <w:sz w:val="22"/>
        </w:rPr>
        <w:t xml:space="preserve"> 14 institutional deployments including Standard Chartered, Commerzbank (EUR 7M/year savings), OCBC, SBI, Islamic Development Bank. ISO 27001 and SOC 2 Type II certified.</w:t>
      </w:r>
    </w:p>
    <w:p>
      <w:pPr>
        <w:pStyle w:val="ListParagraph"/>
        <w:numPr>
          <w:ilvl w:val="0"/>
          <w:numId w:val="4"/>
        </w:numPr>
      </w:pPr>
      <w:r>
        <w:rPr>
          <w:rFonts w:ascii="Figtree" w:hAnsi="Figtree"/>
          <w:b/>
          <w:i w:val="0"/>
          <w:sz w:val="22"/>
        </w:rPr>
        <w:t>Enterprise integration.</w:t>
      </w:r>
      <w:r>
        <w:rPr>
          <w:rFonts w:ascii="Figtree" w:hAnsi="Figtree"/>
          <w:b w:val="0"/>
          <w:i w:val="0"/>
          <w:sz w:val="22"/>
        </w:rPr>
        <w:t xml:space="preserve"> REST API v2, GraphQL, webhooks, SDK, CLI (301 commands). Connects to core banking, trade finance back-office, SWIFT, KYC/AML, and regulatory reporting.</w:t>
      </w:r>
    </w:p>
    <w:p>
      <w:r>
        <w:rPr>
          <w:rFonts w:ascii="Figtree" w:hAnsi="Figtree"/>
          <w:b w:val="0"/>
          <w:i w:val="0"/>
          <w:sz w:val="22"/>
        </w:rPr>
        <w:t>The proposed implementation follows a 19-week phase-gated methodology with five formal gate reviews.</w:t>
      </w:r>
    </w:p>
    <w:p>
      <w:pPr>
        <w:jc w:val="center"/>
      </w:pPr>
      <w:r>
        <w:drawing>
          <wp:inline xmlns:a="http://schemas.openxmlformats.org/drawingml/2006/main" xmlns:pic="http://schemas.openxmlformats.org/drawingml/2006/picture">
            <wp:extent cx="5486400" cy="193843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938435"/>
                    </a:xfrm>
                    <a:prstGeom prst="rect"/>
                  </pic:spPr>
                </pic:pic>
              </a:graphicData>
            </a:graphic>
          </wp:inline>
        </w:drawing>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production-grade digital asset lifecycle management for regulated markets. Founded 2016, Leuven, Belgium. 10 years continuous operation, 7+ years production deployments at regulated banks. ISO 27001, SOC 2 Type II.</w:t>
      </w:r>
    </w:p>
    <w:p>
      <w:pPr>
        <w:pStyle w:val="H3"/>
        <w:numPr>
          <w:ilvl w:val="2"/>
          <w:numId w:val="1"/>
        </w:numPr>
      </w:pPr>
      <w:r>
        <w:t>Relevance to Absa Group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37"/>
        <w:gridCol w:w="61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Trade finance experience</w:t>
            </w:r>
          </w:p>
        </w:tc>
        <w:tc>
          <w:tcPr>
            <w:tcW w:type="dxa" w:w="4873"/>
            <w:vAlign w:val="center"/>
          </w:tcPr>
          <w:p>
            <w:pPr>
              <w:spacing w:line="276" w:lineRule="auto" w:before="0" w:after="0"/>
            </w:pPr>
            <w:r/>
            <w:r>
              <w:rPr>
                <w:rFonts w:ascii="Figtree" w:hAnsi="Figtree"/>
                <w:b w:val="0"/>
                <w:i w:val="0"/>
                <w:sz w:val="20"/>
              </w:rPr>
              <w:t>RBI Innovation Hub: multi-bank LC processing</w:t>
            </w:r>
          </w:p>
        </w:tc>
      </w:tr>
      <w:tr>
        <w:trPr>
          <w:trHeight w:val="425" w:hRule="atLeast"/>
        </w:trPr>
        <w:tc>
          <w:tcPr>
            <w:tcW w:type="dxa" w:w="4873"/>
            <w:vAlign w:val="center"/>
          </w:tcPr>
          <w:p>
            <w:pPr>
              <w:spacing w:line="276" w:lineRule="auto" w:before="0" w:after="0"/>
            </w:pPr>
            <w:r/>
            <w:r>
              <w:rPr>
                <w:rFonts w:ascii="Figtree" w:hAnsi="Figtree"/>
                <w:b w:val="0"/>
                <w:i w:val="0"/>
                <w:sz w:val="20"/>
              </w:rPr>
              <w:t>African market exposure</w:t>
            </w:r>
          </w:p>
        </w:tc>
        <w:tc>
          <w:tcPr>
            <w:tcW w:type="dxa" w:w="4873"/>
            <w:vAlign w:val="center"/>
          </w:tcPr>
          <w:p>
            <w:pPr>
              <w:spacing w:line="276" w:lineRule="auto" w:before="0" w:after="0"/>
            </w:pPr>
            <w:r/>
            <w:r>
              <w:rPr>
                <w:rFonts w:ascii="Figtree" w:hAnsi="Figtree"/>
                <w:b w:val="0"/>
                <w:i w:val="0"/>
                <w:sz w:val="20"/>
              </w:rPr>
              <w:t>Standard Chartered: Asia, Africa, ME</w:t>
            </w:r>
          </w:p>
        </w:tc>
      </w:tr>
      <w:tr>
        <w:trPr>
          <w:trHeight w:val="425" w:hRule="atLeast"/>
        </w:trPr>
        <w:tc>
          <w:tcPr>
            <w:tcW w:type="dxa" w:w="4873"/>
            <w:vAlign w:val="center"/>
          </w:tcPr>
          <w:p>
            <w:pPr>
              <w:spacing w:line="276" w:lineRule="auto" w:before="0" w:after="0"/>
            </w:pPr>
            <w:r/>
            <w:r>
              <w:rPr>
                <w:rFonts w:ascii="Figtree" w:hAnsi="Figtree"/>
                <w:b w:val="0"/>
                <w:i w:val="0"/>
                <w:sz w:val="20"/>
              </w:rPr>
              <w:t>Institutional deployments</w:t>
            </w:r>
          </w:p>
        </w:tc>
        <w:tc>
          <w:tcPr>
            <w:tcW w:type="dxa" w:w="4873"/>
            <w:vAlign w:val="center"/>
          </w:tcPr>
          <w:p>
            <w:pPr>
              <w:spacing w:line="276" w:lineRule="auto" w:before="0" w:after="0"/>
            </w:pPr>
            <w:r/>
            <w:r>
              <w:rPr>
                <w:rFonts w:ascii="Figtree" w:hAnsi="Figtree"/>
                <w:b w:val="0"/>
                <w:i w:val="0"/>
                <w:sz w:val="20"/>
              </w:rPr>
              <w:t>14 engagements at regulated institutions</w:t>
            </w:r>
          </w:p>
        </w:tc>
      </w:tr>
      <w:tr>
        <w:trPr>
          <w:trHeight w:val="425" w:hRule="atLeast"/>
        </w:trPr>
        <w:tc>
          <w:tcPr>
            <w:tcW w:type="dxa" w:w="4873"/>
            <w:vAlign w:val="center"/>
          </w:tcPr>
          <w:p>
            <w:pPr>
              <w:spacing w:line="276" w:lineRule="auto" w:before="0" w:after="0"/>
            </w:pPr>
            <w:r/>
            <w:r>
              <w:rPr>
                <w:rFonts w:ascii="Figtree" w:hAnsi="Figtree"/>
                <w:b w:val="0"/>
                <w:i w:val="0"/>
                <w:sz w:val="20"/>
              </w:rPr>
              <w:t>Cross-border capability</w:t>
            </w:r>
          </w:p>
        </w:tc>
        <w:tc>
          <w:tcPr>
            <w:tcW w:type="dxa" w:w="4873"/>
            <w:vAlign w:val="center"/>
          </w:tcPr>
          <w:p>
            <w:pPr>
              <w:spacing w:line="276" w:lineRule="auto" w:before="0" w:after="0"/>
            </w:pPr>
            <w:r/>
            <w:r>
              <w:rPr>
                <w:rFonts w:ascii="Figtree" w:hAnsi="Figtree"/>
                <w:b w:val="0"/>
                <w:i w:val="0"/>
                <w:sz w:val="20"/>
              </w:rPr>
              <w:t>Maybank Project Photon: atomic cross-border settlement</w:t>
            </w:r>
          </w:p>
        </w:tc>
      </w:tr>
      <w:tr>
        <w:trPr>
          <w:trHeight w:val="425" w:hRule="atLeast"/>
        </w:trPr>
        <w:tc>
          <w:tcPr>
            <w:tcW w:type="dxa" w:w="4873"/>
            <w:vAlign w:val="center"/>
          </w:tcPr>
          <w:p>
            <w:pPr>
              <w:spacing w:line="276" w:lineRule="auto" w:before="0" w:after="0"/>
            </w:pPr>
            <w:r/>
            <w:r>
              <w:rPr>
                <w:rFonts w:ascii="Figtree" w:hAnsi="Figtree"/>
                <w:b w:val="0"/>
                <w:i w:val="0"/>
                <w:sz w:val="20"/>
              </w:rPr>
              <w:t>South Africa context</w:t>
            </w:r>
          </w:p>
        </w:tc>
        <w:tc>
          <w:tcPr>
            <w:tcW w:type="dxa" w:w="4873"/>
            <w:vAlign w:val="center"/>
          </w:tcPr>
          <w:p>
            <w:pPr>
              <w:spacing w:line="276" w:lineRule="auto" w:before="0" w:after="0"/>
            </w:pPr>
            <w:r/>
            <w:r>
              <w:rPr>
                <w:rFonts w:ascii="Figtree" w:hAnsi="Figtree"/>
                <w:b w:val="0"/>
                <w:i w:val="0"/>
                <w:sz w:val="20"/>
              </w:rPr>
              <w:t>Awareness of Project Khokha, SARB framework, FSCA requirements</w:t>
            </w:r>
          </w:p>
        </w:tc>
      </w:tr>
    </w:tbl>
    <w:p>
      <w:pPr>
        <w:spacing w:before="0" w:after="0" w:line="120" w:lineRule="exact"/>
      </w:pPr>
    </w:p>
    <w:p>
      <w:r>
        <w:br w:type="page"/>
      </w:r>
    </w:p>
    <w:p>
      <w:pPr>
        <w:pStyle w:val="H2"/>
        <w:numPr>
          <w:ilvl w:val="1"/>
          <w:numId w:val="1"/>
        </w:numPr>
      </w:pPr>
      <w:r>
        <w:t>About DALP</w:t>
      </w:r>
    </w:p>
    <w:p>
      <w:pPr>
        <w:pStyle w:val="H3"/>
        <w:numPr>
          <w:ilvl w:val="2"/>
          <w:numId w:val="1"/>
        </w:numPr>
      </w:pPr>
      <w:r>
        <w:t>Trade Finance Lifecycle</w:t>
      </w:r>
    </w:p>
    <w:p>
      <w:pPr>
        <w:jc w:val="center"/>
      </w:pPr>
      <w:r>
        <w:drawing>
          <wp:inline xmlns:a="http://schemas.openxmlformats.org/drawingml/2006/main" xmlns:pic="http://schemas.openxmlformats.org/drawingml/2006/picture">
            <wp:extent cx="3513472"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3513472" cy="8229599"/>
                    </a:xfrm>
                    <a:prstGeom prst="rect"/>
                  </pic:spPr>
                </pic:pic>
              </a:graphicData>
            </a:graphic>
          </wp:inline>
        </w:drawing>
      </w:r>
    </w:p>
    <w:p>
      <w:pPr>
        <w:pStyle w:val="H3"/>
        <w:numPr>
          <w:ilvl w:val="2"/>
          <w:numId w:val="1"/>
        </w:numPr>
      </w:pPr>
      <w:r>
        <w:t>Core Capabilities for Trade Finance</w:t>
      </w:r>
    </w:p>
    <w:p>
      <w:r>
        <w:rPr>
          <w:rFonts w:ascii="Figtree" w:hAnsi="Figtree"/>
          <w:b/>
          <w:i w:val="0"/>
          <w:sz w:val="22"/>
        </w:rPr>
        <w:t>Durable Workflow Engine.</w:t>
      </w:r>
      <w:r>
        <w:rPr>
          <w:rFonts w:ascii="Figtree" w:hAnsi="Figtree"/>
          <w:b w:val="0"/>
          <w:i w:val="0"/>
          <w:sz w:val="22"/>
        </w:rPr>
        <w:t xml:space="preserve"> Multi-step trade finance workflows execute with deterministic completion guarantees. State persists to PostgreSQL — surviving restarts, network partitions, and partner outages. Configurable timeouts and escalation paths for long-running approval processes.</w:t>
      </w:r>
    </w:p>
    <w:p>
      <w:r>
        <w:rPr>
          <w:rFonts w:ascii="Figtree" w:hAnsi="Figtree"/>
          <w:b/>
          <w:i w:val="0"/>
          <w:sz w:val="22"/>
        </w:rPr>
        <w:t>Configurable Token Architecture.</w:t>
      </w:r>
      <w:r>
        <w:rPr>
          <w:rFonts w:ascii="Figtree" w:hAnsi="Figtree"/>
          <w:b w:val="0"/>
          <w:i w:val="0"/>
          <w:sz w:val="22"/>
        </w:rPr>
        <w:t xml:space="preserve"> DALPAsset supports trade finance instrument configuration: document reference metadata, milestone definitions, counterparty restrictions, holding period enforcement, and multi-party approval workflows.</w:t>
      </w:r>
    </w:p>
    <w:p>
      <w:r>
        <w:rPr>
          <w:rFonts w:ascii="Figtree" w:hAnsi="Figtree"/>
          <w:b/>
          <w:i w:val="0"/>
          <w:sz w:val="22"/>
        </w:rPr>
        <w:t>On-chain Compliance.</w:t>
      </w:r>
      <w:r>
        <w:rPr>
          <w:rFonts w:ascii="Figtree" w:hAnsi="Figtree"/>
          <w:b w:val="0"/>
          <w:i w:val="0"/>
          <w:sz w:val="22"/>
        </w:rPr>
        <w:t xml:space="preserve"> 18 compliance module types enforce transfer rules before execution. Identity verification, address allow lists (nominated counterparties), transfer approvals (maker-checker), and timelocks (holding periods) compose into instrument-specific compliance configurations.</w:t>
      </w:r>
    </w:p>
    <w:p>
      <w:r>
        <w:rPr>
          <w:rFonts w:ascii="Figtree" w:hAnsi="Figtree"/>
          <w:b/>
          <w:i w:val="0"/>
          <w:sz w:val="22"/>
        </w:rPr>
        <w:t>Atomic Settlement.</w:t>
      </w:r>
      <w:r>
        <w:rPr>
          <w:rFonts w:ascii="Figtree" w:hAnsi="Figtree"/>
          <w:b w:val="0"/>
          <w:i w:val="0"/>
          <w:sz w:val="22"/>
        </w:rPr>
        <w:t xml:space="preserve"> XvP settlement provides atomic DvP — both legs in a single transaction, zero counterparty exposure, deterministic finality (median 2.3s under IBFT 2.0).</w:t>
      </w:r>
    </w:p>
    <w:p>
      <w:r>
        <w:br w:type="page"/>
      </w:r>
    </w:p>
    <w:p>
      <w:pPr>
        <w:pStyle w:val="H2"/>
        <w:numPr>
          <w:ilvl w:val="1"/>
          <w:numId w:val="1"/>
        </w:numPr>
      </w:pPr>
      <w:r>
        <w:t>Customer References</w:t>
      </w:r>
    </w:p>
    <w:p>
      <w:pPr>
        <w:pStyle w:val="H3"/>
        <w:numPr>
          <w:ilvl w:val="2"/>
          <w:numId w:val="1"/>
        </w:numPr>
      </w:pPr>
      <w:r>
        <w:t>Trade Finance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7"/>
        <w:gridCol w:w="4959"/>
        <w:gridCol w:w="19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r>
      <w:tr>
        <w:trPr>
          <w:trHeight w:val="425" w:hRule="atLeast"/>
        </w:trPr>
        <w:tc>
          <w:tcPr>
            <w:tcW w:type="dxa" w:w="3249"/>
            <w:vAlign w:val="center"/>
          </w:tcPr>
          <w:p>
            <w:pPr>
              <w:spacing w:line="276" w:lineRule="auto" w:before="0" w:after="0"/>
            </w:pPr>
            <w:r/>
            <w:r>
              <w:rPr>
                <w:rFonts w:ascii="Figtree" w:hAnsi="Figtree"/>
                <w:b w:val="0"/>
                <w:i w:val="0"/>
                <w:sz w:val="20"/>
              </w:rPr>
              <w:t>RBI Innovation Hub</w:t>
            </w:r>
          </w:p>
        </w:tc>
        <w:tc>
          <w:tcPr>
            <w:tcW w:type="dxa" w:w="3249"/>
            <w:vAlign w:val="center"/>
          </w:tcPr>
          <w:p>
            <w:pPr>
              <w:spacing w:line="276" w:lineRule="auto" w:before="0" w:after="0"/>
            </w:pPr>
            <w:r/>
            <w:r>
              <w:rPr>
                <w:rFonts w:ascii="Figtree" w:hAnsi="Figtree"/>
                <w:b w:val="0"/>
                <w:i w:val="0"/>
                <w:sz w:val="20"/>
              </w:rPr>
              <w:t>Multi-bank LC processing</w:t>
            </w:r>
          </w:p>
        </w:tc>
        <w:tc>
          <w:tcPr>
            <w:tcW w:type="dxa" w:w="3249"/>
            <w:vAlign w:val="center"/>
          </w:tcPr>
          <w:p>
            <w:pPr>
              <w:spacing w:line="276" w:lineRule="auto" w:before="0" w:after="0"/>
            </w:pPr>
            <w:r/>
            <w:r>
              <w:rPr>
                <w:rFonts w:ascii="Figtree" w:hAnsi="Figtree"/>
                <w:b w:val="0"/>
                <w:i w:val="0"/>
                <w:sz w:val="20"/>
              </w:rPr>
              <w:t>India</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w:t>
            </w:r>
          </w:p>
        </w:tc>
        <w:tc>
          <w:tcPr>
            <w:tcW w:type="dxa" w:w="3249"/>
            <w:vAlign w:val="center"/>
          </w:tcPr>
          <w:p>
            <w:pPr>
              <w:spacing w:line="276" w:lineRule="auto" w:before="0" w:after="0"/>
            </w:pPr>
            <w:r/>
            <w:r>
              <w:rPr>
                <w:rFonts w:ascii="Figtree" w:hAnsi="Figtree"/>
                <w:b w:val="0"/>
                <w:i w:val="0"/>
                <w:sz w:val="20"/>
              </w:rPr>
              <w:t>Institutional trading, Africa exposure</w:t>
            </w:r>
          </w:p>
        </w:tc>
        <w:tc>
          <w:tcPr>
            <w:tcW w:type="dxa" w:w="3249"/>
            <w:vAlign w:val="center"/>
          </w:tcPr>
          <w:p>
            <w:pPr>
              <w:spacing w:line="276" w:lineRule="auto" w:before="0" w:after="0"/>
            </w:pPr>
            <w:r/>
            <w:r>
              <w:rPr>
                <w:rFonts w:ascii="Figtree" w:hAnsi="Figtree"/>
                <w:b w:val="0"/>
                <w:i w:val="0"/>
                <w:sz w:val="20"/>
              </w:rPr>
              <w:t>Asia, Africa, ME</w:t>
            </w:r>
          </w:p>
        </w:tc>
      </w:tr>
      <w:tr>
        <w:trPr>
          <w:trHeight w:val="425" w:hRule="atLeast"/>
        </w:trPr>
        <w:tc>
          <w:tcPr>
            <w:tcW w:type="dxa" w:w="3249"/>
            <w:vAlign w:val="center"/>
          </w:tcPr>
          <w:p>
            <w:pPr>
              <w:spacing w:line="276" w:lineRule="auto" w:before="0" w:after="0"/>
            </w:pPr>
            <w:r/>
            <w:r>
              <w:rPr>
                <w:rFonts w:ascii="Figtree" w:hAnsi="Figtree"/>
                <w:b w:val="0"/>
                <w:i w:val="0"/>
                <w:sz w:val="20"/>
              </w:rPr>
              <w:t>Commerzbank</w:t>
            </w:r>
          </w:p>
        </w:tc>
        <w:tc>
          <w:tcPr>
            <w:tcW w:type="dxa" w:w="3249"/>
            <w:vAlign w:val="center"/>
          </w:tcPr>
          <w:p>
            <w:pPr>
              <w:spacing w:line="276" w:lineRule="auto" w:before="0" w:after="0"/>
            </w:pPr>
            <w:r/>
            <w:r>
              <w:rPr>
                <w:rFonts w:ascii="Figtree" w:hAnsi="Figtree"/>
                <w:b w:val="0"/>
                <w:i w:val="0"/>
                <w:sz w:val="20"/>
              </w:rPr>
              <w:t>Regulated settlement, EUR 7M/year savings</w:t>
            </w:r>
          </w:p>
        </w:tc>
        <w:tc>
          <w:tcPr>
            <w:tcW w:type="dxa" w:w="3249"/>
            <w:vAlign w:val="center"/>
          </w:tcPr>
          <w:p>
            <w:pPr>
              <w:spacing w:line="276" w:lineRule="auto" w:before="0" w:after="0"/>
            </w:pPr>
            <w:r/>
            <w:r>
              <w:rPr>
                <w:rFonts w:ascii="Figtree" w:hAnsi="Figtree"/>
                <w:b w:val="0"/>
                <w:i w:val="0"/>
                <w:sz w:val="20"/>
              </w:rPr>
              <w:t>Germany</w:t>
            </w:r>
          </w:p>
        </w:tc>
      </w:tr>
      <w:tr>
        <w:trPr>
          <w:trHeight w:val="425" w:hRule="atLeast"/>
        </w:trPr>
        <w:tc>
          <w:tcPr>
            <w:tcW w:type="dxa" w:w="3249"/>
            <w:vAlign w:val="center"/>
          </w:tcPr>
          <w:p>
            <w:pPr>
              <w:spacing w:line="276" w:lineRule="auto" w:before="0" w:after="0"/>
            </w:pPr>
            <w:r/>
            <w:r>
              <w:rPr>
                <w:rFonts w:ascii="Figtree" w:hAnsi="Figtree"/>
                <w:b w:val="0"/>
                <w:i w:val="0"/>
                <w:sz w:val="20"/>
              </w:rPr>
              <w:t>IsDB</w:t>
            </w:r>
          </w:p>
        </w:tc>
        <w:tc>
          <w:tcPr>
            <w:tcW w:type="dxa" w:w="3249"/>
            <w:vAlign w:val="center"/>
          </w:tcPr>
          <w:p>
            <w:pPr>
              <w:spacing w:line="276" w:lineRule="auto" w:before="0" w:after="0"/>
            </w:pPr>
            <w:r/>
            <w:r>
              <w:rPr>
                <w:rFonts w:ascii="Figtree" w:hAnsi="Figtree"/>
                <w:b w:val="0"/>
                <w:i w:val="0"/>
                <w:sz w:val="20"/>
              </w:rPr>
              <w:t>Multi-country distribution (57 nations)</w:t>
            </w:r>
          </w:p>
        </w:tc>
        <w:tc>
          <w:tcPr>
            <w:tcW w:type="dxa" w:w="3249"/>
            <w:vAlign w:val="center"/>
          </w:tcPr>
          <w:p>
            <w:pPr>
              <w:spacing w:line="276" w:lineRule="auto" w:before="0" w:after="0"/>
            </w:pPr>
            <w:r/>
            <w:r>
              <w:rPr>
                <w:rFonts w:ascii="Figtree" w:hAnsi="Figtree"/>
                <w:b w:val="0"/>
                <w:i w:val="0"/>
                <w:sz w:val="20"/>
              </w:rPr>
              <w:t>Global</w:t>
            </w:r>
          </w:p>
        </w:tc>
      </w:tr>
      <w:tr>
        <w:trPr>
          <w:trHeight w:val="425" w:hRule="atLeast"/>
        </w:trPr>
        <w:tc>
          <w:tcPr>
            <w:tcW w:type="dxa" w:w="3249"/>
            <w:vAlign w:val="center"/>
          </w:tcPr>
          <w:p>
            <w:pPr>
              <w:spacing w:line="276" w:lineRule="auto" w:before="0" w:after="0"/>
            </w:pPr>
            <w:r/>
            <w:r>
              <w:rPr>
                <w:rFonts w:ascii="Figtree" w:hAnsi="Figtree"/>
                <w:b w:val="0"/>
                <w:i w:val="0"/>
                <w:sz w:val="20"/>
              </w:rPr>
              <w:t>Maybank Photon</w:t>
            </w:r>
          </w:p>
        </w:tc>
        <w:tc>
          <w:tcPr>
            <w:tcW w:type="dxa" w:w="3249"/>
            <w:vAlign w:val="center"/>
          </w:tcPr>
          <w:p>
            <w:pPr>
              <w:spacing w:line="276" w:lineRule="auto" w:before="0" w:after="0"/>
            </w:pPr>
            <w:r/>
            <w:r>
              <w:rPr>
                <w:rFonts w:ascii="Figtree" w:hAnsi="Figtree"/>
                <w:b w:val="0"/>
                <w:i w:val="0"/>
                <w:sz w:val="20"/>
              </w:rPr>
              <w:t>Cross-border atomic settlement</w:t>
            </w:r>
          </w:p>
        </w:tc>
        <w:tc>
          <w:tcPr>
            <w:tcW w:type="dxa" w:w="3249"/>
            <w:vAlign w:val="center"/>
          </w:tcPr>
          <w:p>
            <w:pPr>
              <w:spacing w:line="276" w:lineRule="auto" w:before="0" w:after="0"/>
            </w:pPr>
            <w:r/>
            <w:r>
              <w:rPr>
                <w:rFonts w:ascii="Figtree" w:hAnsi="Figtree"/>
                <w:b w:val="0"/>
                <w:i w:val="0"/>
                <w:sz w:val="20"/>
              </w:rPr>
              <w:t>Malaysia</w:t>
            </w:r>
          </w:p>
        </w:tc>
      </w:tr>
    </w:tbl>
    <w:p>
      <w:pPr>
        <w:spacing w:before="0" w:after="0" w:line="120" w:lineRule="exact"/>
      </w:pPr>
    </w:p>
    <w:p>
      <w:pPr>
        <w:pStyle w:val="H3"/>
        <w:numPr>
          <w:ilvl w:val="2"/>
          <w:numId w:val="1"/>
        </w:numPr>
      </w:pPr>
      <w:r>
        <w:t>Expanded: RBI Innovation Hub — Trade Finance</w:t>
      </w:r>
    </w:p>
    <w:p>
      <w:r>
        <w:rPr>
          <w:rFonts w:ascii="Figtree" w:hAnsi="Figtree"/>
          <w:b/>
          <w:i w:val="0"/>
          <w:sz w:val="22"/>
        </w:rPr>
        <w:t>Context.</w:t>
      </w:r>
      <w:r>
        <w:rPr>
          <w:rFonts w:ascii="Figtree" w:hAnsi="Figtree"/>
          <w:b w:val="0"/>
          <w:i w:val="0"/>
          <w:sz w:val="22"/>
        </w:rPr>
        <w:t xml:space="preserve"> The RBI Innovation Hub required multi-bank, multi-node, multi-cloud blockchain for fraud-proof trade finance — specifically letters of credit processing across multiple banks.</w:t>
      </w:r>
    </w:p>
    <w:p>
      <w:r>
        <w:rPr>
          <w:rFonts w:ascii="Figtree" w:hAnsi="Figtree"/>
          <w:b/>
          <w:i w:val="0"/>
          <w:sz w:val="22"/>
        </w:rPr>
        <w:t>Solution.</w:t>
      </w:r>
      <w:r>
        <w:rPr>
          <w:rFonts w:ascii="Figtree" w:hAnsi="Figtree"/>
          <w:b w:val="0"/>
          <w:i w:val="0"/>
          <w:sz w:val="22"/>
        </w:rPr>
        <w:t xml:space="preserve"> DALP powers blockchain and trade finance workflow: document verification, milestone tracking, multi-party approvals, settlement across banks. Multi-cloud deployment for resilience.</w:t>
      </w:r>
    </w:p>
    <w:p>
      <w:r>
        <w:rPr>
          <w:rFonts w:ascii="Figtree" w:hAnsi="Figtree"/>
          <w:b/>
          <w:i w:val="0"/>
          <w:sz w:val="22"/>
        </w:rPr>
        <w:t>Outcomes.</w:t>
      </w:r>
      <w:r>
        <w:rPr>
          <w:rFonts w:ascii="Figtree" w:hAnsi="Figtree"/>
          <w:b w:val="0"/>
          <w:i w:val="0"/>
          <w:sz w:val="22"/>
        </w:rPr>
        <w:t xml:space="preserve"> Fraud-proof LC workflows operational. Multi-bank participation. Multi-cloud resilience demonstrated.</w:t>
      </w:r>
    </w:p>
    <w:p>
      <w:r>
        <w:rPr>
          <w:rFonts w:ascii="Figtree" w:hAnsi="Figtree"/>
          <w:b/>
          <w:i w:val="0"/>
          <w:sz w:val="22"/>
        </w:rPr>
        <w:t>Transferability.</w:t>
      </w:r>
      <w:r>
        <w:rPr>
          <w:rFonts w:ascii="Figtree" w:hAnsi="Figtree"/>
          <w:b w:val="0"/>
          <w:i w:val="0"/>
          <w:sz w:val="22"/>
        </w:rPr>
        <w:t xml:space="preserve"> Directly maps to Absa's requirements: multi-party trade workflows, document-linked operations, counterparty verification, milestone-based settlement.</w:t>
      </w:r>
    </w:p>
    <w:p>
      <w:r>
        <w:br w:type="page"/>
      </w:r>
    </w:p>
    <w:p>
      <w:pPr>
        <w:pStyle w:val="H2"/>
        <w:numPr>
          <w:ilvl w:val="1"/>
          <w:numId w:val="1"/>
        </w:numPr>
      </w:pPr>
      <w:r>
        <w:t>Proposed Solution</w:t>
      </w:r>
    </w:p>
    <w:p>
      <w:pPr>
        <w:pStyle w:val="H3"/>
        <w:numPr>
          <w:ilvl w:val="2"/>
          <w:numId w:val="1"/>
        </w:numPr>
      </w:pPr>
      <w:r>
        <w:t>Solution Overview</w:t>
      </w:r>
    </w:p>
    <w:p>
      <w:r>
        <w:rPr>
          <w:rFonts w:ascii="Figtree" w:hAnsi="Figtree"/>
          <w:b w:val="0"/>
          <w:i w:val="0"/>
          <w:sz w:val="22"/>
        </w:rPr>
        <w:t>DALP deploys as Absa's trade finance digitization platform covering:</w:t>
      </w:r>
    </w:p>
    <w:p>
      <w:pPr>
        <w:pStyle w:val="ListParagraph"/>
        <w:numPr>
          <w:ilvl w:val="0"/>
          <w:numId w:val="6"/>
        </w:numPr>
      </w:pPr>
      <w:r>
        <w:rPr>
          <w:rFonts w:ascii="Figtree" w:hAnsi="Figtree"/>
          <w:b/>
          <w:i w:val="0"/>
          <w:sz w:val="22"/>
        </w:rPr>
        <w:t>Receivable Tokenization:</w:t>
      </w:r>
      <w:r>
        <w:rPr>
          <w:rFonts w:ascii="Figtree" w:hAnsi="Figtree"/>
          <w:b w:val="0"/>
          <w:i w:val="0"/>
          <w:sz w:val="22"/>
        </w:rPr>
        <w:t xml:space="preserve"> Trade receivables represented as on-chain tokens with document metadata, counterparty identity, and compliance rules</w:t>
      </w:r>
    </w:p>
    <w:p>
      <w:pPr>
        <w:pStyle w:val="ListParagraph"/>
        <w:numPr>
          <w:ilvl w:val="0"/>
          <w:numId w:val="6"/>
        </w:numPr>
      </w:pPr>
      <w:r>
        <w:rPr>
          <w:rFonts w:ascii="Figtree" w:hAnsi="Figtree"/>
          <w:b/>
          <w:i w:val="0"/>
          <w:sz w:val="22"/>
        </w:rPr>
        <w:t>Workflow Orchestration:</w:t>
      </w:r>
      <w:r>
        <w:rPr>
          <w:rFonts w:ascii="Figtree" w:hAnsi="Figtree"/>
          <w:b w:val="0"/>
          <w:i w:val="0"/>
          <w:sz w:val="22"/>
        </w:rPr>
        <w:t xml:space="preserve"> Multi-step trade finance workflows with durable execution, milestone tracking, and audit evidence</w:t>
      </w:r>
    </w:p>
    <w:p>
      <w:pPr>
        <w:pStyle w:val="ListParagraph"/>
        <w:numPr>
          <w:ilvl w:val="0"/>
          <w:numId w:val="6"/>
        </w:numPr>
      </w:pPr>
      <w:r>
        <w:rPr>
          <w:rFonts w:ascii="Figtree" w:hAnsi="Figtree"/>
          <w:b/>
          <w:i w:val="0"/>
          <w:sz w:val="22"/>
        </w:rPr>
        <w:t>Settlement:</w:t>
      </w:r>
      <w:r>
        <w:rPr>
          <w:rFonts w:ascii="Figtree" w:hAnsi="Figtree"/>
          <w:b w:val="0"/>
          <w:i w:val="0"/>
          <w:sz w:val="22"/>
        </w:rPr>
        <w:t xml:space="preserve"> Atomic DvP for receivable transfers (sale, discount, pledge) and maturity settlement</w:t>
      </w:r>
    </w:p>
    <w:p>
      <w:pPr>
        <w:pStyle w:val="H3"/>
        <w:numPr>
          <w:ilvl w:val="2"/>
          <w:numId w:val="1"/>
        </w:numPr>
      </w:pPr>
      <w:r>
        <w:t>Receivable Token Configuration</w:t>
      </w:r>
    </w:p>
    <w:p>
      <w:r>
        <w:rPr>
          <w:rFonts w:ascii="Figtree" w:hAnsi="Figtree"/>
          <w:b/>
          <w:i w:val="0"/>
          <w:sz w:val="22"/>
        </w:rPr>
        <w:t>Features:</w:t>
      </w:r>
    </w:p>
    <w:p>
      <w:pPr>
        <w:pStyle w:val="ListParagraph"/>
        <w:numPr>
          <w:ilvl w:val="0"/>
          <w:numId w:val="7"/>
        </w:numPr>
      </w:pPr>
      <w:r>
        <w:rPr>
          <w:rFonts w:ascii="Figtree" w:hAnsi="Figtree"/>
          <w:b w:val="0"/>
          <w:i w:val="0"/>
          <w:sz w:val="22"/>
        </w:rPr>
        <w:t>Historical balances — trade history and audit</w:t>
      </w:r>
    </w:p>
    <w:p>
      <w:pPr>
        <w:pStyle w:val="ListParagraph"/>
        <w:numPr>
          <w:ilvl w:val="0"/>
          <w:numId w:val="7"/>
        </w:numPr>
      </w:pPr>
      <w:r>
        <w:rPr>
          <w:rFonts w:ascii="Figtree" w:hAnsi="Figtree"/>
          <w:b w:val="0"/>
          <w:i w:val="0"/>
          <w:sz w:val="22"/>
        </w:rPr>
        <w:t>Timelock — holding period enforcement</w:t>
      </w:r>
    </w:p>
    <w:p>
      <w:r>
        <w:rPr>
          <w:rFonts w:ascii="Figtree" w:hAnsi="Figtree"/>
          <w:b/>
          <w:i w:val="0"/>
          <w:sz w:val="22"/>
        </w:rPr>
        <w:t>Compliance modules:</w:t>
      </w:r>
    </w:p>
    <w:p>
      <w:pPr>
        <w:pStyle w:val="ListParagraph"/>
        <w:numPr>
          <w:ilvl w:val="0"/>
          <w:numId w:val="8"/>
        </w:numPr>
      </w:pPr>
      <w:r>
        <w:rPr>
          <w:rFonts w:ascii="Figtree" w:hAnsi="Figtree"/>
          <w:b w:val="0"/>
          <w:i w:val="0"/>
          <w:sz w:val="22"/>
        </w:rPr>
        <w:t>Identity verification — counterparty identity required</w:t>
      </w:r>
    </w:p>
    <w:p>
      <w:pPr>
        <w:pStyle w:val="ListParagraph"/>
        <w:numPr>
          <w:ilvl w:val="0"/>
          <w:numId w:val="8"/>
        </w:numPr>
      </w:pPr>
      <w:r>
        <w:rPr>
          <w:rFonts w:ascii="Figtree" w:hAnsi="Figtree"/>
          <w:b w:val="0"/>
          <w:i w:val="0"/>
          <w:sz w:val="22"/>
        </w:rPr>
        <w:t>Address allow list — nominated counterparties only</w:t>
      </w:r>
    </w:p>
    <w:p>
      <w:pPr>
        <w:pStyle w:val="ListParagraph"/>
        <w:numPr>
          <w:ilvl w:val="0"/>
          <w:numId w:val="8"/>
        </w:numPr>
      </w:pPr>
      <w:r>
        <w:rPr>
          <w:rFonts w:ascii="Figtree" w:hAnsi="Figtree"/>
          <w:b w:val="0"/>
          <w:i w:val="0"/>
          <w:sz w:val="22"/>
        </w:rPr>
        <w:t>Transfer approval — multi-party with configurable expiry</w:t>
      </w:r>
    </w:p>
    <w:p>
      <w:pPr>
        <w:pStyle w:val="ListParagraph"/>
        <w:numPr>
          <w:ilvl w:val="0"/>
          <w:numId w:val="8"/>
        </w:numPr>
      </w:pPr>
      <w:r>
        <w:rPr>
          <w:rFonts w:ascii="Figtree" w:hAnsi="Figtree"/>
          <w:b w:val="0"/>
          <w:i w:val="0"/>
          <w:sz w:val="22"/>
        </w:rPr>
        <w:t>Timelock — minimum holding period (FIFO tracking)</w:t>
      </w:r>
    </w:p>
    <w:p>
      <w:pPr>
        <w:pStyle w:val="H3"/>
        <w:numPr>
          <w:ilvl w:val="2"/>
          <w:numId w:val="1"/>
        </w:numPr>
      </w:pPr>
      <w:r>
        <w:t>Trade Finance Workflow</w:t>
      </w:r>
    </w:p>
    <w:p>
      <w:r>
        <w:rPr>
          <w:rFonts w:ascii="Figtree" w:hAnsi="Figtree"/>
          <w:i/>
          <w:sz w:val="22"/>
        </w:rPr>
        <w:t>[Diagram 3 — render failed, see markdown source]</w:t>
      </w:r>
    </w:p>
    <w:p>
      <w:pPr>
        <w:pStyle w:val="H3"/>
        <w:numPr>
          <w:ilvl w:val="2"/>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6"/>
        <w:gridCol w:w="3150"/>
        <w:gridCol w:w="1512"/>
        <w:gridCol w:w="36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Summary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Independent instances</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interfaces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DAPI, SDK, CLI, webhooks</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 roles, wallet verification</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DALPAsset runtime config</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Dependency disclosure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Register provided</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monitoring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Multi-AZ, Grafana</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Phased implementation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19-week methodology</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On-chain + off-chain</w:t>
            </w:r>
          </w:p>
        </w:tc>
      </w:tr>
      <w:tr>
        <w:trPr>
          <w:trHeight w:val="425" w:hRule="atLeast"/>
        </w:trPr>
        <w:tc>
          <w:tcPr>
            <w:tcW w:type="dxa" w:w="2436"/>
            <w:vAlign w:val="center"/>
          </w:tcPr>
          <w:p>
            <w:pPr>
              <w:spacing w:line="276" w:lineRule="auto" w:before="0" w:after="0"/>
            </w:pPr>
            <w:r/>
            <w:r>
              <w:rPr>
                <w:rFonts w:ascii="Figtree" w:hAnsi="Figtree"/>
                <w:b w:val="0"/>
                <w:i w:val="0"/>
                <w:sz w:val="20"/>
              </w:rPr>
              <w:t>REQ-09</w:t>
            </w:r>
          </w:p>
        </w:tc>
        <w:tc>
          <w:tcPr>
            <w:tcW w:type="dxa" w:w="2436"/>
            <w:vAlign w:val="center"/>
          </w:tcPr>
          <w:p>
            <w:pPr>
              <w:spacing w:line="276" w:lineRule="auto" w:before="0" w:after="0"/>
            </w:pPr>
            <w:r/>
            <w:r>
              <w:rPr>
                <w:rFonts w:ascii="Figtree" w:hAnsi="Figtree"/>
                <w:b w:val="0"/>
                <w:i w:val="0"/>
                <w:sz w:val="20"/>
              </w:rPr>
              <w:t>Document-linked workflows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Durable engine + metadata</w:t>
            </w:r>
          </w:p>
        </w:tc>
      </w:tr>
      <w:tr>
        <w:trPr>
          <w:trHeight w:val="425" w:hRule="atLeast"/>
        </w:trPr>
        <w:tc>
          <w:tcPr>
            <w:tcW w:type="dxa" w:w="2436"/>
            <w:vAlign w:val="center"/>
          </w:tcPr>
          <w:p>
            <w:pPr>
              <w:spacing w:line="276" w:lineRule="auto" w:before="0" w:after="0"/>
            </w:pPr>
            <w:r/>
            <w:r>
              <w:rPr>
                <w:rFonts w:ascii="Figtree" w:hAnsi="Figtree"/>
                <w:b w:val="0"/>
                <w:i w:val="0"/>
                <w:sz w:val="20"/>
              </w:rPr>
              <w:t>REQ-10</w:t>
            </w:r>
          </w:p>
        </w:tc>
        <w:tc>
          <w:tcPr>
            <w:tcW w:type="dxa" w:w="2436"/>
            <w:vAlign w:val="center"/>
          </w:tcPr>
          <w:p>
            <w:pPr>
              <w:spacing w:line="276" w:lineRule="auto" w:before="0" w:after="0"/>
            </w:pPr>
            <w:r/>
            <w:r>
              <w:rPr>
                <w:rFonts w:ascii="Figtree" w:hAnsi="Figtree"/>
                <w:b w:val="0"/>
                <w:i w:val="0"/>
                <w:sz w:val="20"/>
              </w:rPr>
              <w:t>Core books reconciliation</w:t>
            </w:r>
          </w:p>
        </w:tc>
        <w:tc>
          <w:tcPr>
            <w:tcW w:type="dxa" w:w="2436"/>
            <w:vAlign w:val="center"/>
          </w:tcPr>
          <w:p>
            <w:pPr>
              <w:spacing w:line="276" w:lineRule="auto" w:before="0" w:after="0"/>
            </w:pPr>
            <w:r/>
            <w:r>
              <w:rPr>
                <w:rFonts w:ascii="Figtree" w:hAnsi="Figtree"/>
                <w:b w:val="0"/>
                <w:i w:val="0"/>
                <w:sz w:val="20"/>
              </w:rPr>
              <w:t>Configurable</w:t>
            </w:r>
          </w:p>
        </w:tc>
        <w:tc>
          <w:tcPr>
            <w:tcW w:type="dxa" w:w="2436"/>
            <w:vAlign w:val="center"/>
          </w:tcPr>
          <w:p>
            <w:pPr>
              <w:spacing w:line="276" w:lineRule="auto" w:before="0" w:after="0"/>
            </w:pPr>
            <w:r/>
            <w:r>
              <w:rPr>
                <w:rFonts w:ascii="Figtree" w:hAnsi="Figtree"/>
                <w:b w:val="0"/>
                <w:i w:val="0"/>
                <w:sz w:val="20"/>
              </w:rPr>
              <w:t>API integration Phase 4</w:t>
            </w:r>
          </w:p>
        </w:tc>
      </w:tr>
      <w:tr>
        <w:trPr>
          <w:trHeight w:val="425" w:hRule="atLeast"/>
        </w:trPr>
        <w:tc>
          <w:tcPr>
            <w:tcW w:type="dxa" w:w="2436"/>
            <w:vAlign w:val="center"/>
          </w:tcPr>
          <w:p>
            <w:pPr>
              <w:spacing w:line="276" w:lineRule="auto" w:before="0" w:after="0"/>
            </w:pPr>
            <w:r/>
            <w:r>
              <w:rPr>
                <w:rFonts w:ascii="Figtree" w:hAnsi="Figtree"/>
                <w:b w:val="0"/>
                <w:i w:val="0"/>
                <w:sz w:val="20"/>
              </w:rPr>
              <w:t>REQ-11</w:t>
            </w:r>
          </w:p>
        </w:tc>
        <w:tc>
          <w:tcPr>
            <w:tcW w:type="dxa" w:w="2436"/>
            <w:vAlign w:val="center"/>
          </w:tcPr>
          <w:p>
            <w:pPr>
              <w:spacing w:line="276" w:lineRule="auto" w:before="0" w:after="0"/>
            </w:pPr>
            <w:r/>
            <w:r>
              <w:rPr>
                <w:rFonts w:ascii="Figtree" w:hAnsi="Figtree"/>
                <w:b w:val="0"/>
                <w:i w:val="0"/>
                <w:sz w:val="20"/>
              </w:rPr>
              <w:t>Multi-entity limits</w:t>
            </w:r>
          </w:p>
        </w:tc>
        <w:tc>
          <w:tcPr>
            <w:tcW w:type="dxa" w:w="2436"/>
            <w:vAlign w:val="center"/>
          </w:tcPr>
          <w:p>
            <w:pPr>
              <w:spacing w:line="276" w:lineRule="auto" w:before="0" w:after="0"/>
            </w:pPr>
            <w:r/>
            <w:r>
              <w:rPr>
                <w:rFonts w:ascii="Figtree" w:hAnsi="Figtree"/>
                <w:b w:val="0"/>
                <w:i w:val="0"/>
                <w:sz w:val="20"/>
              </w:rPr>
              <w:t>Configurable</w:t>
            </w:r>
          </w:p>
        </w:tc>
        <w:tc>
          <w:tcPr>
            <w:tcW w:type="dxa" w:w="2436"/>
            <w:vAlign w:val="center"/>
          </w:tcPr>
          <w:p>
            <w:pPr>
              <w:spacing w:line="276" w:lineRule="auto" w:before="0" w:after="0"/>
            </w:pPr>
            <w:r/>
            <w:r>
              <w:rPr>
                <w:rFonts w:ascii="Figtree" w:hAnsi="Figtree"/>
                <w:b w:val="0"/>
                <w:i w:val="0"/>
                <w:sz w:val="20"/>
              </w:rPr>
              <w:t>Compliance modules + API</w:t>
            </w:r>
          </w:p>
        </w:tc>
      </w:tr>
    </w:tbl>
    <w:p>
      <w:pPr>
        <w:spacing w:before="0" w:after="0" w:line="120" w:lineRule="exact"/>
      </w:pPr>
    </w:p>
    <w:p>
      <w:r>
        <w:br w:type="page"/>
      </w:r>
    </w:p>
    <w:p>
      <w:pPr>
        <w:pStyle w:val="H2"/>
        <w:numPr>
          <w:ilvl w:val="1"/>
          <w:numId w:val="1"/>
        </w:numPr>
      </w:pPr>
      <w:r>
        <w:t>Technical Architecture</w:t>
      </w:r>
    </w:p>
    <w:p>
      <w:pPr>
        <w:pStyle w:val="H3"/>
        <w:numPr>
          <w:ilvl w:val="2"/>
          <w:numId w:val="1"/>
        </w:numPr>
      </w:pPr>
      <w:r>
        <w:t>Four-Layer Stack</w:t>
      </w:r>
    </w:p>
    <w:p>
      <w:pPr>
        <w:jc w:val="center"/>
      </w:pPr>
      <w:r>
        <w:drawing>
          <wp:inline xmlns:a="http://schemas.openxmlformats.org/drawingml/2006/main" xmlns:pic="http://schemas.openxmlformats.org/drawingml/2006/picture">
            <wp:extent cx="5486400" cy="2701212"/>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2701212"/>
                    </a:xfrm>
                    <a:prstGeom prst="rect"/>
                  </pic:spPr>
                </pic:pic>
              </a:graphicData>
            </a:graphic>
          </wp:inline>
        </w:drawing>
      </w:r>
    </w:p>
    <w:p>
      <w:pPr>
        <w:pStyle w:val="H3"/>
        <w:numPr>
          <w:ilvl w:val="2"/>
          <w:numId w:val="1"/>
        </w:numPr>
      </w:pPr>
      <w:r>
        <w:t>Security: 5-Layer Defense-in-Depth</w:t>
      </w:r>
    </w:p>
    <w:p>
      <w:pPr>
        <w:pStyle w:val="ListParagraph"/>
        <w:numPr>
          <w:ilvl w:val="0"/>
          <w:numId w:val="9"/>
        </w:numPr>
      </w:pPr>
      <w:r>
        <w:rPr>
          <w:rFonts w:ascii="Figtree" w:hAnsi="Figtree"/>
          <w:b w:val="0"/>
          <w:i w:val="0"/>
          <w:sz w:val="22"/>
        </w:rPr>
        <w:t>Authentication (passkeys, LDAP, OAuth)</w:t>
      </w:r>
    </w:p>
    <w:p>
      <w:pPr>
        <w:pStyle w:val="ListParagraph"/>
        <w:numPr>
          <w:ilvl w:val="0"/>
          <w:numId w:val="9"/>
        </w:numPr>
      </w:pPr>
      <w:r>
        <w:rPr>
          <w:rFonts w:ascii="Figtree" w:hAnsi="Figtree"/>
          <w:b w:val="0"/>
          <w:i w:val="0"/>
          <w:sz w:val="22"/>
        </w:rPr>
        <w:t>Authorization (26 roles, RBAC)</w:t>
      </w:r>
    </w:p>
    <w:p>
      <w:pPr>
        <w:pStyle w:val="ListParagraph"/>
        <w:numPr>
          <w:ilvl w:val="0"/>
          <w:numId w:val="9"/>
        </w:numPr>
      </w:pPr>
      <w:r>
        <w:rPr>
          <w:rFonts w:ascii="Figtree" w:hAnsi="Figtree"/>
          <w:b w:val="0"/>
          <w:i w:val="0"/>
          <w:sz w:val="22"/>
        </w:rPr>
        <w:t>Wallet verification (step-up auth)</w:t>
      </w:r>
    </w:p>
    <w:p>
      <w:pPr>
        <w:pStyle w:val="ListParagraph"/>
        <w:numPr>
          <w:ilvl w:val="0"/>
          <w:numId w:val="9"/>
        </w:numPr>
      </w:pPr>
      <w:r>
        <w:rPr>
          <w:rFonts w:ascii="Figtree" w:hAnsi="Figtree"/>
          <w:b w:val="0"/>
          <w:i w:val="0"/>
          <w:sz w:val="22"/>
        </w:rPr>
        <w:t>Compliance (18 modules, fail-closed)</w:t>
      </w:r>
    </w:p>
    <w:p>
      <w:pPr>
        <w:pStyle w:val="ListParagraph"/>
        <w:numPr>
          <w:ilvl w:val="0"/>
          <w:numId w:val="9"/>
        </w:numPr>
      </w:pPr>
      <w:r>
        <w:rPr>
          <w:rFonts w:ascii="Figtree" w:hAnsi="Figtree"/>
          <w:b w:val="0"/>
          <w:i w:val="0"/>
          <w:sz w:val="22"/>
        </w:rPr>
        <w:t>Custody policy (DFNS/Fireblocks)</w:t>
      </w:r>
    </w:p>
    <w:p>
      <w:r>
        <w:rPr>
          <w:rFonts w:ascii="Figtree" w:hAnsi="Figtree"/>
          <w:b w:val="0"/>
          <w:i w:val="0"/>
          <w:sz w:val="22"/>
        </w:rPr>
        <w:t>ISO 27001, SOC 2 Type II certified.</w:t>
      </w:r>
    </w:p>
    <w:p>
      <w:r>
        <w:br w:type="page"/>
      </w:r>
    </w:p>
    <w:p>
      <w:pPr>
        <w:pStyle w:val="H2"/>
        <w:numPr>
          <w:ilvl w:val="1"/>
          <w:numId w:val="1"/>
        </w:numPr>
      </w:pPr>
      <w:r>
        <w:t>Implementation (19 Weeks)</w:t>
      </w:r>
    </w:p>
    <w:p>
      <w:pPr>
        <w:jc w:val="center"/>
      </w:pPr>
      <w:r>
        <w:drawing>
          <wp:inline xmlns:a="http://schemas.openxmlformats.org/drawingml/2006/main" xmlns:pic="http://schemas.openxmlformats.org/drawingml/2006/picture">
            <wp:extent cx="5486400" cy="1539551"/>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1539551"/>
                    </a:xfrm>
                    <a:prstGeom prst="rect"/>
                  </pic:spPr>
                </pic:pic>
              </a:graphicData>
            </a:graphic>
          </wp:inline>
        </w:drawing>
      </w:r>
    </w:p>
    <w:p>
      <w:r>
        <w:rPr>
          <w:rFonts w:ascii="Figtree" w:hAnsi="Figtree"/>
          <w:b/>
          <w:i w:val="0"/>
          <w:sz w:val="22"/>
        </w:rPr>
        <w:t>Estimated Absa effort: 75 person-days</w:t>
      </w:r>
    </w:p>
    <w:p>
      <w:r>
        <w:br w:type="page"/>
      </w:r>
    </w:p>
    <w:p>
      <w:pPr>
        <w:pStyle w:val="H2"/>
        <w:numPr>
          <w:ilvl w:val="1"/>
          <w:numId w:val="1"/>
        </w:numPr>
      </w:pPr>
      <w:r>
        <w:t>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6"/>
        <w:gridCol w:w="614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Model</w:t>
            </w:r>
          </w:p>
        </w:tc>
        <w:tc>
          <w:tcPr>
            <w:tcW w:type="dxa" w:w="4873"/>
            <w:vAlign w:val="center"/>
          </w:tcPr>
          <w:p>
            <w:pPr>
              <w:spacing w:line="276" w:lineRule="auto" w:before="0" w:after="0"/>
            </w:pPr>
            <w:r/>
            <w:r>
              <w:rPr>
                <w:rFonts w:ascii="Figtree" w:hAnsi="Figtree"/>
                <w:b w:val="0"/>
                <w:i w:val="0"/>
                <w:sz w:val="20"/>
              </w:rPr>
              <w:t>Dedicated cloud</w:t>
            </w:r>
          </w:p>
        </w:tc>
      </w:tr>
      <w:tr>
        <w:trPr>
          <w:trHeight w:val="425" w:hRule="atLeast"/>
        </w:trPr>
        <w:tc>
          <w:tcPr>
            <w:tcW w:type="dxa" w:w="4873"/>
            <w:vAlign w:val="center"/>
          </w:tcPr>
          <w:p>
            <w:pPr>
              <w:spacing w:line="276" w:lineRule="auto" w:before="0" w:after="0"/>
            </w:pPr>
            <w:r/>
            <w:r>
              <w:rPr>
                <w:rFonts w:ascii="Figtree" w:hAnsi="Figtree"/>
                <w:b w:val="0"/>
                <w:i w:val="0"/>
                <w:sz w:val="20"/>
              </w:rPr>
              <w:t>Region</w:t>
            </w:r>
          </w:p>
        </w:tc>
        <w:tc>
          <w:tcPr>
            <w:tcW w:type="dxa" w:w="4873"/>
            <w:vAlign w:val="center"/>
          </w:tcPr>
          <w:p>
            <w:pPr>
              <w:spacing w:line="276" w:lineRule="auto" w:before="0" w:after="0"/>
            </w:pPr>
            <w:r/>
            <w:r>
              <w:rPr>
                <w:rFonts w:ascii="Figtree" w:hAnsi="Figtree"/>
                <w:b w:val="0"/>
                <w:i w:val="0"/>
                <w:sz w:val="20"/>
              </w:rPr>
              <w:t>AWS Cape Town or Azure South Africa</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South Africa compliant</w:t>
            </w:r>
          </w:p>
        </w:tc>
      </w:tr>
      <w:tr>
        <w:trPr>
          <w:trHeight w:val="425" w:hRule="atLeast"/>
        </w:trPr>
        <w:tc>
          <w:tcPr>
            <w:tcW w:type="dxa" w:w="4873"/>
            <w:vAlign w:val="center"/>
          </w:tcPr>
          <w:p>
            <w:pPr>
              <w:spacing w:line="276" w:lineRule="auto" w:before="0" w:after="0"/>
            </w:pPr>
            <w:r/>
            <w:r>
              <w:rPr>
                <w:rFonts w:ascii="Figtree" w:hAnsi="Figtree"/>
                <w:b w:val="0"/>
                <w:i w:val="0"/>
                <w:sz w:val="20"/>
              </w:rPr>
              <w:t>Blockchain</w:t>
            </w:r>
          </w:p>
        </w:tc>
        <w:tc>
          <w:tcPr>
            <w:tcW w:type="dxa" w:w="4873"/>
            <w:vAlign w:val="center"/>
          </w:tcPr>
          <w:p>
            <w:pPr>
              <w:spacing w:line="276" w:lineRule="auto" w:before="0" w:after="0"/>
            </w:pPr>
            <w:r/>
            <w:r>
              <w:rPr>
                <w:rFonts w:ascii="Figtree" w:hAnsi="Figtree"/>
                <w:b w:val="0"/>
                <w:i w:val="0"/>
                <w:sz w:val="20"/>
              </w:rPr>
              <w:t>4-node Besu (IBFT 2.0)</w:t>
            </w:r>
          </w:p>
        </w:tc>
      </w:tr>
    </w:tbl>
    <w:p>
      <w:pPr>
        <w:spacing w:before="0" w:after="0" w:line="120" w:lineRule="exact"/>
      </w:pPr>
    </w:p>
    <w:p>
      <w:r>
        <w:br w:type="page"/>
      </w:r>
    </w:p>
    <w:p>
      <w:pPr>
        <w:pStyle w:val="H2"/>
        <w:numPr>
          <w:ilvl w:val="1"/>
          <w:numId w:val="1"/>
        </w:numPr>
      </w:pPr>
      <w:r>
        <w:t>Support: Premium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67"/>
        <w:gridCol w:w="38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16×5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99.95%</w:t>
            </w:r>
          </w:p>
        </w:tc>
      </w:tr>
      <w:tr>
        <w:trPr>
          <w:trHeight w:val="425" w:hRule="atLeast"/>
        </w:trPr>
        <w:tc>
          <w:tcPr>
            <w:tcW w:type="dxa" w:w="4873"/>
            <w:vAlign w:val="center"/>
          </w:tcPr>
          <w:p>
            <w:pPr>
              <w:spacing w:line="276" w:lineRule="auto" w:before="0" w:after="0"/>
            </w:pPr>
            <w:r/>
            <w:r>
              <w:rPr>
                <w:rFonts w:ascii="Figtree" w:hAnsi="Figtree"/>
                <w:b w:val="0"/>
                <w:i w:val="0"/>
                <w:sz w:val="20"/>
              </w:rPr>
              <w:t>Dedicated engineer</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br w:type="page"/>
      </w:r>
    </w:p>
    <w:p>
      <w:pPr>
        <w:pStyle w:val="H2"/>
        <w:numPr>
          <w:ilvl w:val="1"/>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4"/>
        <w:gridCol w:w="4721"/>
        <w:gridCol w:w="36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R1</w:t>
            </w:r>
          </w:p>
        </w:tc>
        <w:tc>
          <w:tcPr>
            <w:tcW w:type="dxa" w:w="3249"/>
            <w:vAlign w:val="center"/>
          </w:tcPr>
          <w:p>
            <w:pPr>
              <w:spacing w:line="276" w:lineRule="auto" w:before="0" w:after="0"/>
            </w:pPr>
            <w:r/>
            <w:r>
              <w:rPr>
                <w:rFonts w:ascii="Figtree" w:hAnsi="Figtree"/>
                <w:b w:val="0"/>
                <w:i w:val="0"/>
                <w:sz w:val="20"/>
              </w:rPr>
              <w:t>SARB/FSCA regulatory changes</w:t>
            </w:r>
          </w:p>
        </w:tc>
        <w:tc>
          <w:tcPr>
            <w:tcW w:type="dxa" w:w="3249"/>
            <w:vAlign w:val="center"/>
          </w:tcPr>
          <w:p>
            <w:pPr>
              <w:spacing w:line="276" w:lineRule="auto" w:before="0" w:after="0"/>
            </w:pPr>
            <w:r/>
            <w:r>
              <w:rPr>
                <w:rFonts w:ascii="Figtree" w:hAnsi="Figtree"/>
                <w:b w:val="0"/>
                <w:i w:val="0"/>
                <w:sz w:val="20"/>
              </w:rPr>
              <w:t>Configurable compliance</w:t>
            </w:r>
          </w:p>
        </w:tc>
      </w:tr>
      <w:tr>
        <w:trPr>
          <w:trHeight w:val="425" w:hRule="atLeast"/>
        </w:trPr>
        <w:tc>
          <w:tcPr>
            <w:tcW w:type="dxa" w:w="3249"/>
            <w:vAlign w:val="center"/>
          </w:tcPr>
          <w:p>
            <w:pPr>
              <w:spacing w:line="276" w:lineRule="auto" w:before="0" w:after="0"/>
            </w:pPr>
            <w:r/>
            <w:r>
              <w:rPr>
                <w:rFonts w:ascii="Figtree" w:hAnsi="Figtree"/>
                <w:b w:val="0"/>
                <w:i w:val="0"/>
                <w:sz w:val="20"/>
              </w:rPr>
              <w:t>R2</w:t>
            </w:r>
          </w:p>
        </w:tc>
        <w:tc>
          <w:tcPr>
            <w:tcW w:type="dxa" w:w="3249"/>
            <w:vAlign w:val="center"/>
          </w:tcPr>
          <w:p>
            <w:pPr>
              <w:spacing w:line="276" w:lineRule="auto" w:before="0" w:after="0"/>
            </w:pPr>
            <w:r/>
            <w:r>
              <w:rPr>
                <w:rFonts w:ascii="Figtree" w:hAnsi="Figtree"/>
                <w:b w:val="0"/>
                <w:i w:val="0"/>
                <w:sz w:val="20"/>
              </w:rPr>
              <w:t>Trade finance system complexity</w:t>
            </w:r>
          </w:p>
        </w:tc>
        <w:tc>
          <w:tcPr>
            <w:tcW w:type="dxa" w:w="3249"/>
            <w:vAlign w:val="center"/>
          </w:tcPr>
          <w:p>
            <w:pPr>
              <w:spacing w:line="276" w:lineRule="auto" w:before="0" w:after="0"/>
            </w:pPr>
            <w:r/>
            <w:r>
              <w:rPr>
                <w:rFonts w:ascii="Figtree" w:hAnsi="Figtree"/>
                <w:b w:val="0"/>
                <w:i w:val="0"/>
                <w:sz w:val="20"/>
              </w:rPr>
              <w:t>Phase 1 deep discovery</w:t>
            </w:r>
          </w:p>
        </w:tc>
      </w:tr>
      <w:tr>
        <w:trPr>
          <w:trHeight w:val="425" w:hRule="atLeast"/>
        </w:trPr>
        <w:tc>
          <w:tcPr>
            <w:tcW w:type="dxa" w:w="3249"/>
            <w:vAlign w:val="center"/>
          </w:tcPr>
          <w:p>
            <w:pPr>
              <w:spacing w:line="276" w:lineRule="auto" w:before="0" w:after="0"/>
            </w:pPr>
            <w:r/>
            <w:r>
              <w:rPr>
                <w:rFonts w:ascii="Figtree" w:hAnsi="Figtree"/>
                <w:b w:val="0"/>
                <w:i w:val="0"/>
                <w:sz w:val="20"/>
              </w:rPr>
              <w:t>R3</w:t>
            </w:r>
          </w:p>
        </w:tc>
        <w:tc>
          <w:tcPr>
            <w:tcW w:type="dxa" w:w="3249"/>
            <w:vAlign w:val="center"/>
          </w:tcPr>
          <w:p>
            <w:pPr>
              <w:spacing w:line="276" w:lineRule="auto" w:before="0" w:after="0"/>
            </w:pPr>
            <w:r/>
            <w:r>
              <w:rPr>
                <w:rFonts w:ascii="Figtree" w:hAnsi="Figtree"/>
                <w:b w:val="0"/>
                <w:i w:val="0"/>
                <w:sz w:val="20"/>
              </w:rPr>
              <w:t>Cross-border integration</w:t>
            </w:r>
          </w:p>
        </w:tc>
        <w:tc>
          <w:tcPr>
            <w:tcW w:type="dxa" w:w="3249"/>
            <w:vAlign w:val="center"/>
          </w:tcPr>
          <w:p>
            <w:pPr>
              <w:spacing w:line="276" w:lineRule="auto" w:before="0" w:after="0"/>
            </w:pPr>
            <w:r/>
            <w:r>
              <w:rPr>
                <w:rFonts w:ascii="Figtree" w:hAnsi="Figtree"/>
                <w:b w:val="0"/>
                <w:i w:val="0"/>
                <w:sz w:val="20"/>
              </w:rPr>
              <w:t>Phased approach</w:t>
            </w:r>
          </w:p>
        </w:tc>
      </w:tr>
      <w:tr>
        <w:trPr>
          <w:trHeight w:val="425" w:hRule="atLeast"/>
        </w:trPr>
        <w:tc>
          <w:tcPr>
            <w:tcW w:type="dxa" w:w="3249"/>
            <w:vAlign w:val="center"/>
          </w:tcPr>
          <w:p>
            <w:pPr>
              <w:spacing w:line="276" w:lineRule="auto" w:before="0" w:after="0"/>
            </w:pPr>
            <w:r/>
            <w:r>
              <w:rPr>
                <w:rFonts w:ascii="Figtree" w:hAnsi="Figtree"/>
                <w:b w:val="0"/>
                <w:i w:val="0"/>
                <w:sz w:val="20"/>
              </w:rPr>
              <w:t>R4</w:t>
            </w:r>
          </w:p>
        </w:tc>
        <w:tc>
          <w:tcPr>
            <w:tcW w:type="dxa" w:w="3249"/>
            <w:vAlign w:val="center"/>
          </w:tcPr>
          <w:p>
            <w:pPr>
              <w:spacing w:line="276" w:lineRule="auto" w:before="0" w:after="0"/>
            </w:pPr>
            <w:r/>
            <w:r>
              <w:rPr>
                <w:rFonts w:ascii="Figtree" w:hAnsi="Figtree"/>
                <w:b w:val="0"/>
                <w:i w:val="0"/>
                <w:sz w:val="20"/>
              </w:rPr>
              <w:t>Security review timeline</w:t>
            </w:r>
          </w:p>
        </w:tc>
        <w:tc>
          <w:tcPr>
            <w:tcW w:type="dxa" w:w="3249"/>
            <w:vAlign w:val="center"/>
          </w:tcPr>
          <w:p>
            <w:pPr>
              <w:spacing w:line="276" w:lineRule="auto" w:before="0" w:after="0"/>
            </w:pPr>
            <w:r/>
            <w:r>
              <w:rPr>
                <w:rFonts w:ascii="Figtree" w:hAnsi="Figtree"/>
                <w:b w:val="0"/>
                <w:i w:val="0"/>
                <w:sz w:val="20"/>
              </w:rPr>
              <w:t>Pre-share certifications</w:t>
            </w:r>
          </w:p>
        </w:tc>
      </w:tr>
    </w:tbl>
    <w:p>
      <w:pPr>
        <w:spacing w:before="0" w:after="0" w:line="120" w:lineRule="exact"/>
      </w:pPr>
    </w:p>
    <w:p>
      <w:r>
        <w:br w:type="page"/>
      </w:r>
    </w:p>
    <w:p>
      <w:pPr>
        <w:pStyle w:val="H2"/>
        <w:numPr>
          <w:ilvl w:val="1"/>
          <w:numId w:val="1"/>
        </w:numPr>
      </w:pPr>
      <w:r>
        <w:t>Appendices</w:t>
      </w:r>
    </w:p>
    <w:p>
      <w:pPr>
        <w:pStyle w:val="H3"/>
        <w:numPr>
          <w:ilvl w:val="2"/>
          <w:numId w:val="1"/>
        </w:numPr>
      </w:pPr>
      <w:r>
        <w:t>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53"/>
        <w:gridCol w:w="601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ERC-3643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DALPAsset</w:t>
            </w:r>
          </w:p>
        </w:tc>
        <w:tc>
          <w:tcPr>
            <w:tcW w:type="dxa" w:w="4873"/>
            <w:vAlign w:val="center"/>
          </w:tcPr>
          <w:p>
            <w:pPr>
              <w:spacing w:line="276" w:lineRule="auto" w:before="0" w:after="0"/>
            </w:pPr>
            <w:r/>
            <w:r>
              <w:rPr>
                <w:rFonts w:ascii="Figtree" w:hAnsi="Figtree"/>
                <w:b w:val="0"/>
                <w:i w:val="0"/>
                <w:sz w:val="20"/>
              </w:rPr>
              <w:t>Configurable token contract</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On-chain identity (ERC-734/735)</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Atomic settlement addon</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