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t xml:space="preserve">Table of Contents</w:t>
            <w:rPr>
              <w:b/>
              <w:sz w:val="32"/>
              <w:color w:val="000099"/>
            </w:rPr>
          </w:r>
        </w:p>
        <w:p>
          <w:r>
            <w:fldChar w:fldCharType="begin"/>
            <w:instrText xml:space="preserve"> TOC \o "1-4" \h \z \u </w:instrText>
            <w:fldChar w:fldCharType="separate"/>
          </w:r>
        </w:p>
        <w:p>
          <w:pPr>
            <w:ind w:left="720"/>
          </w:pPr>
          <w:r>
            <w:t xml:space="preserve">Table of Contents</w:t>
            <w:rPr>
              <w:sz w:val="22"/>
              <w:rFonts w:ascii="Figtree" w:hAnsi="Figtree"/>
            </w:rPr>
          </w:r>
        </w:p>
        <w:p>
          <w:pPr>
            <w:ind w:left="720"/>
          </w:pPr>
          <w:r>
            <w:t xml:space="preserve">Executive Summary</w:t>
            <w:rPr>
              <w:sz w:val="22"/>
              <w:rFonts w:ascii="Figtree" w:hAnsi="Figtree"/>
            </w:rPr>
          </w:r>
        </w:p>
        <w:p>
          <w:pPr>
            <w:ind w:left="720"/>
          </w:pPr>
          <w:r>
            <w:t xml:space="preserve">About SettleMint</w:t>
            <w:rPr>
              <w:sz w:val="22"/>
              <w:rFonts w:ascii="Figtree" w:hAnsi="Figtree"/>
            </w:rPr>
          </w:r>
        </w:p>
        <w:p>
          <w:pPr>
            <w:ind w:left="1440"/>
          </w:pPr>
          <w:r>
            <w:t xml:space="preserve">Company Overview</w:t>
            <w:rPr>
              <w:sz w:val="22"/>
              <w:rFonts w:ascii="Figtree" w:hAnsi="Figtree"/>
            </w:rPr>
          </w:r>
        </w:p>
        <w:p>
          <w:pPr>
            <w:ind w:left="1440"/>
          </w:pPr>
          <w:r>
            <w:t xml:space="preserve">Relevance to Absa Group</w:t>
            <w:rPr>
              <w:sz w:val="22"/>
              <w:rFonts w:ascii="Figtree" w:hAnsi="Figtree"/>
            </w:rPr>
          </w:r>
        </w:p>
        <w:p>
          <w:pPr>
            <w:ind w:left="720"/>
          </w:pPr>
          <w:r>
            <w:t xml:space="preserve">About DALP</w:t>
            <w:rPr>
              <w:sz w:val="22"/>
              <w:rFonts w:ascii="Figtree" w:hAnsi="Figtree"/>
            </w:rPr>
          </w:r>
        </w:p>
        <w:p>
          <w:pPr>
            <w:ind w:left="1440"/>
          </w:pPr>
          <w:r>
            <w:t xml:space="preserve">Trade Finance Lifecycle</w:t>
            <w:rPr>
              <w:sz w:val="22"/>
              <w:rFonts w:ascii="Figtree" w:hAnsi="Figtree"/>
            </w:rPr>
          </w:r>
        </w:p>
        <w:p>
          <w:pPr>
            <w:ind w:left="1440"/>
          </w:pPr>
          <w:r>
            <w:t xml:space="preserve">Core Capabilities for Trade Finance</w:t>
            <w:rPr>
              <w:sz w:val="22"/>
              <w:rFonts w:ascii="Figtree" w:hAnsi="Figtree"/>
            </w:rPr>
          </w:r>
        </w:p>
        <w:p>
          <w:pPr>
            <w:ind w:left="720"/>
          </w:pPr>
          <w:r>
            <w:t xml:space="preserve">Customer References</w:t>
            <w:rPr>
              <w:sz w:val="22"/>
              <w:rFonts w:ascii="Figtree" w:hAnsi="Figtree"/>
            </w:rPr>
          </w:r>
        </w:p>
        <w:p>
          <w:pPr>
            <w:ind w:left="1440"/>
          </w:pPr>
          <w:r>
            <w:t xml:space="preserve">Trade Finance References</w:t>
            <w:rPr>
              <w:sz w:val="22"/>
              <w:rFonts w:ascii="Figtree" w:hAnsi="Figtree"/>
            </w:rPr>
          </w:r>
        </w:p>
        <w:p>
          <w:pPr>
            <w:ind w:left="1440"/>
          </w:pPr>
          <w:r>
            <w:t xml:space="preserve">Expanded: RBI Innovation Hub — Trade Finance</w:t>
            <w:rPr>
              <w:sz w:val="22"/>
              <w:rFonts w:ascii="Figtree" w:hAnsi="Figtree"/>
            </w:rPr>
          </w:r>
        </w:p>
        <w:p>
          <w:pPr>
            <w:ind w:left="720"/>
          </w:pPr>
          <w:r>
            <w:t xml:space="preserve">Proposed Solution</w:t>
            <w:rPr>
              <w:sz w:val="22"/>
              <w:rFonts w:ascii="Figtree" w:hAnsi="Figtree"/>
            </w:rPr>
          </w:r>
        </w:p>
        <w:p>
          <w:pPr>
            <w:ind w:left="1440"/>
          </w:pPr>
          <w:r>
            <w:t xml:space="preserve">Solution Overview</w:t>
            <w:rPr>
              <w:sz w:val="22"/>
              <w:rFonts w:ascii="Figtree" w:hAnsi="Figtree"/>
            </w:rPr>
          </w:r>
        </w:p>
        <w:p>
          <w:pPr>
            <w:ind w:left="1440"/>
          </w:pPr>
          <w:r>
            <w:t xml:space="preserve">Receivable Token Configuration</w:t>
            <w:rPr>
              <w:sz w:val="22"/>
              <w:rFonts w:ascii="Figtree" w:hAnsi="Figtree"/>
            </w:rPr>
          </w:r>
        </w:p>
        <w:p>
          <w:pPr>
            <w:ind w:left="1440"/>
          </w:pPr>
          <w:r>
            <w:t xml:space="preserve">Trade Finance Workflow</w:t>
            <w:rPr>
              <w:sz w:val="22"/>
              <w:rFonts w:ascii="Figtree" w:hAnsi="Figtree"/>
            </w:rPr>
          </w:r>
        </w:p>
        <w:p>
          <w:pPr>
            <w:ind w:left="1440"/>
          </w:pPr>
          <w:r>
            <w:t xml:space="preserve">Functional Fit Matrix</w:t>
            <w:rPr>
              <w:sz w:val="22"/>
              <w:rFonts w:ascii="Figtree" w:hAnsi="Figtree"/>
            </w:rPr>
          </w:r>
        </w:p>
        <w:p>
          <w:pPr>
            <w:ind w:left="720"/>
          </w:pPr>
          <w:r>
            <w:t xml:space="preserve">Technical Architecture</w:t>
            <w:rPr>
              <w:sz w:val="22"/>
              <w:rFonts w:ascii="Figtree" w:hAnsi="Figtree"/>
            </w:rPr>
          </w:r>
        </w:p>
        <w:p>
          <w:pPr>
            <w:ind w:left="1440"/>
          </w:pPr>
          <w:r>
            <w:t xml:space="preserve">Four-Layer Stack</w:t>
            <w:rPr>
              <w:sz w:val="22"/>
              <w:rFonts w:ascii="Figtree" w:hAnsi="Figtree"/>
            </w:rPr>
          </w:r>
        </w:p>
        <w:p>
          <w:pPr>
            <w:ind w:left="1440"/>
          </w:pPr>
          <w:r>
            <w:t xml:space="preserve">Security: 5-Layer Defense-in-Depth</w:t>
            <w:rPr>
              <w:sz w:val="22"/>
              <w:rFonts w:ascii="Figtree" w:hAnsi="Figtree"/>
            </w:rPr>
          </w:r>
        </w:p>
        <w:p>
          <w:pPr>
            <w:ind w:left="720"/>
          </w:pPr>
          <w:r>
            <w:t xml:space="preserve">Implementation (19 Weeks)</w:t>
            <w:rPr>
              <w:sz w:val="22"/>
              <w:rFonts w:ascii="Figtree" w:hAnsi="Figtree"/>
            </w:rPr>
          </w:r>
        </w:p>
        <w:p>
          <w:pPr>
            <w:ind w:left="720"/>
          </w:pPr>
          <w:r>
            <w:t xml:space="preserve">Deployment</w:t>
            <w:rPr>
              <w:sz w:val="22"/>
              <w:rFonts w:ascii="Figtree" w:hAnsi="Figtree"/>
            </w:rPr>
          </w:r>
        </w:p>
        <w:p>
          <w:pPr>
            <w:ind w:left="720"/>
          </w:pPr>
          <w:r>
            <w:t xml:space="preserve">Support: Premium</w:t>
            <w:rPr>
              <w:sz w:val="22"/>
              <w:rFonts w:ascii="Figtree" w:hAnsi="Figtree"/>
            </w:rPr>
          </w:r>
        </w:p>
        <w:p>
          <w:pPr>
            <w:ind w:left="720"/>
          </w:pPr>
          <w:r>
            <w:t xml:space="preserve">Risk Register</w:t>
            <w:rPr>
              <w:sz w:val="22"/>
              <w:rFonts w:ascii="Figtree" w:hAnsi="Figtree"/>
            </w:rPr>
          </w:r>
        </w:p>
        <w:p>
          <w:pPr>
            <w:ind w:left="720"/>
          </w:pPr>
          <w:r>
            <w:t xml:space="preserve">Appendices</w:t>
            <w:rPr>
              <w:sz w:val="22"/>
              <w:rFonts w:ascii="Figtree" w:hAnsi="Figtree"/>
            </w:rPr>
          </w:r>
        </w:p>
        <w:p>
          <w:pPr>
            <w:ind w:left="1440"/>
          </w:pPr>
          <w:r>
            <w:t xml:space="preserve">Glossary</w:t>
            <w:rPr>
              <w:sz w:val="22"/>
              <w:rFonts w:ascii="Figtree" w:hAnsi="Figtree"/>
            </w:rPr>
          </w:r>
        </w:p>
        <w:p>
          <w: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Field</w:t>
            </w:r>
          </w:p>
        </w:tc>
        <w:tc>
          <w:tcPr>
            <w:tcW w:type="dxa" w:w="4873"/>
            <w:vAlign w:val="center"/>
            <w:shd w:fill="000099" w:val="clear"/>
          </w:tcPr>
          <w:p>
            <w:r>
              <w:rPr>
                <w:b/>
                <w:color w:val="FFFFFF"/>
              </w:rPr>
            </w:r>
            <w:r>
              <w:rPr>
                <w:rFonts w:ascii="Figtree" w:hAnsi="Figtree"/>
                <w:b/>
                <w:i w:val="0"/>
                <w:color w:val="FFFFFF"/>
                <w:sz w:val="22"/>
              </w:rPr>
              <w:t>Value</w:t>
            </w:r>
          </w:p>
        </w:tc>
      </w:tr>
      <w:tr>
        <w:trPr>
          <w:trHeight w:val="454" w:hRule="atLeast"/>
        </w:trPr>
        <w:tc>
          <w:tcPr>
            <w:tcW w:type="dxa" w:w="4873"/>
            <w:vAlign w:val="center"/>
          </w:tcPr>
          <w:p>
            <w:r/>
            <w:r>
              <w:rPr>
                <w:rFonts w:ascii="Figtree" w:hAnsi="Figtree"/>
                <w:b w:val="0"/>
                <w:i w:val="0"/>
                <w:sz w:val="22"/>
              </w:rPr>
              <w:t>Proposal title</w:t>
            </w:r>
          </w:p>
        </w:tc>
        <w:tc>
          <w:tcPr>
            <w:tcW w:type="dxa" w:w="4873"/>
            <w:vAlign w:val="center"/>
          </w:tcPr>
          <w:p>
            <w:r/>
            <w:r>
              <w:rPr>
                <w:rFonts w:ascii="Figtree" w:hAnsi="Figtree"/>
                <w:b w:val="0"/>
                <w:i w:val="0"/>
                <w:sz w:val="22"/>
              </w:rPr>
              <w:t>Technical Proposal — Tokenized Trade Finance Workflow and Receivables Digitization</w:t>
            </w:r>
          </w:p>
        </w:tc>
      </w:tr>
      <w:tr>
        <w:trPr>
          <w:trHeight w:val="454" w:hRule="atLeast"/>
        </w:trPr>
        <w:tc>
          <w:tcPr>
            <w:tcW w:type="dxa" w:w="4873"/>
            <w:vAlign w:val="center"/>
          </w:tcPr>
          <w:p>
            <w:r/>
            <w:r>
              <w:rPr>
                <w:rFonts w:ascii="Figtree" w:hAnsi="Figtree"/>
                <w:b w:val="0"/>
                <w:i w:val="0"/>
                <w:sz w:val="22"/>
              </w:rPr>
              <w:t>Client</w:t>
            </w:r>
          </w:p>
        </w:tc>
        <w:tc>
          <w:tcPr>
            <w:tcW w:type="dxa" w:w="4873"/>
            <w:vAlign w:val="center"/>
          </w:tcPr>
          <w:p>
            <w:r/>
            <w:r>
              <w:rPr>
                <w:rFonts w:ascii="Figtree" w:hAnsi="Figtree"/>
                <w:b w:val="0"/>
                <w:i w:val="0"/>
                <w:sz w:val="22"/>
              </w:rPr>
              <w:t>Absa Group</w:t>
            </w:r>
          </w:p>
        </w:tc>
      </w:tr>
      <w:tr>
        <w:trPr>
          <w:trHeight w:val="454" w:hRule="atLeast"/>
        </w:trPr>
        <w:tc>
          <w:tcPr>
            <w:tcW w:type="dxa" w:w="4873"/>
            <w:vAlign w:val="center"/>
          </w:tcPr>
          <w:p>
            <w:r/>
            <w:r>
              <w:rPr>
                <w:rFonts w:ascii="Figtree" w:hAnsi="Figtree"/>
                <w:b w:val="0"/>
                <w:i w:val="0"/>
                <w:sz w:val="22"/>
              </w:rPr>
              <w:t>Submitted by</w:t>
            </w:r>
          </w:p>
        </w:tc>
        <w:tc>
          <w:tcPr>
            <w:tcW w:type="dxa" w:w="4873"/>
            <w:vAlign w:val="center"/>
          </w:tcPr>
          <w:p>
            <w:r/>
            <w:r>
              <w:rPr>
                <w:rFonts w:ascii="Figtree" w:hAnsi="Figtree"/>
                <w:b w:val="0"/>
                <w:i w:val="0"/>
                <w:sz w:val="22"/>
              </w:rPr>
              <w:t>SettleMint NV</w:t>
            </w:r>
          </w:p>
        </w:tc>
      </w:tr>
      <w:tr>
        <w:trPr>
          <w:trHeight w:val="454" w:hRule="atLeast"/>
        </w:trPr>
        <w:tc>
          <w:tcPr>
            <w:tcW w:type="dxa" w:w="4873"/>
            <w:vAlign w:val="center"/>
          </w:tcPr>
          <w:p>
            <w:r/>
            <w:r>
              <w:rPr>
                <w:rFonts w:ascii="Figtree" w:hAnsi="Figtree"/>
                <w:b w:val="0"/>
                <w:i w:val="0"/>
                <w:sz w:val="22"/>
              </w:rPr>
              <w:t>Date</w:t>
            </w:r>
          </w:p>
        </w:tc>
        <w:tc>
          <w:tcPr>
            <w:tcW w:type="dxa" w:w="4873"/>
            <w:vAlign w:val="center"/>
          </w:tcPr>
          <w:p>
            <w:r/>
            <w:r>
              <w:rPr>
                <w:rFonts w:ascii="Figtree" w:hAnsi="Figtree"/>
                <w:b w:val="0"/>
                <w:i w:val="0"/>
                <w:sz w:val="22"/>
              </w:rPr>
              <w:t>March 2026</w:t>
            </w:r>
          </w:p>
        </w:tc>
      </w:tr>
      <w:tr>
        <w:trPr>
          <w:trHeight w:val="454" w:hRule="atLeast"/>
        </w:trPr>
        <w:tc>
          <w:tcPr>
            <w:tcW w:type="dxa" w:w="4873"/>
            <w:vAlign w:val="center"/>
          </w:tcPr>
          <w:p>
            <w:r/>
            <w:r>
              <w:rPr>
                <w:rFonts w:ascii="Figtree" w:hAnsi="Figtree"/>
                <w:b w:val="0"/>
                <w:i w:val="0"/>
                <w:sz w:val="22"/>
              </w:rPr>
              <w:t>Version</w:t>
            </w:r>
          </w:p>
        </w:tc>
        <w:tc>
          <w:tcPr>
            <w:tcW w:type="dxa" w:w="4873"/>
            <w:vAlign w:val="center"/>
          </w:tcPr>
          <w:p>
            <w:r/>
            <w:r>
              <w:rPr>
                <w:rFonts w:ascii="Figtree" w:hAnsi="Figtree"/>
                <w:b w:val="0"/>
                <w:i w:val="0"/>
                <w:sz w:val="22"/>
              </w:rPr>
              <w:t>v1.0</w:t>
            </w:r>
          </w:p>
        </w:tc>
      </w:tr>
      <w:tr>
        <w:trPr>
          <w:trHeight w:val="454" w:hRule="atLeast"/>
        </w:trPr>
        <w:tc>
          <w:tcPr>
            <w:tcW w:type="dxa" w:w="4873"/>
            <w:vAlign w:val="center"/>
          </w:tcPr>
          <w:p>
            <w:r/>
            <w:r>
              <w:rPr>
                <w:rFonts w:ascii="Figtree" w:hAnsi="Figtree"/>
                <w:b w:val="0"/>
                <w:i w:val="0"/>
                <w:sz w:val="22"/>
              </w:rPr>
              <w:t>Confidentiality</w:t>
            </w:r>
          </w:p>
        </w:tc>
        <w:tc>
          <w:tcPr>
            <w:tcW w:type="dxa" w:w="4873"/>
            <w:vAlign w:val="center"/>
          </w:tcPr>
          <w:p>
            <w:r/>
            <w:r>
              <w:rPr>
                <w:rFonts w:ascii="Figtree" w:hAnsi="Figtree"/>
                <w:b w:val="0"/>
                <w:i w:val="0"/>
                <w:sz w:val="22"/>
              </w:rPr>
              <w:t>Restricted</w:t>
            </w:r>
          </w:p>
        </w:tc>
      </w:tr>
      <w:tr>
        <w:trPr>
          <w:trHeight w:val="454" w:hRule="atLeast"/>
        </w:trPr>
        <w:tc>
          <w:tcPr>
            <w:tcW w:type="dxa" w:w="4873"/>
            <w:vAlign w:val="center"/>
          </w:tcPr>
          <w:p>
            <w:r/>
            <w:r>
              <w:rPr>
                <w:rFonts w:ascii="Figtree" w:hAnsi="Figtree"/>
                <w:b w:val="0"/>
                <w:i w:val="0"/>
                <w:sz w:val="22"/>
              </w:rPr>
              <w:t>RFP Reference</w:t>
            </w:r>
          </w:p>
        </w:tc>
        <w:tc>
          <w:tcPr>
            <w:tcW w:type="dxa" w:w="4873"/>
            <w:vAlign w:val="center"/>
          </w:tcPr>
          <w:p>
            <w:r/>
            <w:r>
              <w:rPr>
                <w:rFonts w:ascii="Figtree" w:hAnsi="Figtree"/>
                <w:b w:val="0"/>
                <w:i w:val="0"/>
                <w:sz w:val="22"/>
              </w:rPr>
              <w:t>ABSA-GROUP-RFP-TOKENIZED-TRADE-FINANCE-202603</w:t>
            </w:r>
          </w:p>
        </w:tc>
      </w:tr>
      <w:tr>
        <w:trPr>
          <w:trHeight w:val="454" w:hRule="atLeast"/>
        </w:trPr>
        <w:tc>
          <w:tcPr>
            <w:tcW w:type="dxa" w:w="4873"/>
            <w:vAlign w:val="center"/>
          </w:tcPr>
          <w:p>
            <w:r/>
            <w:r>
              <w:rPr>
                <w:rFonts w:ascii="Figtree" w:hAnsi="Figtree"/>
                <w:b w:val="0"/>
                <w:i w:val="0"/>
                <w:sz w:val="22"/>
              </w:rPr>
              <w:t>Primary contact</w:t>
            </w:r>
          </w:p>
        </w:tc>
        <w:tc>
          <w:tcPr>
            <w:tcW w:type="dxa" w:w="4873"/>
            <w:vAlign w:val="center"/>
          </w:tcPr>
          <w:p>
            <w:r/>
            <w:r>
              <w:rPr>
                <w:rFonts w:ascii="Figtree" w:hAnsi="Figtree"/>
                <w:b w:val="0"/>
                <w:i w:val="0"/>
                <w:sz w:val="22"/>
              </w:rPr>
              <w:t>Adam Popat, CEO</w:t>
            </w:r>
          </w:p>
        </w:tc>
      </w:tr>
    </w:tbl>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About SettleMint</w:t>
      </w:r>
    </w:p>
    <w:p>
      <w:pPr>
        <w:pStyle w:val="ListParagraph"/>
        <w:numPr>
          <w:ilvl w:val="0"/>
          <w:numId w:val="4"/>
        </w:numPr>
      </w:pPr>
      <w:r>
        <w:rPr>
          <w:rFonts w:ascii="Figtree" w:hAnsi="Figtree"/>
          <w:b w:val="0"/>
          <w:i w:val="0"/>
          <w:sz w:val="22"/>
        </w:rPr>
        <w:t>About DALP</w:t>
      </w:r>
    </w:p>
    <w:p>
      <w:pPr>
        <w:pStyle w:val="ListParagraph"/>
        <w:numPr>
          <w:ilvl w:val="0"/>
          <w:numId w:val="4"/>
        </w:numPr>
      </w:pPr>
      <w:r>
        <w:rPr>
          <w:rFonts w:ascii="Figtree" w:hAnsi="Figtree"/>
          <w:b w:val="0"/>
          <w:i w:val="0"/>
          <w:sz w:val="22"/>
        </w:rPr>
        <w:t>Understanding Absa's Programme Objectives</w:t>
      </w:r>
    </w:p>
    <w:p>
      <w:pPr>
        <w:pStyle w:val="ListParagraph"/>
        <w:numPr>
          <w:ilvl w:val="0"/>
          <w:numId w:val="4"/>
        </w:numPr>
      </w:pPr>
      <w:r>
        <w:rPr>
          <w:rFonts w:ascii="Figtree" w:hAnsi="Figtree"/>
          <w:b w:val="0"/>
          <w:i w:val="0"/>
          <w:sz w:val="22"/>
        </w:rPr>
        <w:t>Customer References</w:t>
      </w:r>
    </w:p>
    <w:p>
      <w:pPr>
        <w:pStyle w:val="ListParagraph"/>
        <w:numPr>
          <w:ilvl w:val="0"/>
          <w:numId w:val="4"/>
        </w:numPr>
      </w:pPr>
      <w:r>
        <w:rPr>
          <w:rFonts w:ascii="Figtree" w:hAnsi="Figtree"/>
          <w:b w:val="0"/>
          <w:i w:val="0"/>
          <w:sz w:val="22"/>
        </w:rPr>
        <w:t>Proposed Solution and Functional Capabilities</w:t>
      </w:r>
    </w:p>
    <w:p>
      <w:pPr>
        <w:pStyle w:val="ListParagraph"/>
        <w:numPr>
          <w:ilvl w:val="0"/>
          <w:numId w:val="4"/>
        </w:numPr>
      </w:pPr>
      <w:r>
        <w:rPr>
          <w:rFonts w:ascii="Figtree" w:hAnsi="Figtree"/>
          <w:b w:val="0"/>
          <w:i w:val="0"/>
          <w:sz w:val="22"/>
        </w:rPr>
        <w:t>Technical Architecture</w:t>
      </w:r>
    </w:p>
    <w:p>
      <w:pPr>
        <w:pStyle w:val="ListParagraph"/>
        <w:numPr>
          <w:ilvl w:val="0"/>
          <w:numId w:val="4"/>
        </w:numPr>
      </w:pPr>
      <w:r>
        <w:rPr>
          <w:rFonts w:ascii="Figtree" w:hAnsi="Figtree"/>
          <w:b w:val="0"/>
          <w:i w:val="0"/>
          <w:sz w:val="22"/>
        </w:rPr>
        <w:t>Smart Contract Architecture for Trade Finance</w:t>
      </w:r>
    </w:p>
    <w:p>
      <w:pPr>
        <w:pStyle w:val="ListParagraph"/>
        <w:numPr>
          <w:ilvl w:val="0"/>
          <w:numId w:val="4"/>
        </w:numPr>
      </w:pPr>
      <w:r>
        <w:rPr>
          <w:rFonts w:ascii="Figtree" w:hAnsi="Figtree"/>
          <w:b w:val="0"/>
          <w:i w:val="0"/>
          <w:sz w:val="22"/>
        </w:rPr>
        <w:t>Identity, Compliance, and Regulatory Controls</w:t>
      </w:r>
    </w:p>
    <w:p>
      <w:pPr>
        <w:pStyle w:val="ListParagraph"/>
        <w:numPr>
          <w:ilvl w:val="0"/>
          <w:numId w:val="4"/>
        </w:numPr>
      </w:pPr>
      <w:r>
        <w:rPr>
          <w:rFonts w:ascii="Figtree" w:hAnsi="Figtree"/>
          <w:b w:val="0"/>
          <w:i w:val="0"/>
          <w:sz w:val="22"/>
        </w:rPr>
        <w:t>Settlement, Servicing, and Lifecycle Management</w:t>
      </w:r>
    </w:p>
    <w:p>
      <w:pPr>
        <w:pStyle w:val="ListParagraph"/>
        <w:numPr>
          <w:ilvl w:val="0"/>
          <w:numId w:val="4"/>
        </w:numPr>
      </w:pPr>
      <w:r>
        <w:rPr>
          <w:rFonts w:ascii="Figtree" w:hAnsi="Figtree"/>
          <w:b w:val="0"/>
          <w:i w:val="0"/>
          <w:sz w:val="22"/>
        </w:rPr>
        <w:t>Integration Architecture</w:t>
      </w:r>
    </w:p>
    <w:p>
      <w:pPr>
        <w:pStyle w:val="ListParagraph"/>
        <w:numPr>
          <w:ilvl w:val="0"/>
          <w:numId w:val="4"/>
        </w:numPr>
      </w:pPr>
      <w:r>
        <w:rPr>
          <w:rFonts w:ascii="Figtree" w:hAnsi="Figtree"/>
          <w:b w:val="0"/>
          <w:i w:val="0"/>
          <w:sz w:val="22"/>
        </w:rPr>
        <w:t>Security, Resilience, and Operational Assurance</w:t>
      </w:r>
    </w:p>
    <w:p>
      <w:pPr>
        <w:pStyle w:val="ListParagraph"/>
        <w:numPr>
          <w:ilvl w:val="0"/>
          <w:numId w:val="4"/>
        </w:numPr>
      </w:pPr>
      <w:r>
        <w:rPr>
          <w:rFonts w:ascii="Figtree" w:hAnsi="Figtree"/>
          <w:b w:val="0"/>
          <w:i w:val="0"/>
          <w:sz w:val="22"/>
        </w:rPr>
        <w:t>Implementation Approach and Delivery Phases</w:t>
      </w:r>
    </w:p>
    <w:p>
      <w:pPr>
        <w:pStyle w:val="ListParagraph"/>
        <w:numPr>
          <w:ilvl w:val="0"/>
          <w:numId w:val="4"/>
        </w:numPr>
      </w:pPr>
      <w:r>
        <w:rPr>
          <w:rFonts w:ascii="Figtree" w:hAnsi="Figtree"/>
          <w:b w:val="0"/>
          <w:i w:val="0"/>
          <w:sz w:val="22"/>
        </w:rPr>
        <w:t>Deployment Model</w:t>
      </w:r>
    </w:p>
    <w:p>
      <w:pPr>
        <w:pStyle w:val="ListParagraph"/>
        <w:numPr>
          <w:ilvl w:val="0"/>
          <w:numId w:val="4"/>
        </w:numPr>
      </w:pPr>
      <w:r>
        <w:rPr>
          <w:rFonts w:ascii="Figtree" w:hAnsi="Figtree"/>
          <w:b w:val="0"/>
          <w:i w:val="0"/>
          <w:sz w:val="22"/>
        </w:rPr>
        <w:t>Training and Knowledge Transfer</w:t>
      </w:r>
    </w:p>
    <w:p>
      <w:pPr>
        <w:pStyle w:val="ListParagraph"/>
        <w:numPr>
          <w:ilvl w:val="0"/>
          <w:numId w:val="4"/>
        </w:numPr>
      </w:pPr>
      <w:r>
        <w:rPr>
          <w:rFonts w:ascii="Figtree" w:hAnsi="Figtree"/>
          <w:b w:val="0"/>
          <w:i w:val="0"/>
          <w:sz w:val="22"/>
        </w:rPr>
        <w:t>Support and SLA</w:t>
      </w:r>
    </w:p>
    <w:p>
      <w:pPr>
        <w:pStyle w:val="ListParagraph"/>
        <w:numPr>
          <w:ilvl w:val="0"/>
          <w:numId w:val="4"/>
        </w:numPr>
      </w:pPr>
      <w:r>
        <w:rPr>
          <w:rFonts w:ascii="Figtree" w:hAnsi="Figtree"/>
          <w:b w:val="0"/>
          <w:i w:val="0"/>
          <w:sz w:val="22"/>
        </w:rPr>
        <w:t>Risk Management</w:t>
      </w:r>
    </w:p>
    <w:p>
      <w:pPr>
        <w:pStyle w:val="ListParagraph"/>
        <w:numPr>
          <w:ilvl w:val="0"/>
          <w:numId w:val="4"/>
        </w:numPr>
      </w:pPr>
      <w:r>
        <w:rPr>
          <w:rFonts w:ascii="Figtree" w:hAnsi="Figtree"/>
          <w:b w:val="0"/>
          <w:i w:val="0"/>
          <w:sz w:val="22"/>
        </w:rPr>
        <w:t>Compliance Matrix</w:t>
      </w:r>
    </w:p>
    <w:p>
      <w:pPr>
        <w:pStyle w:val="ListParagraph"/>
        <w:numPr>
          <w:ilvl w:val="0"/>
          <w:numId w:val="4"/>
        </w:numPr>
      </w:pPr>
      <w:r>
        <w:rPr>
          <w:rFonts w:ascii="Figtree" w:hAnsi="Figtree"/>
          <w:b w:val="0"/>
          <w:i w:val="0"/>
          <w:sz w:val="22"/>
        </w:rPr>
        <w:t>Appendices</w:t>
      </w:r>
    </w:p>
    <w:p>
      <w:r>
        <w:br w:type="page"/>
      </w:r>
    </w:p>
    <w:p>
      <w:pPr>
        <w:pStyle w:val="H2"/>
        <w:numPr>
          <w:ilvl w:val="1"/>
          <w:numId w:val="1"/>
        </w:numPr>
      </w:pPr>
      <w:r>
        <w:t>Executive Summary</w:t>
      </w:r>
    </w:p>
    <w:p>
      <w:r>
        <w:rPr>
          <w:rFonts w:ascii="Figtree" w:hAnsi="Figtree"/>
          <w:b w:val="0"/>
          <w:i w:val="0"/>
          <w:sz w:val="22"/>
        </w:rPr>
        <w:t>Absa Group has identified tokenized trade finance workflow and receivables digitization as a business-critical capability requiring production-grade discipline. This procurement seeks a platform that can support trade finance operations within South Africa's regulatory environment — including SARB prudential controls, FSCA financial sector regulations, and the practical considerations of cross-border African trade.</w:t>
      </w:r>
    </w:p>
    <w:p>
      <w:r>
        <w:rPr>
          <w:rFonts w:ascii="Figtree" w:hAnsi="Figtree"/>
          <w:b w:val="0"/>
          <w:i w:val="0"/>
          <w:sz w:val="22"/>
        </w:rPr>
        <w:t>SettleMint's Digital Asset Lifecycle Platform (DALP) addresses this requirement through its durable workflow engine and configurable token architecture. DALP provides production-ready infrastructure for tokenizing trade finance instruments (letters of credit, bills of exchange, receivables), orchestrating multi-party approval workflows, enforcing compliance at the smart contract level, and settling through atomic delivery-versus-payment.</w:t>
      </w:r>
    </w:p>
    <w:p>
      <w:r>
        <w:rPr>
          <w:rFonts w:ascii="Figtree" w:hAnsi="Figtree"/>
          <w:b/>
          <w:i w:val="0"/>
          <w:sz w:val="22"/>
        </w:rPr>
        <w:t>Why DALP fits Absa Group's requirements:</w:t>
      </w:r>
    </w:p>
    <w:p>
      <w:pPr>
        <w:pStyle w:val="ListParagraph"/>
        <w:numPr>
          <w:ilvl w:val="0"/>
          <w:numId w:val="4"/>
        </w:numPr>
      </w:pPr>
      <w:r>
        <w:rPr>
          <w:rFonts w:ascii="Figtree" w:hAnsi="Figtree"/>
          <w:b/>
          <w:i w:val="0"/>
          <w:sz w:val="22"/>
        </w:rPr>
        <w:t>Trade finance workflow capability.</w:t>
      </w:r>
      <w:r>
        <w:rPr>
          <w:rFonts w:ascii="Figtree" w:hAnsi="Figtree"/>
          <w:b w:val="0"/>
          <w:i w:val="0"/>
          <w:sz w:val="22"/>
        </w:rPr>
        <w:t xml:space="preserve"> DALP's durable execution engine handles multi-step trade finance workflows — document presentation, counterparty verification, milestone approvals, limit checks, and conditional settlement — with deterministic completion guarantees. Each workflow step produces auditable evidence, and failure at any point triggers defined recovery paths. The Reserve Bank of India Innovation Hub engagement — multi-bank, multi-node, multi-cloud blockchain for fraud-proof trade finance (letters of credit) — directly demonstrates this capability.</w:t>
      </w:r>
    </w:p>
    <w:p>
      <w:pPr>
        <w:pStyle w:val="ListParagraph"/>
        <w:numPr>
          <w:ilvl w:val="0"/>
          <w:numId w:val="4"/>
        </w:numPr>
      </w:pPr>
      <w:r>
        <w:rPr>
          <w:rFonts w:ascii="Figtree" w:hAnsi="Figtree"/>
          <w:b/>
          <w:i w:val="0"/>
          <w:sz w:val="22"/>
        </w:rPr>
        <w:t>Receivables digitization.</w:t>
      </w:r>
      <w:r>
        <w:rPr>
          <w:rFonts w:ascii="Figtree" w:hAnsi="Figtree"/>
          <w:b w:val="0"/>
          <w:i w:val="0"/>
          <w:sz w:val="22"/>
        </w:rPr>
        <w:t xml:space="preserve"> DALPAsset's configurable architecture supports tokenization of trade receivables with document metadata linking, counterparty identity verification, transfer restrictions to nominated parties, and milestone-based liquidity release. Receivable tokens can be transferred (sold, discounted, pledged) with full compliance enforcement.</w:t>
      </w:r>
    </w:p>
    <w:p>
      <w:pPr>
        <w:pStyle w:val="ListParagraph"/>
        <w:numPr>
          <w:ilvl w:val="0"/>
          <w:numId w:val="4"/>
        </w:numPr>
      </w:pPr>
      <w:r>
        <w:rPr>
          <w:rFonts w:ascii="Figtree" w:hAnsi="Figtree"/>
          <w:b/>
          <w:i w:val="0"/>
          <w:sz w:val="22"/>
        </w:rPr>
        <w:t>African market understanding.</w:t>
      </w:r>
      <w:r>
        <w:rPr>
          <w:rFonts w:ascii="Figtree" w:hAnsi="Figtree"/>
          <w:b w:val="0"/>
          <w:i w:val="0"/>
          <w:sz w:val="22"/>
        </w:rPr>
        <w:t xml:space="preserve"> SettleMint's Standard Chartered engagement spans Asia, Africa, and the Middle East. The South African Reserve Bank's Project Khokha (wholesale CBDC pilot) and JSE digital asset initiatives demonstrate the market's trajectory. DALP's configurable compliance engine accommodates SARB and FSCA requirements through module composition.</w:t>
      </w:r>
    </w:p>
    <w:p>
      <w:pPr>
        <w:pStyle w:val="ListParagraph"/>
        <w:numPr>
          <w:ilvl w:val="0"/>
          <w:numId w:val="4"/>
        </w:numPr>
      </w:pPr>
      <w:r>
        <w:rPr>
          <w:rFonts w:ascii="Figtree" w:hAnsi="Figtree"/>
          <w:b/>
          <w:i w:val="0"/>
          <w:sz w:val="22"/>
        </w:rPr>
        <w:t>Production credentials.</w:t>
      </w:r>
      <w:r>
        <w:rPr>
          <w:rFonts w:ascii="Figtree" w:hAnsi="Figtree"/>
          <w:b w:val="0"/>
          <w:i w:val="0"/>
          <w:sz w:val="22"/>
        </w:rPr>
        <w:t xml:space="preserve"> 14 institutional deployments including Standard Chartered, Commerzbank (EUR 7M/year savings), OCBC, SBI, Islamic Development Bank. ISO 27001 and SOC 2 Type II certified.</w:t>
      </w:r>
    </w:p>
    <w:p>
      <w:pPr>
        <w:pStyle w:val="ListParagraph"/>
        <w:numPr>
          <w:ilvl w:val="0"/>
          <w:numId w:val="4"/>
        </w:numPr>
      </w:pPr>
      <w:r>
        <w:rPr>
          <w:rFonts w:ascii="Figtree" w:hAnsi="Figtree"/>
          <w:b/>
          <w:i w:val="0"/>
          <w:sz w:val="22"/>
        </w:rPr>
        <w:t>Enterprise integration.</w:t>
      </w:r>
      <w:r>
        <w:rPr>
          <w:rFonts w:ascii="Figtree" w:hAnsi="Figtree"/>
          <w:b w:val="0"/>
          <w:i w:val="0"/>
          <w:sz w:val="22"/>
        </w:rPr>
        <w:t xml:space="preserve"> REST API v2, GraphQL, webhooks, SDK, CLI (301 commands). Connects to core banking, trade finance back-office, SWIFT, KYC/AML, and regulatory reporting.</w:t>
      </w:r>
    </w:p>
    <w:p>
      <w:r>
        <w:rPr>
          <w:rFonts w:ascii="Figtree" w:hAnsi="Figtree"/>
          <w:b w:val="0"/>
          <w:i w:val="0"/>
          <w:sz w:val="22"/>
        </w:rPr>
        <w:t>The proposed implementation follows a 19-week phase-gated methodology with five formal gate reviews.</w:t>
      </w:r>
    </w:p>
    <w:p>
      <w:pPr>
        <w:jc w:val="center"/>
      </w:pPr>
      <w:r>
        <w:drawing>
          <wp:inline xmlns:a="http://schemas.openxmlformats.org/drawingml/2006/main" xmlns:pic="http://schemas.openxmlformats.org/drawingml/2006/picture">
            <wp:extent cx="5486400" cy="1938435"/>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1938435"/>
                    </a:xfrm>
                    <a:prstGeom prst="rect"/>
                  </pic:spPr>
                </pic:pic>
              </a:graphicData>
            </a:graphic>
          </wp:inline>
        </w:drawing>
      </w:r>
    </w:p>
    <w:p>
      <w:r>
        <w:br w:type="page"/>
      </w:r>
    </w:p>
    <w:p>
      <w:pPr>
        <w:pStyle w:val="H2"/>
        <w:numPr>
          <w:ilvl w:val="1"/>
          <w:numId w:val="1"/>
        </w:numPr>
      </w:pPr>
      <w:r>
        <w:t>About SettleMint</w:t>
      </w:r>
    </w:p>
    <w:p>
      <w:pPr>
        <w:pStyle w:val="H3"/>
        <w:numPr>
          <w:ilvl w:val="2"/>
          <w:numId w:val="1"/>
        </w:numPr>
      </w:pPr>
      <w:r>
        <w:t>Company Overview</w:t>
      </w:r>
    </w:p>
    <w:p>
      <w:r>
        <w:rPr>
          <w:rFonts w:ascii="Figtree" w:hAnsi="Figtree"/>
          <w:b w:val="0"/>
          <w:i w:val="0"/>
          <w:sz w:val="22"/>
        </w:rPr>
        <w:t>SettleMint: production-grade digital asset lifecycle management for regulated markets. Founded 2016, Leuven, Belgium. 10 years continuous operation, 7+ years production deployments at regulated banks. ISO 27001, SOC 2 Type II.</w:t>
      </w:r>
    </w:p>
    <w:p>
      <w:pPr>
        <w:pStyle w:val="H3"/>
        <w:numPr>
          <w:ilvl w:val="2"/>
          <w:numId w:val="1"/>
        </w:numPr>
      </w:pPr>
      <w:r>
        <w:t>Relevance to Absa Group</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Credential</w:t>
            </w:r>
          </w:p>
        </w:tc>
        <w:tc>
          <w:tcPr>
            <w:tcW w:type="dxa" w:w="4873"/>
            <w:vAlign w:val="center"/>
            <w:shd w:fill="000099" w:val="clear"/>
          </w:tcPr>
          <w:p>
            <w:r>
              <w:rPr>
                <w:b/>
                <w:color w:val="FFFFFF"/>
              </w:rPr>
            </w:r>
            <w:r>
              <w:rPr>
                <w:rFonts w:ascii="Figtree" w:hAnsi="Figtree"/>
                <w:b/>
                <w:i w:val="0"/>
                <w:color w:val="FFFFFF"/>
                <w:sz w:val="22"/>
              </w:rPr>
              <w:t>Evidence</w:t>
            </w:r>
          </w:p>
        </w:tc>
      </w:tr>
      <w:tr>
        <w:trPr>
          <w:trHeight w:val="454" w:hRule="atLeast"/>
        </w:trPr>
        <w:tc>
          <w:tcPr>
            <w:tcW w:type="dxa" w:w="4873"/>
            <w:vAlign w:val="center"/>
          </w:tcPr>
          <w:p>
            <w:r/>
            <w:r>
              <w:rPr>
                <w:rFonts w:ascii="Figtree" w:hAnsi="Figtree"/>
                <w:b w:val="0"/>
                <w:i w:val="0"/>
                <w:sz w:val="22"/>
              </w:rPr>
              <w:t>Trade finance experience</w:t>
            </w:r>
          </w:p>
        </w:tc>
        <w:tc>
          <w:tcPr>
            <w:tcW w:type="dxa" w:w="4873"/>
            <w:vAlign w:val="center"/>
          </w:tcPr>
          <w:p>
            <w:r/>
            <w:r>
              <w:rPr>
                <w:rFonts w:ascii="Figtree" w:hAnsi="Figtree"/>
                <w:b w:val="0"/>
                <w:i w:val="0"/>
                <w:sz w:val="22"/>
              </w:rPr>
              <w:t>RBI Innovation Hub: multi-bank LC processing</w:t>
            </w:r>
          </w:p>
        </w:tc>
      </w:tr>
      <w:tr>
        <w:trPr>
          <w:trHeight w:val="454" w:hRule="atLeast"/>
        </w:trPr>
        <w:tc>
          <w:tcPr>
            <w:tcW w:type="dxa" w:w="4873"/>
            <w:vAlign w:val="center"/>
          </w:tcPr>
          <w:p>
            <w:r/>
            <w:r>
              <w:rPr>
                <w:rFonts w:ascii="Figtree" w:hAnsi="Figtree"/>
                <w:b w:val="0"/>
                <w:i w:val="0"/>
                <w:sz w:val="22"/>
              </w:rPr>
              <w:t>African market exposure</w:t>
            </w:r>
          </w:p>
        </w:tc>
        <w:tc>
          <w:tcPr>
            <w:tcW w:type="dxa" w:w="4873"/>
            <w:vAlign w:val="center"/>
          </w:tcPr>
          <w:p>
            <w:r/>
            <w:r>
              <w:rPr>
                <w:rFonts w:ascii="Figtree" w:hAnsi="Figtree"/>
                <w:b w:val="0"/>
                <w:i w:val="0"/>
                <w:sz w:val="22"/>
              </w:rPr>
              <w:t>Standard Chartered: Asia, Africa, ME</w:t>
            </w:r>
          </w:p>
        </w:tc>
      </w:tr>
      <w:tr>
        <w:trPr>
          <w:trHeight w:val="454" w:hRule="atLeast"/>
        </w:trPr>
        <w:tc>
          <w:tcPr>
            <w:tcW w:type="dxa" w:w="4873"/>
            <w:vAlign w:val="center"/>
          </w:tcPr>
          <w:p>
            <w:r/>
            <w:r>
              <w:rPr>
                <w:rFonts w:ascii="Figtree" w:hAnsi="Figtree"/>
                <w:b w:val="0"/>
                <w:i w:val="0"/>
                <w:sz w:val="22"/>
              </w:rPr>
              <w:t>Institutional deployments</w:t>
            </w:r>
          </w:p>
        </w:tc>
        <w:tc>
          <w:tcPr>
            <w:tcW w:type="dxa" w:w="4873"/>
            <w:vAlign w:val="center"/>
          </w:tcPr>
          <w:p>
            <w:r/>
            <w:r>
              <w:rPr>
                <w:rFonts w:ascii="Figtree" w:hAnsi="Figtree"/>
                <w:b w:val="0"/>
                <w:i w:val="0"/>
                <w:sz w:val="22"/>
              </w:rPr>
              <w:t>14 engagements at regulated institutions</w:t>
            </w:r>
          </w:p>
        </w:tc>
      </w:tr>
      <w:tr>
        <w:trPr>
          <w:trHeight w:val="454" w:hRule="atLeast"/>
        </w:trPr>
        <w:tc>
          <w:tcPr>
            <w:tcW w:type="dxa" w:w="4873"/>
            <w:vAlign w:val="center"/>
          </w:tcPr>
          <w:p>
            <w:r/>
            <w:r>
              <w:rPr>
                <w:rFonts w:ascii="Figtree" w:hAnsi="Figtree"/>
                <w:b w:val="0"/>
                <w:i w:val="0"/>
                <w:sz w:val="22"/>
              </w:rPr>
              <w:t>Cross-border capability</w:t>
            </w:r>
          </w:p>
        </w:tc>
        <w:tc>
          <w:tcPr>
            <w:tcW w:type="dxa" w:w="4873"/>
            <w:vAlign w:val="center"/>
          </w:tcPr>
          <w:p>
            <w:r/>
            <w:r>
              <w:rPr>
                <w:rFonts w:ascii="Figtree" w:hAnsi="Figtree"/>
                <w:b w:val="0"/>
                <w:i w:val="0"/>
                <w:sz w:val="22"/>
              </w:rPr>
              <w:t>Maybank Project Photon: atomic cross-border settlement</w:t>
            </w:r>
          </w:p>
        </w:tc>
      </w:tr>
      <w:tr>
        <w:trPr>
          <w:trHeight w:val="454" w:hRule="atLeast"/>
        </w:trPr>
        <w:tc>
          <w:tcPr>
            <w:tcW w:type="dxa" w:w="4873"/>
            <w:vAlign w:val="center"/>
          </w:tcPr>
          <w:p>
            <w:r/>
            <w:r>
              <w:rPr>
                <w:rFonts w:ascii="Figtree" w:hAnsi="Figtree"/>
                <w:b w:val="0"/>
                <w:i w:val="0"/>
                <w:sz w:val="22"/>
              </w:rPr>
              <w:t>South Africa context</w:t>
            </w:r>
          </w:p>
        </w:tc>
        <w:tc>
          <w:tcPr>
            <w:tcW w:type="dxa" w:w="4873"/>
            <w:vAlign w:val="center"/>
          </w:tcPr>
          <w:p>
            <w:r/>
            <w:r>
              <w:rPr>
                <w:rFonts w:ascii="Figtree" w:hAnsi="Figtree"/>
                <w:b w:val="0"/>
                <w:i w:val="0"/>
                <w:sz w:val="22"/>
              </w:rPr>
              <w:t>Awareness of Project Khokha, SARB framework, FSCA requirements</w:t>
            </w:r>
          </w:p>
        </w:tc>
      </w:tr>
    </w:tbl>
    <w:p>
      <w:r>
        <w:br w:type="page"/>
      </w:r>
    </w:p>
    <w:p>
      <w:pPr>
        <w:pStyle w:val="H2"/>
        <w:numPr>
          <w:ilvl w:val="1"/>
          <w:numId w:val="1"/>
        </w:numPr>
      </w:pPr>
      <w:r>
        <w:t>About DALP</w:t>
      </w:r>
    </w:p>
    <w:p>
      <w:pPr>
        <w:pStyle w:val="H3"/>
        <w:numPr>
          <w:ilvl w:val="2"/>
          <w:numId w:val="1"/>
        </w:numPr>
      </w:pPr>
      <w:r>
        <w:t>Trade Finance Lifecycle</w:t>
      </w:r>
    </w:p>
    <w:p>
      <w:pPr>
        <w:jc w:val="center"/>
      </w:pPr>
      <w:r>
        <w:drawing>
          <wp:inline xmlns:a="http://schemas.openxmlformats.org/drawingml/2006/main" xmlns:pic="http://schemas.openxmlformats.org/drawingml/2006/picture">
            <wp:extent cx="3513472" cy="8229599"/>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3513472" cy="8229599"/>
                    </a:xfrm>
                    <a:prstGeom prst="rect"/>
                  </pic:spPr>
                </pic:pic>
              </a:graphicData>
            </a:graphic>
          </wp:inline>
        </w:drawing>
      </w:r>
    </w:p>
    <w:p>
      <w:pPr>
        <w:pStyle w:val="H3"/>
        <w:numPr>
          <w:ilvl w:val="2"/>
          <w:numId w:val="1"/>
        </w:numPr>
      </w:pPr>
      <w:r>
        <w:t>Core Capabilities for Trade Finance</w:t>
      </w:r>
    </w:p>
    <w:p>
      <w:r>
        <w:rPr>
          <w:rFonts w:ascii="Figtree" w:hAnsi="Figtree"/>
          <w:b/>
          <w:i w:val="0"/>
          <w:sz w:val="22"/>
        </w:rPr>
        <w:t>Durable Workflow Engine.</w:t>
      </w:r>
      <w:r>
        <w:rPr>
          <w:rFonts w:ascii="Figtree" w:hAnsi="Figtree"/>
          <w:b w:val="0"/>
          <w:i w:val="0"/>
          <w:sz w:val="22"/>
        </w:rPr>
        <w:t xml:space="preserve"> Multi-step trade finance workflows execute with deterministic completion guarantees. State persists to PostgreSQL — surviving restarts, network partitions, and partner outages. Configurable timeouts and escalation paths for long-running approval processes.</w:t>
      </w:r>
    </w:p>
    <w:p>
      <w:r>
        <w:rPr>
          <w:rFonts w:ascii="Figtree" w:hAnsi="Figtree"/>
          <w:b/>
          <w:i w:val="0"/>
          <w:sz w:val="22"/>
        </w:rPr>
        <w:t>Configurable Token Architecture.</w:t>
      </w:r>
      <w:r>
        <w:rPr>
          <w:rFonts w:ascii="Figtree" w:hAnsi="Figtree"/>
          <w:b w:val="0"/>
          <w:i w:val="0"/>
          <w:sz w:val="22"/>
        </w:rPr>
        <w:t xml:space="preserve"> DALPAsset supports trade finance instrument configuration: document reference metadata, milestone definitions, counterparty restrictions, holding period enforcement, and multi-party approval workflows.</w:t>
      </w:r>
    </w:p>
    <w:p>
      <w:r>
        <w:rPr>
          <w:rFonts w:ascii="Figtree" w:hAnsi="Figtree"/>
          <w:b/>
          <w:i w:val="0"/>
          <w:sz w:val="22"/>
        </w:rPr>
        <w:t>On-chain Compliance.</w:t>
      </w:r>
      <w:r>
        <w:rPr>
          <w:rFonts w:ascii="Figtree" w:hAnsi="Figtree"/>
          <w:b w:val="0"/>
          <w:i w:val="0"/>
          <w:sz w:val="22"/>
        </w:rPr>
        <w:t xml:space="preserve"> 18 compliance module types enforce transfer rules before execution. Identity verification, address allow lists (nominated counterparties), transfer approvals (maker-checker), and timelocks (holding periods) compose into instrument-specific compliance configurations.</w:t>
      </w:r>
    </w:p>
    <w:p>
      <w:r>
        <w:rPr>
          <w:rFonts w:ascii="Figtree" w:hAnsi="Figtree"/>
          <w:b/>
          <w:i w:val="0"/>
          <w:sz w:val="22"/>
        </w:rPr>
        <w:t>Atomic Settlement.</w:t>
      </w:r>
      <w:r>
        <w:rPr>
          <w:rFonts w:ascii="Figtree" w:hAnsi="Figtree"/>
          <w:b w:val="0"/>
          <w:i w:val="0"/>
          <w:sz w:val="22"/>
        </w:rPr>
        <w:t xml:space="preserve"> XvP settlement provides atomic DvP — both legs in a single transaction, zero counterparty exposure, deterministic finality (median 2.3s under IBFT 2.0).</w:t>
      </w:r>
    </w:p>
    <w:p>
      <w:r>
        <w:br w:type="page"/>
      </w:r>
    </w:p>
    <w:p>
      <w:pPr>
        <w:pStyle w:val="H2"/>
        <w:numPr>
          <w:ilvl w:val="1"/>
          <w:numId w:val="1"/>
        </w:numPr>
      </w:pPr>
      <w:r>
        <w:t>Customer References</w:t>
      </w:r>
    </w:p>
    <w:p>
      <w:pPr>
        <w:pStyle w:val="H3"/>
        <w:numPr>
          <w:ilvl w:val="2"/>
          <w:numId w:val="1"/>
        </w:numPr>
      </w:pPr>
      <w:r>
        <w:t>Trade Finance References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Client</w:t>
            </w:r>
          </w:p>
        </w:tc>
        <w:tc>
          <w:tcPr>
            <w:tcW w:type="dxa" w:w="3249"/>
            <w:vAlign w:val="center"/>
            <w:shd w:fill="000099" w:val="clear"/>
          </w:tcPr>
          <w:p>
            <w:r>
              <w:rPr>
                <w:b/>
                <w:color w:val="FFFFFF"/>
              </w:rPr>
            </w:r>
            <w:r>
              <w:rPr>
                <w:rFonts w:ascii="Figtree" w:hAnsi="Figtree"/>
                <w:b/>
                <w:i w:val="0"/>
                <w:color w:val="FFFFFF"/>
                <w:sz w:val="22"/>
              </w:rPr>
              <w:t>Relevance</w:t>
            </w:r>
          </w:p>
        </w:tc>
        <w:tc>
          <w:tcPr>
            <w:tcW w:type="dxa" w:w="3249"/>
            <w:vAlign w:val="center"/>
            <w:shd w:fill="000099" w:val="clear"/>
          </w:tcPr>
          <w:p>
            <w:r>
              <w:rPr>
                <w:b/>
                <w:color w:val="FFFFFF"/>
              </w:rPr>
            </w:r>
            <w:r>
              <w:rPr>
                <w:rFonts w:ascii="Figtree" w:hAnsi="Figtree"/>
                <w:b/>
                <w:i w:val="0"/>
                <w:color w:val="FFFFFF"/>
                <w:sz w:val="22"/>
              </w:rPr>
              <w:t>Geography</w:t>
            </w:r>
          </w:p>
        </w:tc>
      </w:tr>
      <w:tr>
        <w:trPr>
          <w:trHeight w:val="454" w:hRule="atLeast"/>
        </w:trPr>
        <w:tc>
          <w:tcPr>
            <w:tcW w:type="dxa" w:w="3249"/>
            <w:vAlign w:val="center"/>
          </w:tcPr>
          <w:p>
            <w:r/>
            <w:r>
              <w:rPr>
                <w:rFonts w:ascii="Figtree" w:hAnsi="Figtree"/>
                <w:b w:val="0"/>
                <w:i w:val="0"/>
                <w:sz w:val="22"/>
              </w:rPr>
              <w:t>RBI Innovation Hub</w:t>
            </w:r>
          </w:p>
        </w:tc>
        <w:tc>
          <w:tcPr>
            <w:tcW w:type="dxa" w:w="3249"/>
            <w:vAlign w:val="center"/>
          </w:tcPr>
          <w:p>
            <w:r/>
            <w:r>
              <w:rPr>
                <w:rFonts w:ascii="Figtree" w:hAnsi="Figtree"/>
                <w:b w:val="0"/>
                <w:i w:val="0"/>
                <w:sz w:val="22"/>
              </w:rPr>
              <w:t>Multi-bank LC processing</w:t>
            </w:r>
          </w:p>
        </w:tc>
        <w:tc>
          <w:tcPr>
            <w:tcW w:type="dxa" w:w="3249"/>
            <w:vAlign w:val="center"/>
          </w:tcPr>
          <w:p>
            <w:r/>
            <w:r>
              <w:rPr>
                <w:rFonts w:ascii="Figtree" w:hAnsi="Figtree"/>
                <w:b w:val="0"/>
                <w:i w:val="0"/>
                <w:sz w:val="22"/>
              </w:rPr>
              <w:t>India</w:t>
            </w:r>
          </w:p>
        </w:tc>
      </w:tr>
      <w:tr>
        <w:trPr>
          <w:trHeight w:val="454" w:hRule="atLeast"/>
        </w:trPr>
        <w:tc>
          <w:tcPr>
            <w:tcW w:type="dxa" w:w="3249"/>
            <w:vAlign w:val="center"/>
          </w:tcPr>
          <w:p>
            <w:r/>
            <w:r>
              <w:rPr>
                <w:rFonts w:ascii="Figtree" w:hAnsi="Figtree"/>
                <w:b w:val="0"/>
                <w:i w:val="0"/>
                <w:sz w:val="22"/>
              </w:rPr>
              <w:t>Standard Chartered</w:t>
            </w:r>
          </w:p>
        </w:tc>
        <w:tc>
          <w:tcPr>
            <w:tcW w:type="dxa" w:w="3249"/>
            <w:vAlign w:val="center"/>
          </w:tcPr>
          <w:p>
            <w:r/>
            <w:r>
              <w:rPr>
                <w:rFonts w:ascii="Figtree" w:hAnsi="Figtree"/>
                <w:b w:val="0"/>
                <w:i w:val="0"/>
                <w:sz w:val="22"/>
              </w:rPr>
              <w:t>Institutional trading, Africa exposure</w:t>
            </w:r>
          </w:p>
        </w:tc>
        <w:tc>
          <w:tcPr>
            <w:tcW w:type="dxa" w:w="3249"/>
            <w:vAlign w:val="center"/>
          </w:tcPr>
          <w:p>
            <w:r/>
            <w:r>
              <w:rPr>
                <w:rFonts w:ascii="Figtree" w:hAnsi="Figtree"/>
                <w:b w:val="0"/>
                <w:i w:val="0"/>
                <w:sz w:val="22"/>
              </w:rPr>
              <w:t>Asia, Africa, ME</w:t>
            </w:r>
          </w:p>
        </w:tc>
      </w:tr>
      <w:tr>
        <w:trPr>
          <w:trHeight w:val="454" w:hRule="atLeast"/>
        </w:trPr>
        <w:tc>
          <w:tcPr>
            <w:tcW w:type="dxa" w:w="3249"/>
            <w:vAlign w:val="center"/>
          </w:tcPr>
          <w:p>
            <w:r/>
            <w:r>
              <w:rPr>
                <w:rFonts w:ascii="Figtree" w:hAnsi="Figtree"/>
                <w:b w:val="0"/>
                <w:i w:val="0"/>
                <w:sz w:val="22"/>
              </w:rPr>
              <w:t>Commerzbank</w:t>
            </w:r>
          </w:p>
        </w:tc>
        <w:tc>
          <w:tcPr>
            <w:tcW w:type="dxa" w:w="3249"/>
            <w:vAlign w:val="center"/>
          </w:tcPr>
          <w:p>
            <w:r/>
            <w:r>
              <w:rPr>
                <w:rFonts w:ascii="Figtree" w:hAnsi="Figtree"/>
                <w:b w:val="0"/>
                <w:i w:val="0"/>
                <w:sz w:val="22"/>
              </w:rPr>
              <w:t>Regulated settlement, EUR 7M/year savings</w:t>
            </w:r>
          </w:p>
        </w:tc>
        <w:tc>
          <w:tcPr>
            <w:tcW w:type="dxa" w:w="3249"/>
            <w:vAlign w:val="center"/>
          </w:tcPr>
          <w:p>
            <w:r/>
            <w:r>
              <w:rPr>
                <w:rFonts w:ascii="Figtree" w:hAnsi="Figtree"/>
                <w:b w:val="0"/>
                <w:i w:val="0"/>
                <w:sz w:val="22"/>
              </w:rPr>
              <w:t>Germany</w:t>
            </w:r>
          </w:p>
        </w:tc>
      </w:tr>
      <w:tr>
        <w:trPr>
          <w:trHeight w:val="454" w:hRule="atLeast"/>
        </w:trPr>
        <w:tc>
          <w:tcPr>
            <w:tcW w:type="dxa" w:w="3249"/>
            <w:vAlign w:val="center"/>
          </w:tcPr>
          <w:p>
            <w:r/>
            <w:r>
              <w:rPr>
                <w:rFonts w:ascii="Figtree" w:hAnsi="Figtree"/>
                <w:b w:val="0"/>
                <w:i w:val="0"/>
                <w:sz w:val="22"/>
              </w:rPr>
              <w:t>IsDB</w:t>
            </w:r>
          </w:p>
        </w:tc>
        <w:tc>
          <w:tcPr>
            <w:tcW w:type="dxa" w:w="3249"/>
            <w:vAlign w:val="center"/>
          </w:tcPr>
          <w:p>
            <w:r/>
            <w:r>
              <w:rPr>
                <w:rFonts w:ascii="Figtree" w:hAnsi="Figtree"/>
                <w:b w:val="0"/>
                <w:i w:val="0"/>
                <w:sz w:val="22"/>
              </w:rPr>
              <w:t>Multi-country distribution (57 nations)</w:t>
            </w:r>
          </w:p>
        </w:tc>
        <w:tc>
          <w:tcPr>
            <w:tcW w:type="dxa" w:w="3249"/>
            <w:vAlign w:val="center"/>
          </w:tcPr>
          <w:p>
            <w:r/>
            <w:r>
              <w:rPr>
                <w:rFonts w:ascii="Figtree" w:hAnsi="Figtree"/>
                <w:b w:val="0"/>
                <w:i w:val="0"/>
                <w:sz w:val="22"/>
              </w:rPr>
              <w:t>Global</w:t>
            </w:r>
          </w:p>
        </w:tc>
      </w:tr>
      <w:tr>
        <w:trPr>
          <w:trHeight w:val="454" w:hRule="atLeast"/>
        </w:trPr>
        <w:tc>
          <w:tcPr>
            <w:tcW w:type="dxa" w:w="3249"/>
            <w:vAlign w:val="center"/>
          </w:tcPr>
          <w:p>
            <w:r/>
            <w:r>
              <w:rPr>
                <w:rFonts w:ascii="Figtree" w:hAnsi="Figtree"/>
                <w:b w:val="0"/>
                <w:i w:val="0"/>
                <w:sz w:val="22"/>
              </w:rPr>
              <w:t>Maybank Photon</w:t>
            </w:r>
          </w:p>
        </w:tc>
        <w:tc>
          <w:tcPr>
            <w:tcW w:type="dxa" w:w="3249"/>
            <w:vAlign w:val="center"/>
          </w:tcPr>
          <w:p>
            <w:r/>
            <w:r>
              <w:rPr>
                <w:rFonts w:ascii="Figtree" w:hAnsi="Figtree"/>
                <w:b w:val="0"/>
                <w:i w:val="0"/>
                <w:sz w:val="22"/>
              </w:rPr>
              <w:t>Cross-border atomic settlement</w:t>
            </w:r>
          </w:p>
        </w:tc>
        <w:tc>
          <w:tcPr>
            <w:tcW w:type="dxa" w:w="3249"/>
            <w:vAlign w:val="center"/>
          </w:tcPr>
          <w:p>
            <w:r/>
            <w:r>
              <w:rPr>
                <w:rFonts w:ascii="Figtree" w:hAnsi="Figtree"/>
                <w:b w:val="0"/>
                <w:i w:val="0"/>
                <w:sz w:val="22"/>
              </w:rPr>
              <w:t>Malaysia</w:t>
            </w:r>
          </w:p>
        </w:tc>
      </w:tr>
    </w:tbl>
    <w:p>
      <w:pPr>
        <w:pStyle w:val="H3"/>
        <w:numPr>
          <w:ilvl w:val="2"/>
          <w:numId w:val="1"/>
        </w:numPr>
      </w:pPr>
      <w:r>
        <w:t>Expanded: RBI Innovation Hub — Trade Finance</w:t>
      </w:r>
    </w:p>
    <w:p>
      <w:r>
        <w:rPr>
          <w:rFonts w:ascii="Figtree" w:hAnsi="Figtree"/>
          <w:b/>
          <w:i w:val="0"/>
          <w:sz w:val="22"/>
        </w:rPr>
        <w:t>Context.</w:t>
      </w:r>
      <w:r>
        <w:rPr>
          <w:rFonts w:ascii="Figtree" w:hAnsi="Figtree"/>
          <w:b w:val="0"/>
          <w:i w:val="0"/>
          <w:sz w:val="22"/>
        </w:rPr>
        <w:t xml:space="preserve"> The RBI Innovation Hub required multi-bank, multi-node, multi-cloud blockchain for fraud-proof trade finance — specifically letters of credit processing across multiple banks.</w:t>
      </w:r>
    </w:p>
    <w:p>
      <w:r>
        <w:rPr>
          <w:rFonts w:ascii="Figtree" w:hAnsi="Figtree"/>
          <w:b/>
          <w:i w:val="0"/>
          <w:sz w:val="22"/>
        </w:rPr>
        <w:t>Solution.</w:t>
      </w:r>
      <w:r>
        <w:rPr>
          <w:rFonts w:ascii="Figtree" w:hAnsi="Figtree"/>
          <w:b w:val="0"/>
          <w:i w:val="0"/>
          <w:sz w:val="22"/>
        </w:rPr>
        <w:t xml:space="preserve"> DALP powers blockchain and trade finance workflow: document verification, milestone tracking, multi-party approvals, settlement across banks. Multi-cloud deployment for resilience.</w:t>
      </w:r>
    </w:p>
    <w:p>
      <w:r>
        <w:rPr>
          <w:rFonts w:ascii="Figtree" w:hAnsi="Figtree"/>
          <w:b/>
          <w:i w:val="0"/>
          <w:sz w:val="22"/>
        </w:rPr>
        <w:t>Outcomes.</w:t>
      </w:r>
      <w:r>
        <w:rPr>
          <w:rFonts w:ascii="Figtree" w:hAnsi="Figtree"/>
          <w:b w:val="0"/>
          <w:i w:val="0"/>
          <w:sz w:val="22"/>
        </w:rPr>
        <w:t xml:space="preserve"> Fraud-proof LC workflows operational. Multi-bank participation. Multi-cloud resilience demonstrated.</w:t>
      </w:r>
    </w:p>
    <w:p>
      <w:r>
        <w:rPr>
          <w:rFonts w:ascii="Figtree" w:hAnsi="Figtree"/>
          <w:b/>
          <w:i w:val="0"/>
          <w:sz w:val="22"/>
        </w:rPr>
        <w:t>Transferability.</w:t>
      </w:r>
      <w:r>
        <w:rPr>
          <w:rFonts w:ascii="Figtree" w:hAnsi="Figtree"/>
          <w:b w:val="0"/>
          <w:i w:val="0"/>
          <w:sz w:val="22"/>
        </w:rPr>
        <w:t xml:space="preserve"> Directly maps to Absa's requirements: multi-party trade workflows, document-linked operations, counterparty verification, milestone-based settlement.</w:t>
      </w:r>
    </w:p>
    <w:p>
      <w:r>
        <w:br w:type="page"/>
      </w:r>
    </w:p>
    <w:p>
      <w:pPr>
        <w:pStyle w:val="H2"/>
        <w:numPr>
          <w:ilvl w:val="1"/>
          <w:numId w:val="1"/>
        </w:numPr>
      </w:pPr>
      <w:r>
        <w:t>Proposed Solution</w:t>
      </w:r>
    </w:p>
    <w:p>
      <w:pPr>
        <w:pStyle w:val="H3"/>
        <w:numPr>
          <w:ilvl w:val="2"/>
          <w:numId w:val="1"/>
        </w:numPr>
      </w:pPr>
      <w:r>
        <w:t>Solution Overview</w:t>
      </w:r>
    </w:p>
    <w:p>
      <w:r>
        <w:rPr>
          <w:rFonts w:ascii="Figtree" w:hAnsi="Figtree"/>
          <w:b w:val="0"/>
          <w:i w:val="0"/>
          <w:sz w:val="22"/>
        </w:rPr>
        <w:t>DALP deploys as Absa's trade finance digitization platform covering:</w:t>
      </w:r>
    </w:p>
    <w:p>
      <w:pPr>
        <w:pStyle w:val="ListParagraph"/>
        <w:numPr>
          <w:ilvl w:val="0"/>
          <w:numId w:val="6"/>
        </w:numPr>
      </w:pPr>
      <w:r>
        <w:rPr>
          <w:rFonts w:ascii="Figtree" w:hAnsi="Figtree"/>
          <w:b/>
          <w:i w:val="0"/>
          <w:sz w:val="22"/>
        </w:rPr>
        <w:t>Receivable Tokenization:</w:t>
      </w:r>
      <w:r>
        <w:rPr>
          <w:rFonts w:ascii="Figtree" w:hAnsi="Figtree"/>
          <w:b w:val="0"/>
          <w:i w:val="0"/>
          <w:sz w:val="22"/>
        </w:rPr>
        <w:t xml:space="preserve"> Trade receivables represented as on-chain tokens with document metadata, counterparty identity, and compliance rules</w:t>
      </w:r>
    </w:p>
    <w:p>
      <w:pPr>
        <w:pStyle w:val="ListParagraph"/>
        <w:numPr>
          <w:ilvl w:val="0"/>
          <w:numId w:val="6"/>
        </w:numPr>
      </w:pPr>
      <w:r>
        <w:rPr>
          <w:rFonts w:ascii="Figtree" w:hAnsi="Figtree"/>
          <w:b/>
          <w:i w:val="0"/>
          <w:sz w:val="22"/>
        </w:rPr>
        <w:t>Workflow Orchestration:</w:t>
      </w:r>
      <w:r>
        <w:rPr>
          <w:rFonts w:ascii="Figtree" w:hAnsi="Figtree"/>
          <w:b w:val="0"/>
          <w:i w:val="0"/>
          <w:sz w:val="22"/>
        </w:rPr>
        <w:t xml:space="preserve"> Multi-step trade finance workflows with durable execution, milestone tracking, and audit evidence</w:t>
      </w:r>
    </w:p>
    <w:p>
      <w:pPr>
        <w:pStyle w:val="ListParagraph"/>
        <w:numPr>
          <w:ilvl w:val="0"/>
          <w:numId w:val="6"/>
        </w:numPr>
      </w:pPr>
      <w:r>
        <w:rPr>
          <w:rFonts w:ascii="Figtree" w:hAnsi="Figtree"/>
          <w:b/>
          <w:i w:val="0"/>
          <w:sz w:val="22"/>
        </w:rPr>
        <w:t>Settlement:</w:t>
      </w:r>
      <w:r>
        <w:rPr>
          <w:rFonts w:ascii="Figtree" w:hAnsi="Figtree"/>
          <w:b w:val="0"/>
          <w:i w:val="0"/>
          <w:sz w:val="22"/>
        </w:rPr>
        <w:t xml:space="preserve"> Atomic DvP for receivable transfers (sale, discount, pledge) and maturity settlement</w:t>
      </w:r>
    </w:p>
    <w:p>
      <w:pPr>
        <w:pStyle w:val="H3"/>
        <w:numPr>
          <w:ilvl w:val="2"/>
          <w:numId w:val="1"/>
        </w:numPr>
      </w:pPr>
      <w:r>
        <w:t>Receivable Token Configuration</w:t>
      </w:r>
    </w:p>
    <w:p>
      <w:r>
        <w:rPr>
          <w:rFonts w:ascii="Figtree" w:hAnsi="Figtree"/>
          <w:b/>
          <w:i w:val="0"/>
          <w:sz w:val="22"/>
        </w:rPr>
        <w:t>Features:</w:t>
      </w:r>
    </w:p>
    <w:p>
      <w:pPr>
        <w:pStyle w:val="ListParagraph"/>
        <w:numPr>
          <w:ilvl w:val="0"/>
          <w:numId w:val="7"/>
        </w:numPr>
      </w:pPr>
      <w:r>
        <w:rPr>
          <w:rFonts w:ascii="Figtree" w:hAnsi="Figtree"/>
          <w:b w:val="0"/>
          <w:i w:val="0"/>
          <w:sz w:val="22"/>
        </w:rPr>
        <w:t>Historical balances — trade history and audit</w:t>
      </w:r>
    </w:p>
    <w:p>
      <w:pPr>
        <w:pStyle w:val="ListParagraph"/>
        <w:numPr>
          <w:ilvl w:val="0"/>
          <w:numId w:val="7"/>
        </w:numPr>
      </w:pPr>
      <w:r>
        <w:rPr>
          <w:rFonts w:ascii="Figtree" w:hAnsi="Figtree"/>
          <w:b w:val="0"/>
          <w:i w:val="0"/>
          <w:sz w:val="22"/>
        </w:rPr>
        <w:t>Timelock — holding period enforcement</w:t>
      </w:r>
    </w:p>
    <w:p>
      <w:r>
        <w:rPr>
          <w:rFonts w:ascii="Figtree" w:hAnsi="Figtree"/>
          <w:b/>
          <w:i w:val="0"/>
          <w:sz w:val="22"/>
        </w:rPr>
        <w:t>Compliance modules:</w:t>
      </w:r>
    </w:p>
    <w:p>
      <w:pPr>
        <w:pStyle w:val="ListParagraph"/>
        <w:numPr>
          <w:ilvl w:val="0"/>
          <w:numId w:val="8"/>
        </w:numPr>
      </w:pPr>
      <w:r>
        <w:rPr>
          <w:rFonts w:ascii="Figtree" w:hAnsi="Figtree"/>
          <w:b w:val="0"/>
          <w:i w:val="0"/>
          <w:sz w:val="22"/>
        </w:rPr>
        <w:t>Identity verification — counterparty identity required</w:t>
      </w:r>
    </w:p>
    <w:p>
      <w:pPr>
        <w:pStyle w:val="ListParagraph"/>
        <w:numPr>
          <w:ilvl w:val="0"/>
          <w:numId w:val="8"/>
        </w:numPr>
      </w:pPr>
      <w:r>
        <w:rPr>
          <w:rFonts w:ascii="Figtree" w:hAnsi="Figtree"/>
          <w:b w:val="0"/>
          <w:i w:val="0"/>
          <w:sz w:val="22"/>
        </w:rPr>
        <w:t>Address allow list — nominated counterparties only</w:t>
      </w:r>
    </w:p>
    <w:p>
      <w:pPr>
        <w:pStyle w:val="ListParagraph"/>
        <w:numPr>
          <w:ilvl w:val="0"/>
          <w:numId w:val="8"/>
        </w:numPr>
      </w:pPr>
      <w:r>
        <w:rPr>
          <w:rFonts w:ascii="Figtree" w:hAnsi="Figtree"/>
          <w:b w:val="0"/>
          <w:i w:val="0"/>
          <w:sz w:val="22"/>
        </w:rPr>
        <w:t>Transfer approval — multi-party with configurable expiry</w:t>
      </w:r>
    </w:p>
    <w:p>
      <w:pPr>
        <w:pStyle w:val="ListParagraph"/>
        <w:numPr>
          <w:ilvl w:val="0"/>
          <w:numId w:val="8"/>
        </w:numPr>
      </w:pPr>
      <w:r>
        <w:rPr>
          <w:rFonts w:ascii="Figtree" w:hAnsi="Figtree"/>
          <w:b w:val="0"/>
          <w:i w:val="0"/>
          <w:sz w:val="22"/>
        </w:rPr>
        <w:t>Timelock — minimum holding period (FIFO tracking)</w:t>
      </w:r>
    </w:p>
    <w:p>
      <w:pPr>
        <w:pStyle w:val="H3"/>
        <w:numPr>
          <w:ilvl w:val="2"/>
          <w:numId w:val="1"/>
        </w:numPr>
      </w:pPr>
      <w:r>
        <w:t>Trade Finance Workflow</w:t>
      </w:r>
    </w:p>
    <w:p>
      <w:pPr>
        <w:jc w:val="center"/>
      </w:pPr>
      <w:r>
        <w:drawing>
          <wp:inline xmlns:a="http://schemas.openxmlformats.org/drawingml/2006/main" xmlns:pic="http://schemas.openxmlformats.org/drawingml/2006/picture">
            <wp:extent cx="5486400" cy="4597659"/>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4597659"/>
                    </a:xfrm>
                    <a:prstGeom prst="rect"/>
                  </pic:spPr>
                </pic:pic>
              </a:graphicData>
            </a:graphic>
          </wp:inline>
        </w:drawing>
      </w:r>
    </w:p>
    <w:p>
      <w:pPr>
        <w:pStyle w:val="H3"/>
        <w:numPr>
          <w:ilvl w:val="2"/>
          <w:numId w:val="1"/>
        </w:numPr>
      </w:pPr>
      <w:r>
        <w:t>Functional Fit Matrix</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Req</w:t>
            </w:r>
          </w:p>
        </w:tc>
        <w:tc>
          <w:tcPr>
            <w:tcW w:type="dxa" w:w="2436"/>
            <w:vAlign w:val="center"/>
            <w:shd w:fill="000099" w:val="clear"/>
          </w:tcPr>
          <w:p>
            <w:r>
              <w:rPr>
                <w:b/>
                <w:color w:val="FFFFFF"/>
              </w:rPr>
            </w:r>
            <w:r>
              <w:rPr>
                <w:rFonts w:ascii="Figtree" w:hAnsi="Figtree"/>
                <w:b/>
                <w:i w:val="0"/>
                <w:color w:val="FFFFFF"/>
                <w:sz w:val="22"/>
              </w:rPr>
              <w:t>Summary</w:t>
            </w:r>
          </w:p>
        </w:tc>
        <w:tc>
          <w:tcPr>
            <w:tcW w:type="dxa" w:w="2436"/>
            <w:vAlign w:val="center"/>
            <w:shd w:fill="000099" w:val="clear"/>
          </w:tcPr>
          <w:p>
            <w:r>
              <w:rPr>
                <w:b/>
                <w:color w:val="FFFFFF"/>
              </w:rPr>
            </w:r>
            <w:r>
              <w:rPr>
                <w:rFonts w:ascii="Figtree" w:hAnsi="Figtree"/>
                <w:b/>
                <w:i w:val="0"/>
                <w:color w:val="FFFFFF"/>
                <w:sz w:val="22"/>
              </w:rPr>
              <w:t>Status</w:t>
            </w:r>
          </w:p>
        </w:tc>
        <w:tc>
          <w:tcPr>
            <w:tcW w:type="dxa" w:w="2436"/>
            <w:vAlign w:val="center"/>
            <w:shd w:fill="000099" w:val="clear"/>
          </w:tcPr>
          <w:p>
            <w:r>
              <w:rPr>
                <w:b/>
                <w:color w:val="FFFFFF"/>
              </w:rPr>
            </w:r>
            <w:r>
              <w:rPr>
                <w:rFonts w:ascii="Figtree" w:hAnsi="Figtree"/>
                <w:b/>
                <w:i w:val="0"/>
                <w:color w:val="FFFFFF"/>
                <w:sz w:val="22"/>
              </w:rPr>
              <w:t>Response</w:t>
            </w:r>
          </w:p>
        </w:tc>
      </w:tr>
      <w:tr>
        <w:trPr>
          <w:trHeight w:val="454" w:hRule="atLeast"/>
        </w:trPr>
        <w:tc>
          <w:tcPr>
            <w:tcW w:type="dxa" w:w="2436"/>
            <w:vAlign w:val="center"/>
          </w:tcPr>
          <w:p>
            <w:r/>
            <w:r>
              <w:rPr>
                <w:rFonts w:ascii="Figtree" w:hAnsi="Figtree"/>
                <w:b w:val="0"/>
                <w:i w:val="0"/>
                <w:sz w:val="22"/>
              </w:rPr>
              <w:t>REQ-01</w:t>
            </w:r>
          </w:p>
        </w:tc>
        <w:tc>
          <w:tcPr>
            <w:tcW w:type="dxa" w:w="2436"/>
            <w:vAlign w:val="center"/>
          </w:tcPr>
          <w:p>
            <w:r/>
            <w:r>
              <w:rPr>
                <w:rFonts w:ascii="Figtree" w:hAnsi="Figtree"/>
                <w:b w:val="0"/>
                <w:i w:val="0"/>
                <w:sz w:val="22"/>
              </w:rPr>
              <w:t>Segregated environments</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Independent instances</w:t>
            </w:r>
          </w:p>
        </w:tc>
      </w:tr>
      <w:tr>
        <w:trPr>
          <w:trHeight w:val="454" w:hRule="atLeast"/>
        </w:trPr>
        <w:tc>
          <w:tcPr>
            <w:tcW w:type="dxa" w:w="2436"/>
            <w:vAlign w:val="center"/>
          </w:tcPr>
          <w:p>
            <w:r/>
            <w:r>
              <w:rPr>
                <w:rFonts w:ascii="Figtree" w:hAnsi="Figtree"/>
                <w:b w:val="0"/>
                <w:i w:val="0"/>
                <w:sz w:val="22"/>
              </w:rPr>
              <w:t>REQ-02</w:t>
            </w:r>
          </w:p>
        </w:tc>
        <w:tc>
          <w:tcPr>
            <w:tcW w:type="dxa" w:w="2436"/>
            <w:vAlign w:val="center"/>
          </w:tcPr>
          <w:p>
            <w:r/>
            <w:r>
              <w:rPr>
                <w:rFonts w:ascii="Figtree" w:hAnsi="Figtree"/>
                <w:b w:val="0"/>
                <w:i w:val="0"/>
                <w:sz w:val="22"/>
              </w:rPr>
              <w:t>API-first interfaces</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DAPI, SDK, CLI, webhooks</w:t>
            </w:r>
          </w:p>
        </w:tc>
      </w:tr>
      <w:tr>
        <w:trPr>
          <w:trHeight w:val="454" w:hRule="atLeast"/>
        </w:trPr>
        <w:tc>
          <w:tcPr>
            <w:tcW w:type="dxa" w:w="2436"/>
            <w:vAlign w:val="center"/>
          </w:tcPr>
          <w:p>
            <w:r/>
            <w:r>
              <w:rPr>
                <w:rFonts w:ascii="Figtree" w:hAnsi="Figtree"/>
                <w:b w:val="0"/>
                <w:i w:val="0"/>
                <w:sz w:val="22"/>
              </w:rPr>
              <w:t>REQ-03</w:t>
            </w:r>
          </w:p>
        </w:tc>
        <w:tc>
          <w:tcPr>
            <w:tcW w:type="dxa" w:w="2436"/>
            <w:vAlign w:val="center"/>
          </w:tcPr>
          <w:p>
            <w:r/>
            <w:r>
              <w:rPr>
                <w:rFonts w:ascii="Figtree" w:hAnsi="Figtree"/>
                <w:b w:val="0"/>
                <w:i w:val="0"/>
                <w:sz w:val="22"/>
              </w:rPr>
              <w:t>RBAC, maker-checker</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26 roles, wallet verification</w:t>
            </w:r>
          </w:p>
        </w:tc>
      </w:tr>
      <w:tr>
        <w:trPr>
          <w:trHeight w:val="454" w:hRule="atLeast"/>
        </w:trPr>
        <w:tc>
          <w:tcPr>
            <w:tcW w:type="dxa" w:w="2436"/>
            <w:vAlign w:val="center"/>
          </w:tcPr>
          <w:p>
            <w:r/>
            <w:r>
              <w:rPr>
                <w:rFonts w:ascii="Figtree" w:hAnsi="Figtree"/>
                <w:b w:val="0"/>
                <w:i w:val="0"/>
                <w:sz w:val="22"/>
              </w:rPr>
              <w:t>REQ-04</w:t>
            </w:r>
          </w:p>
        </w:tc>
        <w:tc>
          <w:tcPr>
            <w:tcW w:type="dxa" w:w="2436"/>
            <w:vAlign w:val="center"/>
          </w:tcPr>
          <w:p>
            <w:r/>
            <w:r>
              <w:rPr>
                <w:rFonts w:ascii="Figtree" w:hAnsi="Figtree"/>
                <w:b w:val="0"/>
                <w:i w:val="0"/>
                <w:sz w:val="22"/>
              </w:rPr>
              <w:t>Configurable lifecycle</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DALPAsset runtime config</w:t>
            </w:r>
          </w:p>
        </w:tc>
      </w:tr>
      <w:tr>
        <w:trPr>
          <w:trHeight w:val="454" w:hRule="atLeast"/>
        </w:trPr>
        <w:tc>
          <w:tcPr>
            <w:tcW w:type="dxa" w:w="2436"/>
            <w:vAlign w:val="center"/>
          </w:tcPr>
          <w:p>
            <w:r/>
            <w:r>
              <w:rPr>
                <w:rFonts w:ascii="Figtree" w:hAnsi="Figtree"/>
                <w:b w:val="0"/>
                <w:i w:val="0"/>
                <w:sz w:val="22"/>
              </w:rPr>
              <w:t>REQ-05</w:t>
            </w:r>
          </w:p>
        </w:tc>
        <w:tc>
          <w:tcPr>
            <w:tcW w:type="dxa" w:w="2436"/>
            <w:vAlign w:val="center"/>
          </w:tcPr>
          <w:p>
            <w:r/>
            <w:r>
              <w:rPr>
                <w:rFonts w:ascii="Figtree" w:hAnsi="Figtree"/>
                <w:b w:val="0"/>
                <w:i w:val="0"/>
                <w:sz w:val="22"/>
              </w:rPr>
              <w:t>Dependency disclosure</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Register provided</w:t>
            </w:r>
          </w:p>
        </w:tc>
      </w:tr>
      <w:tr>
        <w:trPr>
          <w:trHeight w:val="454" w:hRule="atLeast"/>
        </w:trPr>
        <w:tc>
          <w:tcPr>
            <w:tcW w:type="dxa" w:w="2436"/>
            <w:vAlign w:val="center"/>
          </w:tcPr>
          <w:p>
            <w:r/>
            <w:r>
              <w:rPr>
                <w:rFonts w:ascii="Figtree" w:hAnsi="Figtree"/>
                <w:b w:val="0"/>
                <w:i w:val="0"/>
                <w:sz w:val="22"/>
              </w:rPr>
              <w:t>REQ-06</w:t>
            </w:r>
          </w:p>
        </w:tc>
        <w:tc>
          <w:tcPr>
            <w:tcW w:type="dxa" w:w="2436"/>
            <w:vAlign w:val="center"/>
          </w:tcPr>
          <w:p>
            <w:r/>
            <w:r>
              <w:rPr>
                <w:rFonts w:ascii="Figtree" w:hAnsi="Figtree"/>
                <w:b w:val="0"/>
                <w:i w:val="0"/>
                <w:sz w:val="22"/>
              </w:rPr>
              <w:t>Resilience, monitoring</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Multi-AZ, Grafana</w:t>
            </w:r>
          </w:p>
        </w:tc>
      </w:tr>
      <w:tr>
        <w:trPr>
          <w:trHeight w:val="454" w:hRule="atLeast"/>
        </w:trPr>
        <w:tc>
          <w:tcPr>
            <w:tcW w:type="dxa" w:w="2436"/>
            <w:vAlign w:val="center"/>
          </w:tcPr>
          <w:p>
            <w:r/>
            <w:r>
              <w:rPr>
                <w:rFonts w:ascii="Figtree" w:hAnsi="Figtree"/>
                <w:b w:val="0"/>
                <w:i w:val="0"/>
                <w:sz w:val="22"/>
              </w:rPr>
              <w:t>REQ-07</w:t>
            </w:r>
          </w:p>
        </w:tc>
        <w:tc>
          <w:tcPr>
            <w:tcW w:type="dxa" w:w="2436"/>
            <w:vAlign w:val="center"/>
          </w:tcPr>
          <w:p>
            <w:r/>
            <w:r>
              <w:rPr>
                <w:rFonts w:ascii="Figtree" w:hAnsi="Figtree"/>
                <w:b w:val="0"/>
                <w:i w:val="0"/>
                <w:sz w:val="22"/>
              </w:rPr>
              <w:t>Phased implementation</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19-week methodology</w:t>
            </w:r>
          </w:p>
        </w:tc>
      </w:tr>
      <w:tr>
        <w:trPr>
          <w:trHeight w:val="454" w:hRule="atLeast"/>
        </w:trPr>
        <w:tc>
          <w:tcPr>
            <w:tcW w:type="dxa" w:w="2436"/>
            <w:vAlign w:val="center"/>
          </w:tcPr>
          <w:p>
            <w:r/>
            <w:r>
              <w:rPr>
                <w:rFonts w:ascii="Figtree" w:hAnsi="Figtree"/>
                <w:b w:val="0"/>
                <w:i w:val="0"/>
                <w:sz w:val="22"/>
              </w:rPr>
              <w:t>REQ-08</w:t>
            </w:r>
          </w:p>
        </w:tc>
        <w:tc>
          <w:tcPr>
            <w:tcW w:type="dxa" w:w="2436"/>
            <w:vAlign w:val="center"/>
          </w:tcPr>
          <w:p>
            <w:r/>
            <w:r>
              <w:rPr>
                <w:rFonts w:ascii="Figtree" w:hAnsi="Figtree"/>
                <w:b w:val="0"/>
                <w:i w:val="0"/>
                <w:sz w:val="22"/>
              </w:rPr>
              <w:t>Audit evidence</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On-chain + off-chain</w:t>
            </w:r>
          </w:p>
        </w:tc>
      </w:tr>
      <w:tr>
        <w:trPr>
          <w:trHeight w:val="454" w:hRule="atLeast"/>
        </w:trPr>
        <w:tc>
          <w:tcPr>
            <w:tcW w:type="dxa" w:w="2436"/>
            <w:vAlign w:val="center"/>
          </w:tcPr>
          <w:p>
            <w:r/>
            <w:r>
              <w:rPr>
                <w:rFonts w:ascii="Figtree" w:hAnsi="Figtree"/>
                <w:b w:val="0"/>
                <w:i w:val="0"/>
                <w:sz w:val="22"/>
              </w:rPr>
              <w:t>REQ-09</w:t>
            </w:r>
          </w:p>
        </w:tc>
        <w:tc>
          <w:tcPr>
            <w:tcW w:type="dxa" w:w="2436"/>
            <w:vAlign w:val="center"/>
          </w:tcPr>
          <w:p>
            <w:r/>
            <w:r>
              <w:rPr>
                <w:rFonts w:ascii="Figtree" w:hAnsi="Figtree"/>
                <w:b w:val="0"/>
                <w:i w:val="0"/>
                <w:sz w:val="22"/>
              </w:rPr>
              <w:t>Document-linked workflows</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Durable engine + metadata</w:t>
            </w:r>
          </w:p>
        </w:tc>
      </w:tr>
      <w:tr>
        <w:trPr>
          <w:trHeight w:val="454" w:hRule="atLeast"/>
        </w:trPr>
        <w:tc>
          <w:tcPr>
            <w:tcW w:type="dxa" w:w="2436"/>
            <w:vAlign w:val="center"/>
          </w:tcPr>
          <w:p>
            <w:r/>
            <w:r>
              <w:rPr>
                <w:rFonts w:ascii="Figtree" w:hAnsi="Figtree"/>
                <w:b w:val="0"/>
                <w:i w:val="0"/>
                <w:sz w:val="22"/>
              </w:rPr>
              <w:t>REQ-10</w:t>
            </w:r>
          </w:p>
        </w:tc>
        <w:tc>
          <w:tcPr>
            <w:tcW w:type="dxa" w:w="2436"/>
            <w:vAlign w:val="center"/>
          </w:tcPr>
          <w:p>
            <w:r/>
            <w:r>
              <w:rPr>
                <w:rFonts w:ascii="Figtree" w:hAnsi="Figtree"/>
                <w:b w:val="0"/>
                <w:i w:val="0"/>
                <w:sz w:val="22"/>
              </w:rPr>
              <w:t>Core books reconciliation</w:t>
            </w:r>
          </w:p>
        </w:tc>
        <w:tc>
          <w:tcPr>
            <w:tcW w:type="dxa" w:w="2436"/>
            <w:vAlign w:val="center"/>
          </w:tcPr>
          <w:p>
            <w:r/>
            <w:r>
              <w:rPr>
                <w:rFonts w:ascii="Figtree" w:hAnsi="Figtree"/>
                <w:b w:val="0"/>
                <w:i w:val="0"/>
                <w:sz w:val="22"/>
              </w:rPr>
              <w:t>Configurable</w:t>
            </w:r>
          </w:p>
        </w:tc>
        <w:tc>
          <w:tcPr>
            <w:tcW w:type="dxa" w:w="2436"/>
            <w:vAlign w:val="center"/>
          </w:tcPr>
          <w:p>
            <w:r/>
            <w:r>
              <w:rPr>
                <w:rFonts w:ascii="Figtree" w:hAnsi="Figtree"/>
                <w:b w:val="0"/>
                <w:i w:val="0"/>
                <w:sz w:val="22"/>
              </w:rPr>
              <w:t>API integration Phase 4</w:t>
            </w:r>
          </w:p>
        </w:tc>
      </w:tr>
      <w:tr>
        <w:trPr>
          <w:trHeight w:val="454" w:hRule="atLeast"/>
        </w:trPr>
        <w:tc>
          <w:tcPr>
            <w:tcW w:type="dxa" w:w="2436"/>
            <w:vAlign w:val="center"/>
          </w:tcPr>
          <w:p>
            <w:r/>
            <w:r>
              <w:rPr>
                <w:rFonts w:ascii="Figtree" w:hAnsi="Figtree"/>
                <w:b w:val="0"/>
                <w:i w:val="0"/>
                <w:sz w:val="22"/>
              </w:rPr>
              <w:t>REQ-11</w:t>
            </w:r>
          </w:p>
        </w:tc>
        <w:tc>
          <w:tcPr>
            <w:tcW w:type="dxa" w:w="2436"/>
            <w:vAlign w:val="center"/>
          </w:tcPr>
          <w:p>
            <w:r/>
            <w:r>
              <w:rPr>
                <w:rFonts w:ascii="Figtree" w:hAnsi="Figtree"/>
                <w:b w:val="0"/>
                <w:i w:val="0"/>
                <w:sz w:val="22"/>
              </w:rPr>
              <w:t>Multi-entity limits</w:t>
            </w:r>
          </w:p>
        </w:tc>
        <w:tc>
          <w:tcPr>
            <w:tcW w:type="dxa" w:w="2436"/>
            <w:vAlign w:val="center"/>
          </w:tcPr>
          <w:p>
            <w:r/>
            <w:r>
              <w:rPr>
                <w:rFonts w:ascii="Figtree" w:hAnsi="Figtree"/>
                <w:b w:val="0"/>
                <w:i w:val="0"/>
                <w:sz w:val="22"/>
              </w:rPr>
              <w:t>Configurable</w:t>
            </w:r>
          </w:p>
        </w:tc>
        <w:tc>
          <w:tcPr>
            <w:tcW w:type="dxa" w:w="2436"/>
            <w:vAlign w:val="center"/>
          </w:tcPr>
          <w:p>
            <w:r/>
            <w:r>
              <w:rPr>
                <w:rFonts w:ascii="Figtree" w:hAnsi="Figtree"/>
                <w:b w:val="0"/>
                <w:i w:val="0"/>
                <w:sz w:val="22"/>
              </w:rPr>
              <w:t>Compliance modules + API</w:t>
            </w:r>
          </w:p>
        </w:tc>
      </w:tr>
    </w:tbl>
    <w:p>
      <w:r>
        <w:br w:type="page"/>
      </w:r>
    </w:p>
    <w:p>
      <w:pPr>
        <w:pStyle w:val="H2"/>
        <w:numPr>
          <w:ilvl w:val="1"/>
          <w:numId w:val="1"/>
        </w:numPr>
      </w:pPr>
      <w:r>
        <w:t>Technical Architecture</w:t>
      </w:r>
    </w:p>
    <w:p>
      <w:pPr>
        <w:pStyle w:val="H3"/>
        <w:numPr>
          <w:ilvl w:val="2"/>
          <w:numId w:val="1"/>
        </w:numPr>
      </w:pPr>
      <w:r>
        <w:t>Four-Layer Stack</w:t>
      </w:r>
    </w:p>
    <w:p>
      <w:pPr>
        <w:jc w:val="center"/>
      </w:pPr>
      <w:r>
        <w:drawing>
          <wp:inline xmlns:a="http://schemas.openxmlformats.org/drawingml/2006/main" xmlns:pic="http://schemas.openxmlformats.org/drawingml/2006/picture">
            <wp:extent cx="5486400" cy="2701212"/>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2701212"/>
                    </a:xfrm>
                    <a:prstGeom prst="rect"/>
                  </pic:spPr>
                </pic:pic>
              </a:graphicData>
            </a:graphic>
          </wp:inline>
        </w:drawing>
      </w:r>
    </w:p>
    <w:p>
      <w:pPr>
        <w:pStyle w:val="H3"/>
        <w:numPr>
          <w:ilvl w:val="2"/>
          <w:numId w:val="1"/>
        </w:numPr>
      </w:pPr>
      <w:r>
        <w:t>Security: 5-Layer Defense-in-Depth</w:t>
      </w:r>
    </w:p>
    <w:p>
      <w:pPr>
        <w:pStyle w:val="ListParagraph"/>
        <w:numPr>
          <w:ilvl w:val="0"/>
          <w:numId w:val="9"/>
        </w:numPr>
      </w:pPr>
      <w:r>
        <w:rPr>
          <w:rFonts w:ascii="Figtree" w:hAnsi="Figtree"/>
          <w:b w:val="0"/>
          <w:i w:val="0"/>
          <w:sz w:val="22"/>
        </w:rPr>
        <w:t>Authentication (passkeys, LDAP, OAuth)</w:t>
      </w:r>
    </w:p>
    <w:p>
      <w:pPr>
        <w:pStyle w:val="ListParagraph"/>
        <w:numPr>
          <w:ilvl w:val="0"/>
          <w:numId w:val="9"/>
        </w:numPr>
      </w:pPr>
      <w:r>
        <w:rPr>
          <w:rFonts w:ascii="Figtree" w:hAnsi="Figtree"/>
          <w:b w:val="0"/>
          <w:i w:val="0"/>
          <w:sz w:val="22"/>
        </w:rPr>
        <w:t>Authorization (26 roles, RBAC)</w:t>
      </w:r>
    </w:p>
    <w:p>
      <w:pPr>
        <w:pStyle w:val="ListParagraph"/>
        <w:numPr>
          <w:ilvl w:val="0"/>
          <w:numId w:val="9"/>
        </w:numPr>
      </w:pPr>
      <w:r>
        <w:rPr>
          <w:rFonts w:ascii="Figtree" w:hAnsi="Figtree"/>
          <w:b w:val="0"/>
          <w:i w:val="0"/>
          <w:sz w:val="22"/>
        </w:rPr>
        <w:t>Wallet verification (step-up auth)</w:t>
      </w:r>
    </w:p>
    <w:p>
      <w:pPr>
        <w:pStyle w:val="ListParagraph"/>
        <w:numPr>
          <w:ilvl w:val="0"/>
          <w:numId w:val="9"/>
        </w:numPr>
      </w:pPr>
      <w:r>
        <w:rPr>
          <w:rFonts w:ascii="Figtree" w:hAnsi="Figtree"/>
          <w:b w:val="0"/>
          <w:i w:val="0"/>
          <w:sz w:val="22"/>
        </w:rPr>
        <w:t>Compliance (18 modules, fail-closed)</w:t>
      </w:r>
    </w:p>
    <w:p>
      <w:pPr>
        <w:pStyle w:val="ListParagraph"/>
        <w:numPr>
          <w:ilvl w:val="0"/>
          <w:numId w:val="9"/>
        </w:numPr>
      </w:pPr>
      <w:r>
        <w:rPr>
          <w:rFonts w:ascii="Figtree" w:hAnsi="Figtree"/>
          <w:b w:val="0"/>
          <w:i w:val="0"/>
          <w:sz w:val="22"/>
        </w:rPr>
        <w:t>Custody policy (DFNS/Fireblocks)</w:t>
      </w:r>
    </w:p>
    <w:p>
      <w:r>
        <w:rPr>
          <w:rFonts w:ascii="Figtree" w:hAnsi="Figtree"/>
          <w:b w:val="0"/>
          <w:i w:val="0"/>
          <w:sz w:val="22"/>
        </w:rPr>
        <w:t>ISO 27001, SOC 2 Type II certified.</w:t>
      </w:r>
    </w:p>
    <w:p>
      <w:r>
        <w:br w:type="page"/>
      </w:r>
    </w:p>
    <w:p>
      <w:pPr>
        <w:pStyle w:val="H2"/>
        <w:numPr>
          <w:ilvl w:val="1"/>
          <w:numId w:val="1"/>
        </w:numPr>
      </w:pPr>
      <w:r>
        <w:t>Implementation (19 Weeks)</w:t>
      </w:r>
    </w:p>
    <w:p>
      <w:pPr>
        <w:jc w:val="center"/>
      </w:pPr>
      <w:r>
        <w:drawing>
          <wp:inline xmlns:a="http://schemas.openxmlformats.org/drawingml/2006/main" xmlns:pic="http://schemas.openxmlformats.org/drawingml/2006/picture">
            <wp:extent cx="5486400" cy="1539551"/>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1539551"/>
                    </a:xfrm>
                    <a:prstGeom prst="rect"/>
                  </pic:spPr>
                </pic:pic>
              </a:graphicData>
            </a:graphic>
          </wp:inline>
        </w:drawing>
      </w:r>
    </w:p>
    <w:p>
      <w:r>
        <w:rPr>
          <w:rFonts w:ascii="Figtree" w:hAnsi="Figtree"/>
          <w:b/>
          <w:i w:val="0"/>
          <w:sz w:val="22"/>
        </w:rPr>
        <w:t>Estimated Absa effort: 75 person-days</w:t>
      </w:r>
    </w:p>
    <w:p>
      <w:r>
        <w:br w:type="page"/>
      </w:r>
    </w:p>
    <w:p>
      <w:pPr>
        <w:pStyle w:val="H2"/>
        <w:numPr>
          <w:ilvl w:val="1"/>
          <w:numId w:val="1"/>
        </w:numPr>
      </w:pPr>
      <w:r>
        <w:t>Deployment</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Aspect</w:t>
            </w:r>
          </w:p>
        </w:tc>
        <w:tc>
          <w:tcPr>
            <w:tcW w:type="dxa" w:w="4873"/>
            <w:vAlign w:val="center"/>
            <w:shd w:fill="000099" w:val="clear"/>
          </w:tcPr>
          <w:p>
            <w:r>
              <w:rPr>
                <w:b/>
                <w:color w:val="FFFFFF"/>
              </w:rPr>
            </w:r>
            <w:r>
              <w:rPr>
                <w:rFonts w:ascii="Figtree" w:hAnsi="Figtree"/>
                <w:b/>
                <w:i w:val="0"/>
                <w:color w:val="FFFFFF"/>
                <w:sz w:val="22"/>
              </w:rPr>
              <w:t>Configuration</w:t>
            </w:r>
          </w:p>
        </w:tc>
      </w:tr>
      <w:tr>
        <w:trPr>
          <w:trHeight w:val="454" w:hRule="atLeast"/>
        </w:trPr>
        <w:tc>
          <w:tcPr>
            <w:tcW w:type="dxa" w:w="4873"/>
            <w:vAlign w:val="center"/>
          </w:tcPr>
          <w:p>
            <w:r/>
            <w:r>
              <w:rPr>
                <w:rFonts w:ascii="Figtree" w:hAnsi="Figtree"/>
                <w:b w:val="0"/>
                <w:i w:val="0"/>
                <w:sz w:val="22"/>
              </w:rPr>
              <w:t>Model</w:t>
            </w:r>
          </w:p>
        </w:tc>
        <w:tc>
          <w:tcPr>
            <w:tcW w:type="dxa" w:w="4873"/>
            <w:vAlign w:val="center"/>
          </w:tcPr>
          <w:p>
            <w:r/>
            <w:r>
              <w:rPr>
                <w:rFonts w:ascii="Figtree" w:hAnsi="Figtree"/>
                <w:b w:val="0"/>
                <w:i w:val="0"/>
                <w:sz w:val="22"/>
              </w:rPr>
              <w:t>Dedicated cloud</w:t>
            </w:r>
          </w:p>
        </w:tc>
      </w:tr>
      <w:tr>
        <w:trPr>
          <w:trHeight w:val="454" w:hRule="atLeast"/>
        </w:trPr>
        <w:tc>
          <w:tcPr>
            <w:tcW w:type="dxa" w:w="4873"/>
            <w:vAlign w:val="center"/>
          </w:tcPr>
          <w:p>
            <w:r/>
            <w:r>
              <w:rPr>
                <w:rFonts w:ascii="Figtree" w:hAnsi="Figtree"/>
                <w:b w:val="0"/>
                <w:i w:val="0"/>
                <w:sz w:val="22"/>
              </w:rPr>
              <w:t>Region</w:t>
            </w:r>
          </w:p>
        </w:tc>
        <w:tc>
          <w:tcPr>
            <w:tcW w:type="dxa" w:w="4873"/>
            <w:vAlign w:val="center"/>
          </w:tcPr>
          <w:p>
            <w:r/>
            <w:r>
              <w:rPr>
                <w:rFonts w:ascii="Figtree" w:hAnsi="Figtree"/>
                <w:b w:val="0"/>
                <w:i w:val="0"/>
                <w:sz w:val="22"/>
              </w:rPr>
              <w:t>AWS Cape Town or Azure South Africa</w:t>
            </w:r>
          </w:p>
        </w:tc>
      </w:tr>
      <w:tr>
        <w:trPr>
          <w:trHeight w:val="454" w:hRule="atLeast"/>
        </w:trPr>
        <w:tc>
          <w:tcPr>
            <w:tcW w:type="dxa" w:w="4873"/>
            <w:vAlign w:val="center"/>
          </w:tcPr>
          <w:p>
            <w:r/>
            <w:r>
              <w:rPr>
                <w:rFonts w:ascii="Figtree" w:hAnsi="Figtree"/>
                <w:b w:val="0"/>
                <w:i w:val="0"/>
                <w:sz w:val="22"/>
              </w:rPr>
              <w:t>Data residency</w:t>
            </w:r>
          </w:p>
        </w:tc>
        <w:tc>
          <w:tcPr>
            <w:tcW w:type="dxa" w:w="4873"/>
            <w:vAlign w:val="center"/>
          </w:tcPr>
          <w:p>
            <w:r/>
            <w:r>
              <w:rPr>
                <w:rFonts w:ascii="Figtree" w:hAnsi="Figtree"/>
                <w:b w:val="0"/>
                <w:i w:val="0"/>
                <w:sz w:val="22"/>
              </w:rPr>
              <w:t>South Africa compliant</w:t>
            </w:r>
          </w:p>
        </w:tc>
      </w:tr>
      <w:tr>
        <w:trPr>
          <w:trHeight w:val="454" w:hRule="atLeast"/>
        </w:trPr>
        <w:tc>
          <w:tcPr>
            <w:tcW w:type="dxa" w:w="4873"/>
            <w:vAlign w:val="center"/>
          </w:tcPr>
          <w:p>
            <w:r/>
            <w:r>
              <w:rPr>
                <w:rFonts w:ascii="Figtree" w:hAnsi="Figtree"/>
                <w:b w:val="0"/>
                <w:i w:val="0"/>
                <w:sz w:val="22"/>
              </w:rPr>
              <w:t>Blockchain</w:t>
            </w:r>
          </w:p>
        </w:tc>
        <w:tc>
          <w:tcPr>
            <w:tcW w:type="dxa" w:w="4873"/>
            <w:vAlign w:val="center"/>
          </w:tcPr>
          <w:p>
            <w:r/>
            <w:r>
              <w:rPr>
                <w:rFonts w:ascii="Figtree" w:hAnsi="Figtree"/>
                <w:b w:val="0"/>
                <w:i w:val="0"/>
                <w:sz w:val="22"/>
              </w:rPr>
              <w:t>4-node Besu (IBFT 2.0)</w:t>
            </w:r>
          </w:p>
        </w:tc>
      </w:tr>
    </w:tbl>
    <w:p>
      <w:r>
        <w:br w:type="page"/>
      </w:r>
    </w:p>
    <w:p>
      <w:pPr>
        <w:pStyle w:val="H2"/>
        <w:numPr>
          <w:ilvl w:val="1"/>
          <w:numId w:val="1"/>
        </w:numPr>
      </w:pPr>
      <w:r>
        <w:t>Support: Premium</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Aspect</w:t>
            </w:r>
          </w:p>
        </w:tc>
        <w:tc>
          <w:tcPr>
            <w:tcW w:type="dxa" w:w="4873"/>
            <w:vAlign w:val="center"/>
            <w:shd w:fill="000099" w:val="clear"/>
          </w:tcPr>
          <w:p>
            <w:r>
              <w:rPr>
                <w:b/>
                <w:color w:val="FFFFFF"/>
              </w:rPr>
            </w:r>
            <w:r>
              <w:rPr>
                <w:rFonts w:ascii="Figtree" w:hAnsi="Figtree"/>
                <w:b/>
                <w:i w:val="0"/>
                <w:color w:val="FFFFFF"/>
                <w:sz w:val="22"/>
              </w:rPr>
              <w:t>Configuration</w:t>
            </w:r>
          </w:p>
        </w:tc>
      </w:tr>
      <w:tr>
        <w:trPr>
          <w:trHeight w:val="454" w:hRule="atLeast"/>
        </w:trPr>
        <w:tc>
          <w:tcPr>
            <w:tcW w:type="dxa" w:w="4873"/>
            <w:vAlign w:val="center"/>
          </w:tcPr>
          <w:p>
            <w:r/>
            <w:r>
              <w:rPr>
                <w:rFonts w:ascii="Figtree" w:hAnsi="Figtree"/>
                <w:b w:val="0"/>
                <w:i w:val="0"/>
                <w:sz w:val="22"/>
              </w:rPr>
              <w:t>Coverage</w:t>
            </w:r>
          </w:p>
        </w:tc>
        <w:tc>
          <w:tcPr>
            <w:tcW w:type="dxa" w:w="4873"/>
            <w:vAlign w:val="center"/>
          </w:tcPr>
          <w:p>
            <w:r/>
            <w:r>
              <w:rPr>
                <w:rFonts w:ascii="Figtree" w:hAnsi="Figtree"/>
                <w:b w:val="0"/>
                <w:i w:val="0"/>
                <w:sz w:val="22"/>
              </w:rPr>
              <w:t>16×5</w:t>
            </w:r>
          </w:p>
        </w:tc>
      </w:tr>
      <w:tr>
        <w:trPr>
          <w:trHeight w:val="454" w:hRule="atLeast"/>
        </w:trPr>
        <w:tc>
          <w:tcPr>
            <w:tcW w:type="dxa" w:w="4873"/>
            <w:vAlign w:val="center"/>
          </w:tcPr>
          <w:p>
            <w:r/>
            <w:r>
              <w:rPr>
                <w:rFonts w:ascii="Figtree" w:hAnsi="Figtree"/>
                <w:b w:val="0"/>
                <w:i w:val="0"/>
                <w:sz w:val="22"/>
              </w:rPr>
              <w:t>P1 response</w:t>
            </w:r>
          </w:p>
        </w:tc>
        <w:tc>
          <w:tcPr>
            <w:tcW w:type="dxa" w:w="4873"/>
            <w:vAlign w:val="center"/>
          </w:tcPr>
          <w:p>
            <w:r/>
            <w:r>
              <w:rPr>
                <w:rFonts w:ascii="Figtree" w:hAnsi="Figtree"/>
                <w:b w:val="0"/>
                <w:i w:val="0"/>
                <w:sz w:val="22"/>
              </w:rPr>
              <w:t>2 hours</w:t>
            </w:r>
          </w:p>
        </w:tc>
      </w:tr>
      <w:tr>
        <w:trPr>
          <w:trHeight w:val="454" w:hRule="atLeast"/>
        </w:trPr>
        <w:tc>
          <w:tcPr>
            <w:tcW w:type="dxa" w:w="4873"/>
            <w:vAlign w:val="center"/>
          </w:tcPr>
          <w:p>
            <w:r/>
            <w:r>
              <w:rPr>
                <w:rFonts w:ascii="Figtree" w:hAnsi="Figtree"/>
                <w:b w:val="0"/>
                <w:i w:val="0"/>
                <w:sz w:val="22"/>
              </w:rPr>
              <w:t>Uptime SLA</w:t>
            </w:r>
          </w:p>
        </w:tc>
        <w:tc>
          <w:tcPr>
            <w:tcW w:type="dxa" w:w="4873"/>
            <w:vAlign w:val="center"/>
          </w:tcPr>
          <w:p>
            <w:r/>
            <w:r>
              <w:rPr>
                <w:rFonts w:ascii="Figtree" w:hAnsi="Figtree"/>
                <w:b w:val="0"/>
                <w:i w:val="0"/>
                <w:sz w:val="22"/>
              </w:rPr>
              <w:t>99.95%</w:t>
            </w:r>
          </w:p>
        </w:tc>
      </w:tr>
      <w:tr>
        <w:trPr>
          <w:trHeight w:val="454" w:hRule="atLeast"/>
        </w:trPr>
        <w:tc>
          <w:tcPr>
            <w:tcW w:type="dxa" w:w="4873"/>
            <w:vAlign w:val="center"/>
          </w:tcPr>
          <w:p>
            <w:r/>
            <w:r>
              <w:rPr>
                <w:rFonts w:ascii="Figtree" w:hAnsi="Figtree"/>
                <w:b w:val="0"/>
                <w:i w:val="0"/>
                <w:sz w:val="22"/>
              </w:rPr>
              <w:t>Dedicated engineer</w:t>
            </w:r>
          </w:p>
        </w:tc>
        <w:tc>
          <w:tcPr>
            <w:tcW w:type="dxa" w:w="4873"/>
            <w:vAlign w:val="center"/>
          </w:tcPr>
          <w:p>
            <w:r/>
            <w:r>
              <w:rPr>
                <w:rFonts w:ascii="Figtree" w:hAnsi="Figtree"/>
                <w:b w:val="0"/>
                <w:i w:val="0"/>
                <w:sz w:val="22"/>
              </w:rPr>
              <w:t>Yes</w:t>
            </w:r>
          </w:p>
        </w:tc>
      </w:tr>
    </w:tbl>
    <w:p>
      <w:r>
        <w:br w:type="page"/>
      </w:r>
    </w:p>
    <w:p>
      <w:pPr>
        <w:pStyle w:val="H2"/>
        <w:numPr>
          <w:ilvl w:val="1"/>
          <w:numId w:val="1"/>
        </w:numPr>
      </w:pPr>
      <w:r>
        <w:t>Risk Register</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ID</w:t>
            </w:r>
          </w:p>
        </w:tc>
        <w:tc>
          <w:tcPr>
            <w:tcW w:type="dxa" w:w="3249"/>
            <w:vAlign w:val="center"/>
            <w:shd w:fill="000099" w:val="clear"/>
          </w:tcPr>
          <w:p>
            <w:r>
              <w:rPr>
                <w:b/>
                <w:color w:val="FFFFFF"/>
              </w:rPr>
            </w:r>
            <w:r>
              <w:rPr>
                <w:rFonts w:ascii="Figtree" w:hAnsi="Figtree"/>
                <w:b/>
                <w:i w:val="0"/>
                <w:color w:val="FFFFFF"/>
                <w:sz w:val="22"/>
              </w:rPr>
              <w:t>Risk</w:t>
            </w:r>
          </w:p>
        </w:tc>
        <w:tc>
          <w:tcPr>
            <w:tcW w:type="dxa" w:w="3249"/>
            <w:vAlign w:val="center"/>
            <w:shd w:fill="000099" w:val="clear"/>
          </w:tcPr>
          <w:p>
            <w:r>
              <w:rPr>
                <w:b/>
                <w:color w:val="FFFFFF"/>
              </w:rPr>
            </w:r>
            <w:r>
              <w:rPr>
                <w:rFonts w:ascii="Figtree" w:hAnsi="Figtree"/>
                <w:b/>
                <w:i w:val="0"/>
                <w:color w:val="FFFFFF"/>
                <w:sz w:val="22"/>
              </w:rPr>
              <w:t>Mitigation</w:t>
            </w:r>
          </w:p>
        </w:tc>
      </w:tr>
      <w:tr>
        <w:trPr>
          <w:trHeight w:val="454" w:hRule="atLeast"/>
        </w:trPr>
        <w:tc>
          <w:tcPr>
            <w:tcW w:type="dxa" w:w="3249"/>
            <w:vAlign w:val="center"/>
          </w:tcPr>
          <w:p>
            <w:r/>
            <w:r>
              <w:rPr>
                <w:rFonts w:ascii="Figtree" w:hAnsi="Figtree"/>
                <w:b w:val="0"/>
                <w:i w:val="0"/>
                <w:sz w:val="22"/>
              </w:rPr>
              <w:t>R1</w:t>
            </w:r>
          </w:p>
        </w:tc>
        <w:tc>
          <w:tcPr>
            <w:tcW w:type="dxa" w:w="3249"/>
            <w:vAlign w:val="center"/>
          </w:tcPr>
          <w:p>
            <w:r/>
            <w:r>
              <w:rPr>
                <w:rFonts w:ascii="Figtree" w:hAnsi="Figtree"/>
                <w:b w:val="0"/>
                <w:i w:val="0"/>
                <w:sz w:val="22"/>
              </w:rPr>
              <w:t>SARB/FSCA regulatory changes</w:t>
            </w:r>
          </w:p>
        </w:tc>
        <w:tc>
          <w:tcPr>
            <w:tcW w:type="dxa" w:w="3249"/>
            <w:vAlign w:val="center"/>
          </w:tcPr>
          <w:p>
            <w:r/>
            <w:r>
              <w:rPr>
                <w:rFonts w:ascii="Figtree" w:hAnsi="Figtree"/>
                <w:b w:val="0"/>
                <w:i w:val="0"/>
                <w:sz w:val="22"/>
              </w:rPr>
              <w:t>Configurable compliance</w:t>
            </w:r>
          </w:p>
        </w:tc>
      </w:tr>
      <w:tr>
        <w:trPr>
          <w:trHeight w:val="454" w:hRule="atLeast"/>
        </w:trPr>
        <w:tc>
          <w:tcPr>
            <w:tcW w:type="dxa" w:w="3249"/>
            <w:vAlign w:val="center"/>
          </w:tcPr>
          <w:p>
            <w:r/>
            <w:r>
              <w:rPr>
                <w:rFonts w:ascii="Figtree" w:hAnsi="Figtree"/>
                <w:b w:val="0"/>
                <w:i w:val="0"/>
                <w:sz w:val="22"/>
              </w:rPr>
              <w:t>R2</w:t>
            </w:r>
          </w:p>
        </w:tc>
        <w:tc>
          <w:tcPr>
            <w:tcW w:type="dxa" w:w="3249"/>
            <w:vAlign w:val="center"/>
          </w:tcPr>
          <w:p>
            <w:r/>
            <w:r>
              <w:rPr>
                <w:rFonts w:ascii="Figtree" w:hAnsi="Figtree"/>
                <w:b w:val="0"/>
                <w:i w:val="0"/>
                <w:sz w:val="22"/>
              </w:rPr>
              <w:t>Trade finance system complexity</w:t>
            </w:r>
          </w:p>
        </w:tc>
        <w:tc>
          <w:tcPr>
            <w:tcW w:type="dxa" w:w="3249"/>
            <w:vAlign w:val="center"/>
          </w:tcPr>
          <w:p>
            <w:r/>
            <w:r>
              <w:rPr>
                <w:rFonts w:ascii="Figtree" w:hAnsi="Figtree"/>
                <w:b w:val="0"/>
                <w:i w:val="0"/>
                <w:sz w:val="22"/>
              </w:rPr>
              <w:t>Phase 1 deep discovery</w:t>
            </w:r>
          </w:p>
        </w:tc>
      </w:tr>
      <w:tr>
        <w:trPr>
          <w:trHeight w:val="454" w:hRule="atLeast"/>
        </w:trPr>
        <w:tc>
          <w:tcPr>
            <w:tcW w:type="dxa" w:w="3249"/>
            <w:vAlign w:val="center"/>
          </w:tcPr>
          <w:p>
            <w:r/>
            <w:r>
              <w:rPr>
                <w:rFonts w:ascii="Figtree" w:hAnsi="Figtree"/>
                <w:b w:val="0"/>
                <w:i w:val="0"/>
                <w:sz w:val="22"/>
              </w:rPr>
              <w:t>R3</w:t>
            </w:r>
          </w:p>
        </w:tc>
        <w:tc>
          <w:tcPr>
            <w:tcW w:type="dxa" w:w="3249"/>
            <w:vAlign w:val="center"/>
          </w:tcPr>
          <w:p>
            <w:r/>
            <w:r>
              <w:rPr>
                <w:rFonts w:ascii="Figtree" w:hAnsi="Figtree"/>
                <w:b w:val="0"/>
                <w:i w:val="0"/>
                <w:sz w:val="22"/>
              </w:rPr>
              <w:t>Cross-border integration</w:t>
            </w:r>
          </w:p>
        </w:tc>
        <w:tc>
          <w:tcPr>
            <w:tcW w:type="dxa" w:w="3249"/>
            <w:vAlign w:val="center"/>
          </w:tcPr>
          <w:p>
            <w:r/>
            <w:r>
              <w:rPr>
                <w:rFonts w:ascii="Figtree" w:hAnsi="Figtree"/>
                <w:b w:val="0"/>
                <w:i w:val="0"/>
                <w:sz w:val="22"/>
              </w:rPr>
              <w:t>Phased approach</w:t>
            </w:r>
          </w:p>
        </w:tc>
      </w:tr>
      <w:tr>
        <w:trPr>
          <w:trHeight w:val="454" w:hRule="atLeast"/>
        </w:trPr>
        <w:tc>
          <w:tcPr>
            <w:tcW w:type="dxa" w:w="3249"/>
            <w:vAlign w:val="center"/>
          </w:tcPr>
          <w:p>
            <w:r/>
            <w:r>
              <w:rPr>
                <w:rFonts w:ascii="Figtree" w:hAnsi="Figtree"/>
                <w:b w:val="0"/>
                <w:i w:val="0"/>
                <w:sz w:val="22"/>
              </w:rPr>
              <w:t>R4</w:t>
            </w:r>
          </w:p>
        </w:tc>
        <w:tc>
          <w:tcPr>
            <w:tcW w:type="dxa" w:w="3249"/>
            <w:vAlign w:val="center"/>
          </w:tcPr>
          <w:p>
            <w:r/>
            <w:r>
              <w:rPr>
                <w:rFonts w:ascii="Figtree" w:hAnsi="Figtree"/>
                <w:b w:val="0"/>
                <w:i w:val="0"/>
                <w:sz w:val="22"/>
              </w:rPr>
              <w:t>Security review timeline</w:t>
            </w:r>
          </w:p>
        </w:tc>
        <w:tc>
          <w:tcPr>
            <w:tcW w:type="dxa" w:w="3249"/>
            <w:vAlign w:val="center"/>
          </w:tcPr>
          <w:p>
            <w:r/>
            <w:r>
              <w:rPr>
                <w:rFonts w:ascii="Figtree" w:hAnsi="Figtree"/>
                <w:b w:val="0"/>
                <w:i w:val="0"/>
                <w:sz w:val="22"/>
              </w:rPr>
              <w:t>Pre-share certifications</w:t>
            </w:r>
          </w:p>
        </w:tc>
      </w:tr>
    </w:tbl>
    <w:p>
      <w:r>
        <w:br w:type="page"/>
      </w:r>
    </w:p>
    <w:p>
      <w:pPr>
        <w:pStyle w:val="H2"/>
        <w:numPr>
          <w:ilvl w:val="1"/>
          <w:numId w:val="1"/>
        </w:numPr>
      </w:pPr>
      <w:r>
        <w:t>Appendices</w:t>
      </w:r>
    </w:p>
    <w:p>
      <w:pPr>
        <w:pStyle w:val="H3"/>
        <w:numPr>
          <w:ilvl w:val="2"/>
          <w:numId w:val="1"/>
        </w:numPr>
      </w:pPr>
      <w:r>
        <w:t>Glossary</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Term</w:t>
            </w:r>
          </w:p>
        </w:tc>
        <w:tc>
          <w:tcPr>
            <w:tcW w:type="dxa" w:w="4873"/>
            <w:vAlign w:val="center"/>
            <w:shd w:fill="000099" w:val="clear"/>
          </w:tcPr>
          <w:p>
            <w:r>
              <w:rPr>
                <w:b/>
                <w:color w:val="FFFFFF"/>
              </w:rPr>
            </w:r>
            <w:r>
              <w:rPr>
                <w:rFonts w:ascii="Figtree" w:hAnsi="Figtree"/>
                <w:b/>
                <w:i w:val="0"/>
                <w:color w:val="FFFFFF"/>
                <w:sz w:val="22"/>
              </w:rPr>
              <w:t>Definition</w:t>
            </w:r>
          </w:p>
        </w:tc>
      </w:tr>
      <w:tr>
        <w:trPr>
          <w:trHeight w:val="454" w:hRule="atLeast"/>
        </w:trPr>
        <w:tc>
          <w:tcPr>
            <w:tcW w:type="dxa" w:w="4873"/>
            <w:vAlign w:val="center"/>
          </w:tcPr>
          <w:p>
            <w:r/>
            <w:r>
              <w:rPr>
                <w:rFonts w:ascii="Figtree" w:hAnsi="Figtree"/>
                <w:b w:val="0"/>
                <w:i w:val="0"/>
                <w:sz w:val="22"/>
              </w:rPr>
              <w:t>DALP</w:t>
            </w:r>
          </w:p>
        </w:tc>
        <w:tc>
          <w:tcPr>
            <w:tcW w:type="dxa" w:w="4873"/>
            <w:vAlign w:val="center"/>
          </w:tcPr>
          <w:p>
            <w:r/>
            <w:r>
              <w:rPr>
                <w:rFonts w:ascii="Figtree" w:hAnsi="Figtree"/>
                <w:b w:val="0"/>
                <w:i w:val="0"/>
                <w:sz w:val="22"/>
              </w:rPr>
              <w:t>Digital Asset Lifecycle Platform</w:t>
            </w:r>
          </w:p>
        </w:tc>
      </w:tr>
      <w:tr>
        <w:trPr>
          <w:trHeight w:val="454" w:hRule="atLeast"/>
        </w:trPr>
        <w:tc>
          <w:tcPr>
            <w:tcW w:type="dxa" w:w="4873"/>
            <w:vAlign w:val="center"/>
          </w:tcPr>
          <w:p>
            <w:r/>
            <w:r>
              <w:rPr>
                <w:rFonts w:ascii="Figtree" w:hAnsi="Figtree"/>
                <w:b w:val="0"/>
                <w:i w:val="0"/>
                <w:sz w:val="22"/>
              </w:rPr>
              <w:t>SMART Protocol</w:t>
            </w:r>
          </w:p>
        </w:tc>
        <w:tc>
          <w:tcPr>
            <w:tcW w:type="dxa" w:w="4873"/>
            <w:vAlign w:val="center"/>
          </w:tcPr>
          <w:p>
            <w:r/>
            <w:r>
              <w:rPr>
                <w:rFonts w:ascii="Figtree" w:hAnsi="Figtree"/>
                <w:b w:val="0"/>
                <w:i w:val="0"/>
                <w:sz w:val="22"/>
              </w:rPr>
              <w:t>ERC-3643 implementation</w:t>
            </w:r>
          </w:p>
        </w:tc>
      </w:tr>
      <w:tr>
        <w:trPr>
          <w:trHeight w:val="454" w:hRule="atLeast"/>
        </w:trPr>
        <w:tc>
          <w:tcPr>
            <w:tcW w:type="dxa" w:w="4873"/>
            <w:vAlign w:val="center"/>
          </w:tcPr>
          <w:p>
            <w:r/>
            <w:r>
              <w:rPr>
                <w:rFonts w:ascii="Figtree" w:hAnsi="Figtree"/>
                <w:b w:val="0"/>
                <w:i w:val="0"/>
                <w:sz w:val="22"/>
              </w:rPr>
              <w:t>DALPAsset</w:t>
            </w:r>
          </w:p>
        </w:tc>
        <w:tc>
          <w:tcPr>
            <w:tcW w:type="dxa" w:w="4873"/>
            <w:vAlign w:val="center"/>
          </w:tcPr>
          <w:p>
            <w:r/>
            <w:r>
              <w:rPr>
                <w:rFonts w:ascii="Figtree" w:hAnsi="Figtree"/>
                <w:b w:val="0"/>
                <w:i w:val="0"/>
                <w:sz w:val="22"/>
              </w:rPr>
              <w:t>Configurable token contract</w:t>
            </w:r>
          </w:p>
        </w:tc>
      </w:tr>
      <w:tr>
        <w:trPr>
          <w:trHeight w:val="454" w:hRule="atLeast"/>
        </w:trPr>
        <w:tc>
          <w:tcPr>
            <w:tcW w:type="dxa" w:w="4873"/>
            <w:vAlign w:val="center"/>
          </w:tcPr>
          <w:p>
            <w:r/>
            <w:r>
              <w:rPr>
                <w:rFonts w:ascii="Figtree" w:hAnsi="Figtree"/>
                <w:b w:val="0"/>
                <w:i w:val="0"/>
                <w:sz w:val="22"/>
              </w:rPr>
              <w:t>OnchainID</w:t>
            </w:r>
          </w:p>
        </w:tc>
        <w:tc>
          <w:tcPr>
            <w:tcW w:type="dxa" w:w="4873"/>
            <w:vAlign w:val="center"/>
          </w:tcPr>
          <w:p>
            <w:r/>
            <w:r>
              <w:rPr>
                <w:rFonts w:ascii="Figtree" w:hAnsi="Figtree"/>
                <w:b w:val="0"/>
                <w:i w:val="0"/>
                <w:sz w:val="22"/>
              </w:rPr>
              <w:t>On-chain identity (ERC-734/735)</w:t>
            </w:r>
          </w:p>
        </w:tc>
      </w:tr>
      <w:tr>
        <w:trPr>
          <w:trHeight w:val="454" w:hRule="atLeast"/>
        </w:trPr>
        <w:tc>
          <w:tcPr>
            <w:tcW w:type="dxa" w:w="4873"/>
            <w:vAlign w:val="center"/>
          </w:tcPr>
          <w:p>
            <w:r/>
            <w:r>
              <w:rPr>
                <w:rFonts w:ascii="Figtree" w:hAnsi="Figtree"/>
                <w:b w:val="0"/>
                <w:i w:val="0"/>
                <w:sz w:val="22"/>
              </w:rPr>
              <w:t>XvP</w:t>
            </w:r>
          </w:p>
        </w:tc>
        <w:tc>
          <w:tcPr>
            <w:tcW w:type="dxa" w:w="4873"/>
            <w:vAlign w:val="center"/>
          </w:tcPr>
          <w:p>
            <w:r/>
            <w:r>
              <w:rPr>
                <w:rFonts w:ascii="Figtree" w:hAnsi="Figtree"/>
                <w:b w:val="0"/>
                <w:i w:val="0"/>
                <w:sz w:val="22"/>
              </w:rPr>
              <w:t>Atomic settlement addon</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