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Model</w:t>
            <w:rPr>
              <w:sz w:val="22"/>
              <w:rFonts w:ascii="Figtree" w:hAnsi="Figtree"/>
            </w:rPr>
          </w:r>
        </w:p>
        <w:p>
          <w:pPr>
            <w:ind w:left="1440"/>
          </w:pPr>
          <w:r>
            <w:t xml:space="preserve">Platform Licensing Philosophy</w:t>
            <w:rPr>
              <w:sz w:val="22"/>
              <w:rFonts w:ascii="Figtree" w:hAnsi="Figtree"/>
            </w:rPr>
          </w:r>
        </w:p>
        <w:p>
          <w:pPr>
            <w:ind w:left="1440"/>
          </w:pPr>
          <w:r>
            <w:t xml:space="preserve">What the License Includes</w:t>
            <w:rPr>
              <w:sz w:val="22"/>
              <w:rFonts w:ascii="Figtree" w:hAnsi="Figtree"/>
            </w:rPr>
          </w:r>
        </w:p>
        <w:p>
          <w:pPr>
            <w:ind w:left="1440"/>
          </w:pPr>
          <w:r>
            <w:t xml:space="preserve">Recommended Tier: Enterprise (Tier 2)</w:t>
            <w:rPr>
              <w:sz w:val="22"/>
              <w:rFonts w:ascii="Figtree" w:hAnsi="Figtree"/>
            </w:rPr>
          </w:r>
        </w:p>
        <w:p>
          <w:pPr>
            <w:ind w:left="720"/>
          </w:pPr>
          <w:r>
            <w:t xml:space="preserve">Implementation Pricing</w:t>
            <w:rPr>
              <w:sz w:val="22"/>
              <w:rFonts w:ascii="Figtree" w:hAnsi="Figtree"/>
            </w:rPr>
          </w:r>
        </w:p>
        <w:p>
          <w:pPr>
            <w:ind w:left="1440"/>
          </w:pPr>
          <w:r>
            <w:t xml:space="preserve">Pricing Structure</w:t>
            <w:rPr>
              <w:sz w:val="22"/>
              <w:rFonts w:ascii="Figtree" w:hAnsi="Figtree"/>
            </w:rPr>
          </w:r>
        </w:p>
        <w:p>
          <w:pPr>
            <w:ind w:left="1440"/>
          </w:pPr>
          <w:r>
            <w:t xml:space="preserve">Implementation Team</w:t>
            <w:rPr>
              <w:sz w:val="22"/>
              <w:rFonts w:ascii="Figtree" w:hAnsi="Figtree"/>
            </w:rPr>
          </w:r>
        </w:p>
        <w:p>
          <w:pPr>
            <w:ind w:left="1440"/>
          </w:pPr>
          <w:r>
            <w:t xml:space="preserve">Client Effort Assumptions</w:t>
            <w:rPr>
              <w:sz w:val="22"/>
              <w:rFonts w:ascii="Figtree" w:hAnsi="Figtree"/>
            </w:rPr>
          </w:r>
        </w:p>
        <w:p>
          <w:pPr>
            <w:ind w:left="720"/>
          </w:pPr>
          <w:r>
            <w:t xml:space="preserve">Support Pricing</w:t>
            <w:rPr>
              <w:sz w:val="22"/>
              <w:rFonts w:ascii="Figtree" w:hAnsi="Figtree"/>
            </w:rPr>
          </w:r>
        </w:p>
        <w:p>
          <w:pPr>
            <w:ind w:left="1440"/>
          </w:pPr>
          <w:r>
            <w:t xml:space="preserve">Recommended: Premium Support</w:t>
            <w:rPr>
              <w:sz w:val="22"/>
              <w:rFonts w:ascii="Figtree" w:hAnsi="Figtree"/>
            </w:rPr>
          </w:r>
        </w:p>
        <w:p>
          <w:pPr>
            <w:ind w:left="1440"/>
          </w:pPr>
          <w:r>
            <w:t xml:space="preserve">Support Escalation Model</w:t>
            <w:rPr>
              <w:sz w:val="22"/>
              <w:rFonts w:ascii="Figtree" w:hAnsi="Figtree"/>
            </w:rPr>
          </w:r>
        </w:p>
        <w:p>
          <w:pPr>
            <w:ind w:left="720"/>
          </w:pPr>
          <w:r>
            <w:t xml:space="preserve">Total Cost of Ownership</w:t>
            <w:rPr>
              <w:sz w:val="22"/>
              <w:rFonts w:ascii="Figtree" w:hAnsi="Figtree"/>
            </w:rPr>
          </w:r>
        </w:p>
        <w:p>
          <w:pPr>
            <w:ind w:left="1440"/>
          </w:pPr>
          <w:r>
            <w:t xml:space="preserve">Three-Year TCO Components</w:t>
            <w:rPr>
              <w:sz w:val="22"/>
              <w:rFonts w:ascii="Figtree" w:hAnsi="Figtree"/>
            </w:rPr>
          </w:r>
        </w:p>
        <w:p>
          <w:pPr>
            <w:ind w:left="1440"/>
          </w:pPr>
          <w:r>
            <w:t xml:space="preserve">What Is Not Included (Exclusions)</w:t>
            <w:rPr>
              <w:sz w:val="22"/>
              <w:rFonts w:ascii="Figtree" w:hAnsi="Figtree"/>
            </w:rPr>
          </w:r>
        </w:p>
        <w:p>
          <w:pPr>
            <w:ind w:left="1440"/>
          </w:pPr>
          <w:r>
            <w:t xml:space="preserve">Scaling Economics</w:t>
            <w:rPr>
              <w:sz w:val="22"/>
              <w:rFonts w:ascii="Figtree" w:hAnsi="Figtree"/>
            </w:rPr>
          </w:r>
        </w:p>
        <w:p>
          <w:pPr>
            <w:ind w:left="720"/>
          </w:pPr>
          <w:r>
            <w:t xml:space="preserve">Contractual Framework</w:t>
            <w:rPr>
              <w:sz w:val="22"/>
              <w:rFonts w:ascii="Figtree" w:hAnsi="Figtree"/>
            </w:rPr>
          </w:r>
        </w:p>
        <w:p>
          <w:pPr>
            <w:ind w:left="1440"/>
          </w:pPr>
          <w:r>
            <w:t xml:space="preserve">Contract Components</w:t>
            <w:rPr>
              <w:sz w:val="22"/>
              <w:rFonts w:ascii="Figtree" w:hAnsi="Figtree"/>
            </w:rPr>
          </w:r>
        </w:p>
        <w:p>
          <w:pPr>
            <w:ind w:left="1440"/>
          </w:pPr>
          <w:r>
            <w:t xml:space="preserve">Key Commercial Terms</w:t>
            <w:rPr>
              <w:sz w:val="22"/>
              <w:rFonts w:ascii="Figtree" w:hAnsi="Figtree"/>
            </w:rPr>
          </w:r>
        </w:p>
        <w:p>
          <w:pPr>
            <w:ind w:left="1440"/>
          </w:pPr>
          <w:r>
            <w:t xml:space="preserve">Financial Stability</w:t>
            <w:rPr>
              <w:sz w:val="22"/>
              <w:rFonts w:ascii="Figtree" w:hAnsi="Figtree"/>
            </w:rPr>
          </w:r>
        </w:p>
        <w:p>
          <w:pPr>
            <w:ind w:left="720"/>
          </w:pPr>
          <w:r>
            <w:t xml:space="preserve">Commercial Decision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Sharia-Compliant Tokenized Savings and Investment Products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Al Rajhi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AL-RAJHI-BANK-RFP-SHARIA-TOKENIZED-PRODUCTS-202603</w:t>
            </w:r>
          </w:p>
        </w:tc>
      </w:tr>
    </w:tbl>
    <w:p>
      <w:r>
        <w:br w:type="page"/>
      </w:r>
    </w:p>
    <w:p>
      <w:pPr>
        <w:pStyle w:val="H2"/>
        <w:numPr>
          <w:ilvl w:val="1"/>
          <w:numId w:val="1"/>
        </w:numPr>
      </w:pPr>
      <w:r>
        <w:t>Executive Summary</w:t>
      </w:r>
    </w:p>
    <w:p>
      <w:r>
        <w:rPr>
          <w:rFonts w:ascii="Figtree" w:hAnsi="Figtree"/>
          <w:b w:val="0"/>
          <w:i w:val="0"/>
          <w:sz w:val="22"/>
        </w:rPr>
        <w:t>Al Rajhi Bank requires a platform and delivery partner capable of bringing Sharia-compliant tokenized savings and investment products to production with the discipline, transparency, and governance expected of a core regulated system. This commercial proposal presents SettleMint's licensing, implementation, and support model for the Digital Asset Lifecycle Platform (DALP) —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KSA-resident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is fundamentally different from transaction-based pricing: Al Rajhi Bank pays a predictable annual subscription with no per-transaction, per-token, per-user, or per-asset fees. This means the bank can scale issuance volume, product range, and investor base without incurring incremental platform costs. Profit distributions, compliance checks, and settlement operations — which occur at high frequency in production — carry zero marginal licensing cost.</w:t>
      </w:r>
    </w:p>
    <w:p>
      <w:r>
        <w:br w:type="page"/>
      </w:r>
    </w:p>
    <w:p>
      <w:pPr>
        <w:pStyle w:val="H2"/>
        <w:numPr>
          <w:ilvl w:val="1"/>
          <w:numId w:val="1"/>
        </w:numPr>
      </w:pPr>
      <w:r>
        <w:t>Licensing Model</w:t>
      </w:r>
    </w:p>
    <w:p>
      <w:pPr>
        <w:pStyle w:val="H3"/>
        <w:numPr>
          <w:ilvl w:val="2"/>
          <w:numId w:val="1"/>
        </w:numPr>
      </w:pPr>
      <w:r>
        <w:t>Platform Licensing Philosophy</w:t>
      </w:r>
    </w:p>
    <w:p>
      <w:r>
        <w:rPr>
          <w:rFonts w:ascii="Figtree" w:hAnsi="Figtree"/>
          <w:b w:val="0"/>
          <w:i w:val="0"/>
          <w:sz w:val="22"/>
        </w:rPr>
        <w:t xml:space="preserve">DALP uses a </w:t>
      </w:r>
      <w:r>
        <w:rPr>
          <w:rFonts w:ascii="Figtree" w:hAnsi="Figtree"/>
          <w:b/>
          <w:i w:val="0"/>
          <w:sz w:val="22"/>
        </w:rPr>
        <w:t>platform licensing model</w:t>
      </w:r>
      <w:r>
        <w:rPr>
          <w:rFonts w:ascii="Figtree" w:hAnsi="Figtree"/>
          <w:b w:val="0"/>
          <w:i w:val="0"/>
          <w:sz w:val="22"/>
        </w:rPr>
        <w:t>. Key principles: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Principle</w:t>
            </w:r>
          </w:p>
        </w:tc>
        <w:tc>
          <w:tcPr>
            <w:tcW w:type="dxa" w:w="4873"/>
            <w:vAlign w:val="center"/>
            <w:shd w:fill="000099" w:val="clear"/>
          </w:tcPr>
          <w:p>
            <w:r>
              <w:rPr>
                <w:b/>
                <w:color w:val="FFFFFF"/>
              </w:rPr>
            </w:r>
            <w:r>
              <w:rPr>
                <w:rFonts w:ascii="Figtree" w:hAnsi="Figtree"/>
                <w:b/>
                <w:i w:val="0"/>
                <w:color w:val="FFFFFF"/>
                <w:sz w:val="22"/>
              </w:rPr>
              <w:t>What It Means for Al Rajhi Bank</w:t>
            </w:r>
          </w:p>
        </w:tc>
      </w:tr>
      <w:tr>
        <w:trPr>
          <w:trHeight w:val="454" w:hRule="atLeast"/>
        </w:trPr>
        <w:tc>
          <w:tcPr>
            <w:tcW w:type="dxa" w:w="4873"/>
            <w:vAlign w:val="center"/>
          </w:tcPr>
          <w:p>
            <w:r/>
            <w:r>
              <w:rPr>
                <w:rFonts w:ascii="Figtree" w:hAnsi="Figtree"/>
                <w:b w:val="0"/>
                <w:i w:val="0"/>
                <w:sz w:val="22"/>
              </w:rPr>
              <w:t>No per-transaction fees</w:t>
            </w:r>
          </w:p>
        </w:tc>
        <w:tc>
          <w:tcPr>
            <w:tcW w:type="dxa" w:w="4873"/>
            <w:vAlign w:val="center"/>
          </w:tcPr>
          <w:p>
            <w:r/>
            <w:r>
              <w:rPr>
                <w:rFonts w:ascii="Figtree" w:hAnsi="Figtree"/>
                <w:b w:val="0"/>
                <w:i w:val="0"/>
                <w:sz w:val="22"/>
              </w:rPr>
              <w:t>Every compliance check, transfer, distribution, and settlement is included. No cost anxiety as volumes grow.</w:t>
            </w:r>
          </w:p>
        </w:tc>
      </w:tr>
      <w:tr>
        <w:trPr>
          <w:trHeight w:val="454" w:hRule="atLeast"/>
        </w:trPr>
        <w:tc>
          <w:tcPr>
            <w:tcW w:type="dxa" w:w="4873"/>
            <w:vAlign w:val="center"/>
          </w:tcPr>
          <w:p>
            <w:r/>
            <w:r>
              <w:rPr>
                <w:rFonts w:ascii="Figtree" w:hAnsi="Figtree"/>
                <w:b w:val="0"/>
                <w:i w:val="0"/>
                <w:sz w:val="22"/>
              </w:rPr>
              <w:t>No per-token fees</w:t>
            </w:r>
          </w:p>
        </w:tc>
        <w:tc>
          <w:tcPr>
            <w:tcW w:type="dxa" w:w="4873"/>
            <w:vAlign w:val="center"/>
          </w:tcPr>
          <w:p>
            <w:r/>
            <w:r>
              <w:rPr>
                <w:rFonts w:ascii="Figtree" w:hAnsi="Figtree"/>
                <w:b w:val="0"/>
                <w:i w:val="0"/>
                <w:sz w:val="22"/>
              </w:rPr>
              <w:t>Additional product types (Mudarabah, Murabaha, Sukuk, Wakala) carry no incremental license cost.</w:t>
            </w:r>
          </w:p>
        </w:tc>
      </w:tr>
      <w:tr>
        <w:trPr>
          <w:trHeight w:val="454" w:hRule="atLeast"/>
        </w:trPr>
        <w:tc>
          <w:tcPr>
            <w:tcW w:type="dxa" w:w="4873"/>
            <w:vAlign w:val="center"/>
          </w:tcPr>
          <w:p>
            <w:r/>
            <w:r>
              <w:rPr>
                <w:rFonts w:ascii="Figtree" w:hAnsi="Figtree"/>
                <w:b w:val="0"/>
                <w:i w:val="0"/>
                <w:sz w:val="22"/>
              </w:rPr>
              <w:t>No per-user fees for investors</w:t>
            </w:r>
          </w:p>
        </w:tc>
        <w:tc>
          <w:tcPr>
            <w:tcW w:type="dxa" w:w="4873"/>
            <w:vAlign w:val="center"/>
          </w:tcPr>
          <w:p>
            <w:r/>
            <w:r>
              <w:rPr>
                <w:rFonts w:ascii="Figtree" w:hAnsi="Figtree"/>
                <w:b w:val="0"/>
                <w:i w:val="0"/>
                <w:sz w:val="22"/>
              </w:rPr>
              <w:t>Growing the investor base is a business outcome, not a cost driver.</w:t>
            </w:r>
          </w:p>
        </w:tc>
      </w:tr>
      <w:tr>
        <w:trPr>
          <w:trHeight w:val="454" w:hRule="atLeast"/>
        </w:trPr>
        <w:tc>
          <w:tcPr>
            <w:tcW w:type="dxa" w:w="4873"/>
            <w:vAlign w:val="center"/>
          </w:tcPr>
          <w:p>
            <w:r/>
            <w:r>
              <w:rPr>
                <w:rFonts w:ascii="Figtree" w:hAnsi="Figtree"/>
                <w:b w:val="0"/>
                <w:i w:val="0"/>
                <w:sz w:val="22"/>
              </w:rPr>
              <w:t>Predictable annual subscription</w:t>
            </w:r>
          </w:p>
        </w:tc>
        <w:tc>
          <w:tcPr>
            <w:tcW w:type="dxa" w:w="4873"/>
            <w:vAlign w:val="center"/>
          </w:tcPr>
          <w:p>
            <w:r/>
            <w:r>
              <w:rPr>
                <w:rFonts w:ascii="Figtree" w:hAnsi="Figtree"/>
                <w:b w:val="0"/>
                <w:i w:val="0"/>
                <w:sz w:val="22"/>
              </w:rPr>
              <w:t>Budget certainty for multi-year planning.</w:t>
            </w:r>
          </w:p>
        </w:tc>
      </w:tr>
      <w:tr>
        <w:trPr>
          <w:trHeight w:val="454" w:hRule="atLeast"/>
        </w:trPr>
        <w:tc>
          <w:tcPr>
            <w:tcW w:type="dxa" w:w="4873"/>
            <w:vAlign w:val="center"/>
          </w:tcPr>
          <w:p>
            <w:r/>
            <w:r>
              <w:rPr>
                <w:rFonts w:ascii="Figtree" w:hAnsi="Figtree"/>
                <w:b w:val="0"/>
                <w:i w:val="0"/>
                <w:sz w:val="22"/>
              </w:rPr>
              <w:t>Full platform capabilities included</w:t>
            </w:r>
          </w:p>
        </w:tc>
        <w:tc>
          <w:tcPr>
            <w:tcW w:type="dxa" w:w="4873"/>
            <w:vAlign w:val="center"/>
          </w:tcPr>
          <w:p>
            <w:r/>
            <w:r>
              <w:rPr>
                <w:rFonts w:ascii="Figtree" w:hAnsi="Figtree"/>
                <w:b w:val="0"/>
                <w:i w:val="0"/>
                <w:sz w:val="22"/>
              </w:rPr>
              <w:t>All lifecycle pillars, compliance modules, API surface, and observability tools.</w:t>
            </w:r>
          </w:p>
        </w:tc>
      </w:tr>
    </w:tbl>
    <w:p>
      <w:pPr>
        <w:pStyle w:val="H3"/>
        <w:numPr>
          <w:ilvl w:val="2"/>
          <w:numId w:val="1"/>
        </w:numPr>
      </w:pPr>
      <w:r>
        <w:t>What the License Includes</w:t>
      </w:r>
    </w:p>
    <w:p>
      <w:r>
        <w:rPr>
          <w:rFonts w:ascii="Figtree" w:hAnsi="Figtree"/>
          <w:b w:val="0"/>
          <w:i w:val="0"/>
          <w:sz w:val="22"/>
        </w:rPr>
        <w:t>The Enterprise license provides access to:</w:t>
      </w:r>
    </w:p>
    <w:p>
      <w:pPr>
        <w:pStyle w:val="ListParagraph"/>
        <w:numPr>
          <w:ilvl w:val="0"/>
          <w:numId w:val="4"/>
        </w:numPr>
      </w:pPr>
      <w:r>
        <w:rPr>
          <w:rFonts w:ascii="Figtree" w:hAnsi="Figtree"/>
          <w:b w:val="0"/>
          <w:i w:val="0"/>
          <w:sz w:val="22"/>
        </w:rPr>
        <w:t>All five lifecycle pillars: Issuance, Compliance, Custody Integration, Settlement, and Servicing</w:t>
      </w:r>
    </w:p>
    <w:p>
      <w:pPr>
        <w:pStyle w:val="ListParagraph"/>
        <w:numPr>
          <w:ilvl w:val="0"/>
          <w:numId w:val="4"/>
        </w:numPr>
      </w:pPr>
      <w:r>
        <w:rPr>
          <w:rFonts w:ascii="Figtree" w:hAnsi="Figtree"/>
          <w:b w:val="0"/>
          <w:i w:val="0"/>
          <w:sz w:val="22"/>
        </w:rPr>
        <w:t>All seven asset classes (bonds, equities, funds, stablecoins, deposits, real estate, precious metals) plus Configurable Token</w:t>
      </w:r>
    </w:p>
    <w:p>
      <w:pPr>
        <w:pStyle w:val="ListParagraph"/>
        <w:numPr>
          <w:ilvl w:val="0"/>
          <w:numId w:val="4"/>
        </w:numPr>
      </w:pPr>
      <w:r>
        <w:rPr>
          <w:rFonts w:ascii="Figtree" w:hAnsi="Figtree"/>
          <w:b w:val="0"/>
          <w:i w:val="0"/>
          <w:sz w:val="22"/>
        </w:rPr>
        <w:t>All 18 compliance module types — no per-module licensing</w:t>
      </w:r>
    </w:p>
    <w:p>
      <w:pPr>
        <w:pStyle w:val="ListParagraph"/>
        <w:numPr>
          <w:ilvl w:val="0"/>
          <w:numId w:val="4"/>
        </w:numPr>
      </w:pPr>
      <w:r>
        <w:rPr>
          <w:rFonts w:ascii="Figtree" w:hAnsi="Figtree"/>
          <w:b w:val="0"/>
          <w:i w:val="0"/>
          <w:sz w:val="22"/>
        </w:rPr>
        <w:t>Full API surface: REST API v2, GraphQL, webhooks, TypeScript SDK, CLI (301 commands)</w:t>
      </w:r>
    </w:p>
    <w:p>
      <w:pPr>
        <w:pStyle w:val="ListParagraph"/>
        <w:numPr>
          <w:ilvl w:val="0"/>
          <w:numId w:val="4"/>
        </w:numPr>
      </w:pPr>
      <w:r>
        <w:rPr>
          <w:rFonts w:ascii="Figtree" w:hAnsi="Figtree"/>
          <w:b w:val="0"/>
          <w:i w:val="0"/>
          <w:sz w:val="22"/>
        </w:rPr>
        <w:t>Addon capabilities: XvP settlement, vault management, token sales, airdrop, yield schedules</w:t>
      </w:r>
    </w:p>
    <w:p>
      <w:pPr>
        <w:pStyle w:val="ListParagraph"/>
        <w:numPr>
          <w:ilvl w:val="0"/>
          <w:numId w:val="4"/>
        </w:numPr>
      </w:pPr>
      <w:r>
        <w:rPr>
          <w:rFonts w:ascii="Figtree" w:hAnsi="Figtree"/>
          <w:b w:val="0"/>
          <w:i w:val="0"/>
          <w:sz w:val="22"/>
        </w:rPr>
        <w:t>Observability stack: Grafana dashboards, metrics, logs, traces, automated alerting</w:t>
      </w:r>
    </w:p>
    <w:p>
      <w:pPr>
        <w:pStyle w:val="ListParagraph"/>
        <w:numPr>
          <w:ilvl w:val="0"/>
          <w:numId w:val="4"/>
        </w:numPr>
      </w:pPr>
      <w:r>
        <w:rPr>
          <w:rFonts w:ascii="Figtree" w:hAnsi="Figtree"/>
          <w:b w:val="0"/>
          <w:i w:val="0"/>
          <w:sz w:val="22"/>
        </w:rPr>
        <w:t>Platform updates and security patches during the license term</w:t>
      </w: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Dimension</w:t>
            </w:r>
          </w:p>
        </w:tc>
        <w:tc>
          <w:tcPr>
            <w:tcW w:type="dxa" w:w="4873"/>
            <w:vAlign w:val="center"/>
            <w:shd w:fill="000099" w:val="clear"/>
          </w:tcPr>
          <w:p>
            <w:r>
              <w:rPr>
                <w:b/>
                <w:color w:val="FFFFFF"/>
              </w:rPr>
            </w:r>
            <w:r>
              <w:rPr>
                <w:rFonts w:ascii="Figtree" w:hAnsi="Figtree"/>
                <w:b/>
                <w:i w:val="0"/>
                <w:color w:val="FFFFFF"/>
                <w:sz w:val="22"/>
              </w:rPr>
              <w:t>Enterprise Configuration for Al Rajhi Bank</w:t>
            </w:r>
          </w:p>
        </w:tc>
      </w:tr>
      <w:tr>
        <w:trPr>
          <w:trHeight w:val="454" w:hRule="atLeast"/>
        </w:trPr>
        <w:tc>
          <w:tcPr>
            <w:tcW w:type="dxa" w:w="4873"/>
            <w:vAlign w:val="center"/>
          </w:tcPr>
          <w:p>
            <w:r/>
            <w:r>
              <w:rPr>
                <w:rFonts w:ascii="Figtree" w:hAnsi="Figtree"/>
                <w:b w:val="0"/>
                <w:i w:val="0"/>
                <w:sz w:val="22"/>
              </w:rPr>
              <w:t>Environments</w:t>
            </w:r>
          </w:p>
        </w:tc>
        <w:tc>
          <w:tcPr>
            <w:tcW w:type="dxa" w:w="4873"/>
            <w:vAlign w:val="center"/>
          </w:tcPr>
          <w:p>
            <w:r/>
            <w:r>
              <w:rPr>
                <w:rFonts w:ascii="Figtree" w:hAnsi="Figtree"/>
                <w:b w:val="0"/>
                <w:i w:val="0"/>
                <w:sz w:val="22"/>
              </w:rPr>
              <w:t>Development + UAT/Staging + DR + Production</w:t>
            </w:r>
          </w:p>
        </w:tc>
      </w:tr>
      <w:tr>
        <w:trPr>
          <w:trHeight w:val="454" w:hRule="atLeast"/>
        </w:trPr>
        <w:tc>
          <w:tcPr>
            <w:tcW w:type="dxa" w:w="4873"/>
            <w:vAlign w:val="center"/>
          </w:tcPr>
          <w:p>
            <w:r/>
            <w:r>
              <w:rPr>
                <w:rFonts w:ascii="Figtree" w:hAnsi="Figtree"/>
                <w:b w:val="0"/>
                <w:i w:val="0"/>
                <w:sz w:val="22"/>
              </w:rPr>
              <w:t>Networks</w:t>
            </w:r>
          </w:p>
        </w:tc>
        <w:tc>
          <w:tcPr>
            <w:tcW w:type="dxa" w:w="4873"/>
            <w:vAlign w:val="center"/>
          </w:tcPr>
          <w:p>
            <w:r/>
            <w:r>
              <w:rPr>
                <w:rFonts w:ascii="Figtree" w:hAnsi="Figtree"/>
                <w:b w:val="0"/>
                <w:i w:val="0"/>
                <w:sz w:val="22"/>
              </w:rPr>
              <w:t>Permissioned Hyperledger Besu (recommended)</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 integration (decision during Phase 1)</w:t>
            </w:r>
          </w:p>
        </w:tc>
      </w:tr>
      <w:tr>
        <w:trPr>
          <w:trHeight w:val="454" w:hRule="atLeast"/>
        </w:trPr>
        <w:tc>
          <w:tcPr>
            <w:tcW w:type="dxa" w:w="4873"/>
            <w:vAlign w:val="center"/>
          </w:tcPr>
          <w:p>
            <w:r/>
            <w:r>
              <w:rPr>
                <w:rFonts w:ascii="Figtree" w:hAnsi="Figtree"/>
                <w:b w:val="0"/>
                <w:i w:val="0"/>
                <w:sz w:val="22"/>
              </w:rPr>
              <w:t>Support</w:t>
            </w:r>
          </w:p>
        </w:tc>
        <w:tc>
          <w:tcPr>
            <w:tcW w:type="dxa" w:w="4873"/>
            <w:vAlign w:val="center"/>
          </w:tcPr>
          <w:p>
            <w:r/>
            <w:r>
              <w:rPr>
                <w:rFonts w:ascii="Figtree" w:hAnsi="Figtree"/>
                <w:b w:val="0"/>
                <w:i w:val="0"/>
                <w:sz w:val="22"/>
              </w:rPr>
              <w:t>Premium tier (16×5, 2-hour P1 response)</w:t>
            </w:r>
          </w:p>
        </w:tc>
      </w:tr>
      <w:tr>
        <w:trPr>
          <w:trHeight w:val="454" w:hRule="atLeast"/>
        </w:trPr>
        <w:tc>
          <w:tcPr>
            <w:tcW w:type="dxa" w:w="4873"/>
            <w:vAlign w:val="center"/>
          </w:tcPr>
          <w:p>
            <w:r/>
            <w:r>
              <w:rPr>
                <w:rFonts w:ascii="Figtree" w:hAnsi="Figtree"/>
                <w:b w:val="0"/>
                <w:i w:val="0"/>
                <w:sz w:val="22"/>
              </w:rPr>
              <w:t>Asset classes</w:t>
            </w:r>
          </w:p>
        </w:tc>
        <w:tc>
          <w:tcPr>
            <w:tcW w:type="dxa" w:w="4873"/>
            <w:vAlign w:val="center"/>
          </w:tcPr>
          <w:p>
            <w:r/>
            <w:r>
              <w:rPr>
                <w:rFonts w:ascii="Figtree" w:hAnsi="Figtree"/>
                <w:b w:val="0"/>
                <w:i w:val="0"/>
                <w:sz w:val="22"/>
              </w:rPr>
              <w:t>Mudarabah, Murabaha, Sukuk, Wakala — all configured via DALPAsset</w:t>
            </w:r>
          </w:p>
        </w:tc>
      </w:tr>
    </w:tbl>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Implementation Pricing</w:t>
      </w:r>
    </w:p>
    <w:p>
      <w:pPr>
        <w:pStyle w:val="H3"/>
        <w:numPr>
          <w:ilvl w:val="2"/>
          <w:numId w:val="1"/>
        </w:numPr>
      </w:pPr>
      <w:r>
        <w:t>Pricing Structure</w:t>
      </w:r>
    </w:p>
    <w:p>
      <w:r>
        <w:rPr>
          <w:rFonts w:ascii="Figtree" w:hAnsi="Figtree"/>
          <w:b w:val="0"/>
          <w:i w:val="0"/>
          <w:sz w:val="22"/>
        </w:rPr>
        <w:t>Implementation is priced as a fixed-fee engagement across the five delivery phases: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Phase</w:t>
            </w:r>
          </w:p>
        </w:tc>
        <w:tc>
          <w:tcPr>
            <w:tcW w:type="dxa" w:w="2436"/>
            <w:vAlign w:val="center"/>
            <w:shd w:fill="000099" w:val="clear"/>
          </w:tcPr>
          <w:p>
            <w:r>
              <w:rPr>
                <w:b/>
                <w:color w:val="FFFFFF"/>
              </w:rPr>
            </w:r>
            <w:r>
              <w:rPr>
                <w:rFonts w:ascii="Figtree" w:hAnsi="Figtree"/>
                <w:b/>
                <w:i w:val="0"/>
                <w:color w:val="FFFFFF"/>
                <w:sz w:val="22"/>
              </w:rPr>
              <w:t>Duration</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Pricing Basis</w:t>
            </w:r>
          </w:p>
        </w:tc>
      </w:tr>
      <w:tr>
        <w:trPr>
          <w:trHeight w:val="454" w:hRule="atLeast"/>
        </w:trPr>
        <w:tc>
          <w:tcPr>
            <w:tcW w:type="dxa" w:w="2436"/>
            <w:vAlign w:val="center"/>
          </w:tcPr>
          <w:p>
            <w:r/>
            <w:r>
              <w:rPr>
                <w:rFonts w:ascii="Figtree" w:hAnsi="Figtree"/>
                <w:b w:val="0"/>
                <w:i w:val="0"/>
                <w:sz w:val="22"/>
              </w:rPr>
              <w:t>Phase 1: Discovery &amp; Requirements</w:t>
            </w:r>
          </w:p>
        </w:tc>
        <w:tc>
          <w:tcPr>
            <w:tcW w:type="dxa" w:w="2436"/>
            <w:vAlign w:val="center"/>
          </w:tcPr>
          <w:p>
            <w:r/>
            <w:r>
              <w:rPr>
                <w:rFonts w:ascii="Figtree" w:hAnsi="Figtree"/>
                <w:b w:val="0"/>
                <w:i w:val="0"/>
                <w:sz w:val="22"/>
              </w:rPr>
              <w:t>2 weeks</w:t>
            </w:r>
          </w:p>
        </w:tc>
        <w:tc>
          <w:tcPr>
            <w:tcW w:type="dxa" w:w="2436"/>
            <w:vAlign w:val="center"/>
          </w:tcPr>
          <w:p>
            <w:r/>
            <w:r>
              <w:rPr>
                <w:rFonts w:ascii="Figtree" w:hAnsi="Figtree"/>
                <w:b w:val="0"/>
                <w:i w:val="0"/>
                <w:sz w:val="22"/>
              </w:rPr>
              <w:t>Requirements, regulatory mapping, architecture design</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2: Foundation &amp; Setup</w:t>
            </w:r>
          </w:p>
        </w:tc>
        <w:tc>
          <w:tcPr>
            <w:tcW w:type="dxa" w:w="2436"/>
            <w:vAlign w:val="center"/>
          </w:tcPr>
          <w:p>
            <w:r/>
            <w:r>
              <w:rPr>
                <w:rFonts w:ascii="Figtree" w:hAnsi="Figtree"/>
                <w:b w:val="0"/>
                <w:i w:val="0"/>
                <w:sz w:val="22"/>
              </w:rPr>
              <w:t>3 weeks</w:t>
            </w:r>
          </w:p>
        </w:tc>
        <w:tc>
          <w:tcPr>
            <w:tcW w:type="dxa" w:w="2436"/>
            <w:vAlign w:val="center"/>
          </w:tcPr>
          <w:p>
            <w:r/>
            <w:r>
              <w:rPr>
                <w:rFonts w:ascii="Figtree" w:hAnsi="Figtree"/>
                <w:b w:val="0"/>
                <w:i w:val="0"/>
                <w:sz w:val="22"/>
              </w:rPr>
              <w:t>Environment provisioning, network, identity framework</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3: Configuration &amp; Compliance</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Product configuration, compliance modules, workflows</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4: Integration &amp; Testing</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System integration, security/UAT/performance testing</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5: Go-Live &amp; Hypercare</w:t>
            </w:r>
          </w:p>
        </w:tc>
        <w:tc>
          <w:tcPr>
            <w:tcW w:type="dxa" w:w="2436"/>
            <w:vAlign w:val="center"/>
          </w:tcPr>
          <w:p>
            <w:r/>
            <w:r>
              <w:rPr>
                <w:rFonts w:ascii="Figtree" w:hAnsi="Figtree"/>
                <w:b w:val="0"/>
                <w:i w:val="0"/>
                <w:sz w:val="22"/>
              </w:rPr>
              <w:t>6 weeks</w:t>
            </w:r>
          </w:p>
        </w:tc>
        <w:tc>
          <w:tcPr>
            <w:tcW w:type="dxa" w:w="2436"/>
            <w:vAlign w:val="center"/>
          </w:tcPr>
          <w:p>
            <w:r/>
            <w:r>
              <w:rPr>
                <w:rFonts w:ascii="Figtree" w:hAnsi="Figtree"/>
                <w:b w:val="0"/>
                <w:i w:val="0"/>
                <w:sz w:val="22"/>
              </w:rPr>
              <w:t>Production deployment, knowledge transfer, hypercare</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i w:val="0"/>
                <w:sz w:val="22"/>
              </w:rPr>
              <w:t>Total</w:t>
            </w:r>
          </w:p>
        </w:tc>
        <w:tc>
          <w:tcPr>
            <w:tcW w:type="dxa" w:w="2436"/>
            <w:vAlign w:val="center"/>
          </w:tcPr>
          <w:p>
            <w:r/>
            <w:r>
              <w:rPr>
                <w:rFonts w:ascii="Figtree" w:hAnsi="Figtree"/>
                <w:b/>
                <w:i w:val="0"/>
                <w:sz w:val="22"/>
              </w:rPr>
              <w:t>19 weeks</w:t>
            </w:r>
          </w:p>
        </w:tc>
        <w:tc>
          <w:tcPr>
            <w:tcW w:type="dxa" w:w="2436"/>
            <w:vAlign w:val="center"/>
          </w:tcPr>
          <w:p>
            <w:r/>
          </w:p>
        </w:tc>
        <w:tc>
          <w:tcPr>
            <w:tcW w:type="dxa" w:w="2436"/>
            <w:vAlign w:val="center"/>
          </w:tcPr>
          <w:p>
            <w:r/>
            <w:r>
              <w:rPr>
                <w:rFonts w:ascii="Figtree" w:hAnsi="Figtree"/>
                <w:b/>
                <w:i w:val="0"/>
                <w:sz w:val="22"/>
              </w:rPr>
              <w:t>[CLIENT-SPECIFIC]</w:t>
            </w:r>
          </w:p>
        </w:tc>
      </w:tr>
    </w:tbl>
    <w:p>
      <w:pPr>
        <w:pStyle w:val="H3"/>
        <w:numPr>
          <w:ilvl w:val="2"/>
          <w:numId w:val="1"/>
        </w:numPr>
      </w:pPr>
      <w:r>
        <w:t>Implementation Team</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Allocation</w:t>
            </w:r>
          </w:p>
        </w:tc>
        <w:tc>
          <w:tcPr>
            <w:tcW w:type="dxa" w:w="3249"/>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Full-time (19 weeks)</w:t>
            </w:r>
          </w:p>
        </w:tc>
        <w:tc>
          <w:tcPr>
            <w:tcW w:type="dxa" w:w="3249"/>
            <w:vAlign w:val="center"/>
          </w:tcPr>
          <w:p>
            <w:r/>
            <w:r>
              <w:rPr>
                <w:rFonts w:ascii="Figtree" w:hAnsi="Figtree"/>
                <w:b w:val="0"/>
                <w:i w:val="0"/>
                <w:sz w:val="22"/>
              </w:rPr>
              <w:t>Programme management, gate reviews, stakeholder alignment</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Full-time (Weeks 1–13), on-call (14–19)</w:t>
            </w:r>
          </w:p>
        </w:tc>
        <w:tc>
          <w:tcPr>
            <w:tcW w:type="dxa" w:w="3249"/>
            <w:vAlign w:val="center"/>
          </w:tcPr>
          <w:p>
            <w:r/>
            <w:r>
              <w:rPr>
                <w:rFonts w:ascii="Figtree" w:hAnsi="Figtree"/>
                <w:b w:val="0"/>
                <w:i w:val="0"/>
                <w:sz w:val="22"/>
              </w:rPr>
              <w:t>Architecture design, integration patterns, technical decisions</w:t>
            </w:r>
          </w:p>
        </w:tc>
      </w:tr>
      <w:tr>
        <w:trPr>
          <w:trHeight w:val="454" w:hRule="atLeast"/>
        </w:trPr>
        <w:tc>
          <w:tcPr>
            <w:tcW w:type="dxa" w:w="3249"/>
            <w:vAlign w:val="center"/>
          </w:tcPr>
          <w:p>
            <w:r/>
            <w:r>
              <w:rPr>
                <w:rFonts w:ascii="Figtree" w:hAnsi="Figtree"/>
                <w:b w:val="0"/>
                <w:i w:val="0"/>
                <w:sz w:val="22"/>
              </w:rPr>
              <w:t>Platform Engineer</w:t>
            </w:r>
          </w:p>
        </w:tc>
        <w:tc>
          <w:tcPr>
            <w:tcW w:type="dxa" w:w="3249"/>
            <w:vAlign w:val="center"/>
          </w:tcPr>
          <w:p>
            <w:r/>
            <w:r>
              <w:rPr>
                <w:rFonts w:ascii="Figtree" w:hAnsi="Figtree"/>
                <w:b w:val="0"/>
                <w:i w:val="0"/>
                <w:sz w:val="22"/>
              </w:rPr>
              <w:t>Full-time (Weeks 3–17)</w:t>
            </w:r>
          </w:p>
        </w:tc>
        <w:tc>
          <w:tcPr>
            <w:tcW w:type="dxa" w:w="3249"/>
            <w:vAlign w:val="center"/>
          </w:tcPr>
          <w:p>
            <w:r/>
            <w:r>
              <w:rPr>
                <w:rFonts w:ascii="Figtree" w:hAnsi="Figtree"/>
                <w:b w:val="0"/>
                <w:i w:val="0"/>
                <w:sz w:val="22"/>
              </w:rPr>
              <w:t>Environment setup, configuration, deployment</w:t>
            </w:r>
          </w:p>
        </w:tc>
      </w:tr>
      <w:tr>
        <w:trPr>
          <w:trHeight w:val="454" w:hRule="atLeast"/>
        </w:trPr>
        <w:tc>
          <w:tcPr>
            <w:tcW w:type="dxa" w:w="3249"/>
            <w:vAlign w:val="center"/>
          </w:tcPr>
          <w:p>
            <w:r/>
            <w:r>
              <w:rPr>
                <w:rFonts w:ascii="Figtree" w:hAnsi="Figtree"/>
                <w:b w:val="0"/>
                <w:i w:val="0"/>
                <w:sz w:val="22"/>
              </w:rPr>
              <w:t>Integration Engineer</w:t>
            </w:r>
          </w:p>
        </w:tc>
        <w:tc>
          <w:tcPr>
            <w:tcW w:type="dxa" w:w="3249"/>
            <w:vAlign w:val="center"/>
          </w:tcPr>
          <w:p>
            <w:r/>
            <w:r>
              <w:rPr>
                <w:rFonts w:ascii="Figtree" w:hAnsi="Figtree"/>
                <w:b w:val="0"/>
                <w:i w:val="0"/>
                <w:sz w:val="22"/>
              </w:rPr>
              <w:t>Full-time (Weeks 6–13)</w:t>
            </w:r>
          </w:p>
        </w:tc>
        <w:tc>
          <w:tcPr>
            <w:tcW w:type="dxa" w:w="3249"/>
            <w:vAlign w:val="center"/>
          </w:tcPr>
          <w:p>
            <w:r/>
            <w:r>
              <w:rPr>
                <w:rFonts w:ascii="Figtree" w:hAnsi="Figtree"/>
                <w:b w:val="0"/>
                <w:i w:val="0"/>
                <w:sz w:val="22"/>
              </w:rPr>
              <w:t>Enterprise system integration, API development</w:t>
            </w:r>
          </w:p>
        </w:tc>
      </w:tr>
      <w:tr>
        <w:trPr>
          <w:trHeight w:val="454" w:hRule="atLeast"/>
        </w:trPr>
        <w:tc>
          <w:tcPr>
            <w:tcW w:type="dxa" w:w="3249"/>
            <w:vAlign w:val="center"/>
          </w:tcPr>
          <w:p>
            <w:r/>
            <w:r>
              <w:rPr>
                <w:rFonts w:ascii="Figtree" w:hAnsi="Figtree"/>
                <w:b w:val="0"/>
                <w:i w:val="0"/>
                <w:sz w:val="22"/>
              </w:rPr>
              <w:t>QA Engineer</w:t>
            </w:r>
          </w:p>
        </w:tc>
        <w:tc>
          <w:tcPr>
            <w:tcW w:type="dxa" w:w="3249"/>
            <w:vAlign w:val="center"/>
          </w:tcPr>
          <w:p>
            <w:r/>
            <w:r>
              <w:rPr>
                <w:rFonts w:ascii="Figtree" w:hAnsi="Figtree"/>
                <w:b w:val="0"/>
                <w:i w:val="0"/>
                <w:sz w:val="22"/>
              </w:rPr>
              <w:t>Full-time (Weeks 10–15)</w:t>
            </w:r>
          </w:p>
        </w:tc>
        <w:tc>
          <w:tcPr>
            <w:tcW w:type="dxa" w:w="3249"/>
            <w:vAlign w:val="center"/>
          </w:tcPr>
          <w:p>
            <w:r/>
            <w:r>
              <w:rPr>
                <w:rFonts w:ascii="Figtree" w:hAnsi="Figtree"/>
                <w:b w:val="0"/>
                <w:i w:val="0"/>
                <w:sz w:val="22"/>
              </w:rPr>
              <w:t>Test planning, execution, defect management</w:t>
            </w:r>
          </w:p>
        </w:tc>
      </w:tr>
    </w:tbl>
    <w:p>
      <w:pPr>
        <w:pStyle w:val="H3"/>
        <w:numPr>
          <w:ilvl w:val="2"/>
          <w:numId w:val="1"/>
        </w:numPr>
      </w:pPr>
      <w:r>
        <w:t>Client Effort Assumptions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Activity</w:t>
            </w:r>
          </w:p>
        </w:tc>
        <w:tc>
          <w:tcPr>
            <w:tcW w:type="dxa" w:w="3249"/>
            <w:vAlign w:val="center"/>
            <w:shd w:fill="000099" w:val="clear"/>
          </w:tcPr>
          <w:p>
            <w:r>
              <w:rPr>
                <w:b/>
                <w:color w:val="FFFFFF"/>
              </w:rPr>
            </w:r>
            <w:r>
              <w:rPr>
                <w:rFonts w:ascii="Figtree" w:hAnsi="Figtree"/>
                <w:b/>
                <w:i w:val="0"/>
                <w:color w:val="FFFFFF"/>
                <w:sz w:val="22"/>
              </w:rPr>
              <w:t>Estimated Client Effort</w:t>
            </w:r>
          </w:p>
        </w:tc>
        <w:tc>
          <w:tcPr>
            <w:tcW w:type="dxa" w:w="3249"/>
            <w:vAlign w:val="center"/>
            <w:shd w:fill="000099" w:val="clear"/>
          </w:tcPr>
          <w:p>
            <w:r>
              <w:rPr>
                <w:b/>
                <w:color w:val="FFFFFF"/>
              </w:rPr>
            </w:r>
            <w:r>
              <w:rPr>
                <w:rFonts w:ascii="Figtree" w:hAnsi="Figtree"/>
                <w:b/>
                <w:i w:val="0"/>
                <w:color w:val="FFFFFF"/>
                <w:sz w:val="22"/>
              </w:rPr>
              <w:t>When</w:t>
            </w:r>
          </w:p>
        </w:tc>
      </w:tr>
      <w:tr>
        <w:trPr>
          <w:trHeight w:val="454" w:hRule="atLeast"/>
        </w:trPr>
        <w:tc>
          <w:tcPr>
            <w:tcW w:type="dxa" w:w="3249"/>
            <w:vAlign w:val="center"/>
          </w:tcPr>
          <w:p>
            <w:r/>
            <w:r>
              <w:rPr>
                <w:rFonts w:ascii="Figtree" w:hAnsi="Figtree"/>
                <w:b w:val="0"/>
                <w:i w:val="0"/>
                <w:sz w:val="22"/>
              </w:rPr>
              <w:t>Stakeholder interviews</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1–2</w:t>
            </w:r>
          </w:p>
        </w:tc>
      </w:tr>
      <w:tr>
        <w:trPr>
          <w:trHeight w:val="454" w:hRule="atLeast"/>
        </w:trPr>
        <w:tc>
          <w:tcPr>
            <w:tcW w:type="dxa" w:w="3249"/>
            <w:vAlign w:val="center"/>
          </w:tcPr>
          <w:p>
            <w:r/>
            <w:r>
              <w:rPr>
                <w:rFonts w:ascii="Figtree" w:hAnsi="Figtree"/>
                <w:b w:val="0"/>
                <w:i w:val="0"/>
                <w:sz w:val="22"/>
              </w:rPr>
              <w:t>Sharia board review and certification</w:t>
            </w:r>
          </w:p>
        </w:tc>
        <w:tc>
          <w:tcPr>
            <w:tcW w:type="dxa" w:w="3249"/>
            <w:vAlign w:val="center"/>
          </w:tcPr>
          <w:p>
            <w:r/>
            <w:r>
              <w:rPr>
                <w:rFonts w:ascii="Figtree" w:hAnsi="Figtree"/>
                <w:b w:val="0"/>
                <w:i w:val="0"/>
                <w:sz w:val="22"/>
              </w:rPr>
              <w:t>10 person-days</w:t>
            </w:r>
          </w:p>
        </w:tc>
        <w:tc>
          <w:tcPr>
            <w:tcW w:type="dxa" w:w="3249"/>
            <w:vAlign w:val="center"/>
          </w:tcPr>
          <w:p>
            <w:r/>
            <w:r>
              <w:rPr>
                <w:rFonts w:ascii="Figtree" w:hAnsi="Figtree"/>
                <w:b w:val="0"/>
                <w:i w:val="0"/>
                <w:sz w:val="22"/>
              </w:rPr>
              <w:t>Weeks 6–9</w:t>
            </w:r>
          </w:p>
        </w:tc>
      </w:tr>
      <w:tr>
        <w:trPr>
          <w:trHeight w:val="454" w:hRule="atLeast"/>
        </w:trPr>
        <w:tc>
          <w:tcPr>
            <w:tcW w:type="dxa" w:w="3249"/>
            <w:vAlign w:val="center"/>
          </w:tcPr>
          <w:p>
            <w:r/>
            <w:r>
              <w:rPr>
                <w:rFonts w:ascii="Figtree" w:hAnsi="Figtree"/>
                <w:b w:val="0"/>
                <w:i w:val="0"/>
                <w:sz w:val="22"/>
              </w:rPr>
              <w:t>Core banking API provisioning</w:t>
            </w:r>
          </w:p>
        </w:tc>
        <w:tc>
          <w:tcPr>
            <w:tcW w:type="dxa" w:w="3249"/>
            <w:vAlign w:val="center"/>
          </w:tcPr>
          <w:p>
            <w:r/>
            <w:r>
              <w:rPr>
                <w:rFonts w:ascii="Figtree" w:hAnsi="Figtree"/>
                <w:b w:val="0"/>
                <w:i w:val="0"/>
                <w:sz w:val="22"/>
              </w:rPr>
              <w:t>15 person-days</w:t>
            </w:r>
          </w:p>
        </w:tc>
        <w:tc>
          <w:tcPr>
            <w:tcW w:type="dxa" w:w="3249"/>
            <w:vAlign w:val="center"/>
          </w:tcPr>
          <w:p>
            <w:r/>
            <w:r>
              <w:rPr>
                <w:rFonts w:ascii="Figtree" w:hAnsi="Figtree"/>
                <w:b w:val="0"/>
                <w:i w:val="0"/>
                <w:sz w:val="22"/>
              </w:rPr>
              <w:t>Weeks 3–9</w:t>
            </w:r>
          </w:p>
        </w:tc>
      </w:tr>
      <w:tr>
        <w:trPr>
          <w:trHeight w:val="454" w:hRule="atLeast"/>
        </w:trPr>
        <w:tc>
          <w:tcPr>
            <w:tcW w:type="dxa" w:w="3249"/>
            <w:vAlign w:val="center"/>
          </w:tcPr>
          <w:p>
            <w:r/>
            <w:r>
              <w:rPr>
                <w:rFonts w:ascii="Figtree" w:hAnsi="Figtree"/>
                <w:b w:val="0"/>
                <w:i w:val="0"/>
                <w:sz w:val="22"/>
              </w:rPr>
              <w:t>UAT execution</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10–13</w:t>
            </w:r>
          </w:p>
        </w:tc>
      </w:tr>
      <w:tr>
        <w:trPr>
          <w:trHeight w:val="454" w:hRule="atLeast"/>
        </w:trPr>
        <w:tc>
          <w:tcPr>
            <w:tcW w:type="dxa" w:w="3249"/>
            <w:vAlign w:val="center"/>
          </w:tcPr>
          <w:p>
            <w:r/>
            <w:r>
              <w:rPr>
                <w:rFonts w:ascii="Figtree" w:hAnsi="Figtree"/>
                <w:b w:val="0"/>
                <w:i w:val="0"/>
                <w:sz w:val="22"/>
              </w:rPr>
              <w:t>Operations readiness</w:t>
            </w:r>
          </w:p>
        </w:tc>
        <w:tc>
          <w:tcPr>
            <w:tcW w:type="dxa" w:w="3249"/>
            <w:vAlign w:val="center"/>
          </w:tcPr>
          <w:p>
            <w:r/>
            <w:r>
              <w:rPr>
                <w:rFonts w:ascii="Figtree" w:hAnsi="Figtree"/>
                <w:b w:val="0"/>
                <w:i w:val="0"/>
                <w:sz w:val="22"/>
              </w:rPr>
              <w:t>10 person-days</w:t>
            </w:r>
          </w:p>
        </w:tc>
        <w:tc>
          <w:tcPr>
            <w:tcW w:type="dxa" w:w="3249"/>
            <w:vAlign w:val="center"/>
          </w:tcPr>
          <w:p>
            <w:r/>
            <w:r>
              <w:rPr>
                <w:rFonts w:ascii="Figtree" w:hAnsi="Figtree"/>
                <w:b w:val="0"/>
                <w:i w:val="0"/>
                <w:sz w:val="22"/>
              </w:rPr>
              <w:t>Weeks 14–19</w:t>
            </w:r>
          </w:p>
        </w:tc>
      </w:tr>
      <w:tr>
        <w:trPr>
          <w:trHeight w:val="454" w:hRule="atLeast"/>
        </w:trPr>
        <w:tc>
          <w:tcPr>
            <w:tcW w:type="dxa" w:w="3249"/>
            <w:vAlign w:val="center"/>
          </w:tcPr>
          <w:p>
            <w:r/>
            <w:r>
              <w:rPr>
                <w:rFonts w:ascii="Figtree" w:hAnsi="Figtree"/>
                <w:b/>
                <w:i w:val="0"/>
                <w:sz w:val="22"/>
              </w:rPr>
              <w:t>Total estimated client effort</w:t>
            </w:r>
          </w:p>
        </w:tc>
        <w:tc>
          <w:tcPr>
            <w:tcW w:type="dxa" w:w="3249"/>
            <w:vAlign w:val="center"/>
          </w:tcPr>
          <w:p>
            <w:r/>
            <w:r>
              <w:rPr>
                <w:rFonts w:ascii="Figtree" w:hAnsi="Figtree"/>
                <w:b/>
                <w:i w:val="0"/>
                <w:sz w:val="22"/>
              </w:rPr>
              <w:t>75 person-days</w:t>
            </w:r>
          </w:p>
        </w:tc>
        <w:tc>
          <w:tcPr>
            <w:tcW w:type="dxa" w:w="3249"/>
            <w:vAlign w:val="center"/>
          </w:tcPr>
          <w:p>
            <w:r/>
          </w:p>
        </w:tc>
      </w:tr>
    </w:tbl>
    <w:p>
      <w:r>
        <w:br w:type="page"/>
      </w:r>
    </w:p>
    <w:p>
      <w:pPr>
        <w:pStyle w:val="H2"/>
        <w:numPr>
          <w:ilvl w:val="1"/>
          <w:numId w:val="1"/>
        </w:numPr>
      </w:pPr>
      <w:r>
        <w:t>Support Pricing</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Support for Al Rajhi Bank</w:t>
            </w:r>
          </w:p>
        </w:tc>
      </w:tr>
      <w:tr>
        <w:trPr>
          <w:trHeight w:val="454" w:hRule="atLeast"/>
        </w:trPr>
        <w:tc>
          <w:tcPr>
            <w:tcW w:type="dxa" w:w="4873"/>
            <w:vAlign w:val="center"/>
          </w:tcPr>
          <w:p>
            <w:r/>
            <w:r>
              <w:rPr>
                <w:rFonts w:ascii="Figtree" w:hAnsi="Figtree"/>
                <w:b w:val="0"/>
                <w:i w:val="0"/>
                <w:sz w:val="22"/>
              </w:rPr>
              <w:t>Coverage hours</w:t>
            </w:r>
          </w:p>
        </w:tc>
        <w:tc>
          <w:tcPr>
            <w:tcW w:type="dxa" w:w="4873"/>
            <w:vAlign w:val="center"/>
          </w:tcPr>
          <w:p>
            <w:r/>
            <w:r>
              <w:rPr>
                <w:rFonts w:ascii="Figtree" w:hAnsi="Figtree"/>
                <w:b w:val="0"/>
                <w:i w:val="0"/>
                <w:sz w:val="22"/>
              </w:rPr>
              <w:t>16×5 (Sunday–Thursday for KSA alignment)</w:t>
            </w:r>
          </w:p>
        </w:tc>
      </w:tr>
      <w:tr>
        <w:trPr>
          <w:trHeight w:val="454" w:hRule="atLeast"/>
        </w:trPr>
        <w:tc>
          <w:tcPr>
            <w:tcW w:type="dxa" w:w="4873"/>
            <w:vAlign w:val="center"/>
          </w:tcPr>
          <w:p>
            <w:r/>
            <w:r>
              <w:rPr>
                <w:rFonts w:ascii="Figtree" w:hAnsi="Figtree"/>
                <w:b w:val="0"/>
                <w:i w:val="0"/>
                <w:sz w:val="22"/>
              </w:rPr>
              <w:t>P1 response time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 time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P3 response time</w:t>
            </w:r>
          </w:p>
        </w:tc>
        <w:tc>
          <w:tcPr>
            <w:tcW w:type="dxa" w:w="4873"/>
            <w:vAlign w:val="center"/>
          </w:tcPr>
          <w:p>
            <w:r/>
            <w:r>
              <w:rPr>
                <w:rFonts w:ascii="Figtree" w:hAnsi="Figtree"/>
                <w:b w:val="0"/>
                <w:i w:val="0"/>
                <w:sz w:val="22"/>
              </w:rPr>
              <w:t>1 business day</w:t>
            </w:r>
          </w:p>
        </w:tc>
      </w:tr>
      <w:tr>
        <w:trPr>
          <w:trHeight w:val="454" w:hRule="atLeast"/>
        </w:trPr>
        <w:tc>
          <w:tcPr>
            <w:tcW w:type="dxa" w:w="4873"/>
            <w:vAlign w:val="center"/>
          </w:tcPr>
          <w:p>
            <w:r/>
            <w:r>
              <w:rPr>
                <w:rFonts w:ascii="Figtree" w:hAnsi="Figtree"/>
                <w:b w:val="0"/>
                <w:i w:val="0"/>
                <w:sz w:val="22"/>
              </w:rPr>
              <w:t>P4 response time</w:t>
            </w:r>
          </w:p>
        </w:tc>
        <w:tc>
          <w:tcPr>
            <w:tcW w:type="dxa" w:w="4873"/>
            <w:vAlign w:val="center"/>
          </w:tcPr>
          <w:p>
            <w:r/>
            <w:r>
              <w:rPr>
                <w:rFonts w:ascii="Figtree" w:hAnsi="Figtree"/>
                <w:b w:val="0"/>
                <w:i w:val="0"/>
                <w:sz w:val="22"/>
              </w:rPr>
              <w:t>3 business days</w:t>
            </w:r>
          </w:p>
        </w:tc>
      </w:tr>
      <w:tr>
        <w:trPr>
          <w:trHeight w:val="454" w:hRule="atLeast"/>
        </w:trPr>
        <w:tc>
          <w:tcPr>
            <w:tcW w:type="dxa" w:w="4873"/>
            <w:vAlign w:val="center"/>
          </w:tcPr>
          <w:p>
            <w:r/>
            <w:r>
              <w:rPr>
                <w:rFonts w:ascii="Figtree" w:hAnsi="Figtree"/>
                <w:b w:val="0"/>
                <w:i w:val="0"/>
                <w:sz w:val="22"/>
              </w:rPr>
              <w:t>Dedicated support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Quarterly business reviews</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Platform health checks</w:t>
            </w:r>
          </w:p>
        </w:tc>
        <w:tc>
          <w:tcPr>
            <w:tcW w:type="dxa" w:w="4873"/>
            <w:vAlign w:val="center"/>
          </w:tcPr>
          <w:p>
            <w:r/>
            <w:r>
              <w:rPr>
                <w:rFonts w:ascii="Figtree" w:hAnsi="Figtree"/>
                <w:b w:val="0"/>
                <w:i w:val="0"/>
                <w:sz w:val="22"/>
              </w:rPr>
              <w:t>Monthly</w:t>
            </w:r>
          </w:p>
        </w:tc>
      </w:tr>
      <w:tr>
        <w:trPr>
          <w:trHeight w:val="454" w:hRule="atLeast"/>
        </w:trPr>
        <w:tc>
          <w:tcPr>
            <w:tcW w:type="dxa" w:w="4873"/>
            <w:vAlign w:val="center"/>
          </w:tcPr>
          <w:p>
            <w:r/>
            <w:r>
              <w:rPr>
                <w:rFonts w:ascii="Figtree" w:hAnsi="Figtree"/>
                <w:b w:val="0"/>
                <w:i w:val="0"/>
                <w:sz w:val="22"/>
              </w:rPr>
              <w:t>Emergency patches</w:t>
            </w:r>
          </w:p>
        </w:tc>
        <w:tc>
          <w:tcPr>
            <w:tcW w:type="dxa" w:w="4873"/>
            <w:vAlign w:val="center"/>
          </w:tcPr>
          <w:p>
            <w:r/>
            <w:r>
              <w:rPr>
                <w:rFonts w:ascii="Figtree" w:hAnsi="Figtree"/>
                <w:b w:val="0"/>
                <w:i w:val="0"/>
                <w:sz w:val="22"/>
              </w:rPr>
              <w:t>Included</w:t>
            </w:r>
          </w:p>
        </w:tc>
      </w:tr>
      <w:tr>
        <w:trPr>
          <w:trHeight w:val="454" w:hRule="atLeast"/>
        </w:trPr>
        <w:tc>
          <w:tcPr>
            <w:tcW w:type="dxa" w:w="4873"/>
            <w:vAlign w:val="center"/>
          </w:tcPr>
          <w:p>
            <w:r/>
            <w:r>
              <w:rPr>
                <w:rFonts w:ascii="Figtree" w:hAnsi="Figtree"/>
                <w:b/>
                <w:i w:val="0"/>
                <w:sz w:val="22"/>
              </w:rPr>
              <w:t>Annual support fee</w:t>
            </w:r>
          </w:p>
        </w:tc>
        <w:tc>
          <w:tcPr>
            <w:tcW w:type="dxa" w:w="4873"/>
            <w:vAlign w:val="center"/>
          </w:tcPr>
          <w:p>
            <w:r/>
            <w:r>
              <w:rPr>
                <w:rFonts w:ascii="Figtree" w:hAnsi="Figtree"/>
                <w:b/>
                <w:i w:val="0"/>
                <w:sz w:val="22"/>
              </w:rPr>
              <w:t>[CLIENT-SPECIFIC]</w:t>
            </w:r>
          </w:p>
        </w:tc>
      </w:tr>
    </w:tbl>
    <w:p>
      <w:pPr>
        <w:pStyle w:val="H3"/>
        <w:numPr>
          <w:ilvl w:val="2"/>
          <w:numId w:val="1"/>
        </w:numPr>
      </w:pPr>
      <w:r>
        <w:t>Support Escalation Model</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Definition</w:t>
            </w:r>
          </w:p>
        </w:tc>
        <w:tc>
          <w:tcPr>
            <w:tcW w:type="dxa" w:w="2436"/>
            <w:vAlign w:val="center"/>
            <w:shd w:fill="000099" w:val="clear"/>
          </w:tcPr>
          <w:p>
            <w:r>
              <w:rPr>
                <w:b/>
                <w:color w:val="FFFFFF"/>
              </w:rPr>
            </w:r>
            <w:r>
              <w:rPr>
                <w:rFonts w:ascii="Figtree" w:hAnsi="Figtree"/>
                <w:b/>
                <w:i w:val="0"/>
                <w:color w:val="FFFFFF"/>
                <w:sz w:val="22"/>
              </w:rPr>
              <w:t>Response</w:t>
            </w:r>
          </w:p>
        </w:tc>
        <w:tc>
          <w:tcPr>
            <w:tcW w:type="dxa" w:w="2436"/>
            <w:vAlign w:val="center"/>
            <w:shd w:fill="000099" w:val="clear"/>
          </w:tcPr>
          <w:p>
            <w:r>
              <w:rPr>
                <w:b/>
                <w:color w:val="FFFFFF"/>
              </w:rPr>
            </w:r>
            <w:r>
              <w:rPr>
                <w:rFonts w:ascii="Figtree" w:hAnsi="Figtree"/>
                <w:b/>
                <w:i w:val="0"/>
                <w:color w:val="FFFFFF"/>
                <w:sz w:val="22"/>
              </w:rPr>
              <w:t>Resolution Target</w:t>
            </w:r>
          </w:p>
        </w:tc>
      </w:tr>
      <w:tr>
        <w:trPr>
          <w:trHeight w:val="454" w:hRule="atLeast"/>
        </w:trPr>
        <w:tc>
          <w:tcPr>
            <w:tcW w:type="dxa" w:w="2436"/>
            <w:vAlign w:val="center"/>
          </w:tcPr>
          <w:p>
            <w:r/>
            <w:r>
              <w:rPr>
                <w:rFonts w:ascii="Figtree" w:hAnsi="Figtree"/>
                <w:b w:val="0"/>
                <w:i w:val="0"/>
                <w:sz w:val="22"/>
              </w:rPr>
              <w:t>P1 — Critical</w:t>
            </w:r>
          </w:p>
        </w:tc>
        <w:tc>
          <w:tcPr>
            <w:tcW w:type="dxa" w:w="2436"/>
            <w:vAlign w:val="center"/>
          </w:tcPr>
          <w:p>
            <w:r/>
            <w:r>
              <w:rPr>
                <w:rFonts w:ascii="Figtree" w:hAnsi="Figtree"/>
                <w:b w:val="0"/>
                <w:i w:val="0"/>
                <w:sz w:val="22"/>
              </w:rPr>
              <w:t>Production down, no workaround</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P2 — High</w:t>
            </w:r>
          </w:p>
        </w:tc>
        <w:tc>
          <w:tcPr>
            <w:tcW w:type="dxa" w:w="2436"/>
            <w:vAlign w:val="center"/>
          </w:tcPr>
          <w:p>
            <w:r/>
            <w:r>
              <w:rPr>
                <w:rFonts w:ascii="Figtree" w:hAnsi="Figtree"/>
                <w:b w:val="0"/>
                <w:i w:val="0"/>
                <w:sz w:val="22"/>
              </w:rPr>
              <w:t>Major feature impaired, workaround exists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8 hours</w:t>
            </w:r>
          </w:p>
        </w:tc>
      </w:tr>
      <w:tr>
        <w:trPr>
          <w:trHeight w:val="454" w:hRule="atLeast"/>
        </w:trPr>
        <w:tc>
          <w:tcPr>
            <w:tcW w:type="dxa" w:w="2436"/>
            <w:vAlign w:val="center"/>
          </w:tcPr>
          <w:p>
            <w:r/>
            <w:r>
              <w:rPr>
                <w:rFonts w:ascii="Figtree" w:hAnsi="Figtree"/>
                <w:b w:val="0"/>
                <w:i w:val="0"/>
                <w:sz w:val="22"/>
              </w:rPr>
              <w:t>P3 — Medium</w:t>
            </w:r>
          </w:p>
        </w:tc>
        <w:tc>
          <w:tcPr>
            <w:tcW w:type="dxa" w:w="2436"/>
            <w:vAlign w:val="center"/>
          </w:tcPr>
          <w:p>
            <w:r/>
            <w:r>
              <w:rPr>
                <w:rFonts w:ascii="Figtree" w:hAnsi="Figtree"/>
                <w:b w:val="0"/>
                <w:i w:val="0"/>
                <w:sz w:val="22"/>
              </w:rPr>
              <w:t>Non-critical issue, limited impact</w:t>
            </w:r>
          </w:p>
        </w:tc>
        <w:tc>
          <w:tcPr>
            <w:tcW w:type="dxa" w:w="2436"/>
            <w:vAlign w:val="center"/>
          </w:tcPr>
          <w:p>
            <w:r/>
            <w:r>
              <w:rPr>
                <w:rFonts w:ascii="Figtree" w:hAnsi="Figtree"/>
                <w:b w:val="0"/>
                <w:i w:val="0"/>
                <w:sz w:val="22"/>
              </w:rPr>
              <w:t>1 business day</w:t>
            </w:r>
          </w:p>
        </w:tc>
        <w:tc>
          <w:tcPr>
            <w:tcW w:type="dxa" w:w="2436"/>
            <w:vAlign w:val="center"/>
          </w:tcPr>
          <w:p>
            <w:r/>
            <w:r>
              <w:rPr>
                <w:rFonts w:ascii="Figtree" w:hAnsi="Figtree"/>
                <w:b w:val="0"/>
                <w:i w:val="0"/>
                <w:sz w:val="22"/>
              </w:rPr>
              <w:t>5 business days</w:t>
            </w:r>
          </w:p>
        </w:tc>
      </w:tr>
      <w:tr>
        <w:trPr>
          <w:trHeight w:val="454" w:hRule="atLeast"/>
        </w:trPr>
        <w:tc>
          <w:tcPr>
            <w:tcW w:type="dxa" w:w="2436"/>
            <w:vAlign w:val="center"/>
          </w:tcPr>
          <w:p>
            <w:r/>
            <w:r>
              <w:rPr>
                <w:rFonts w:ascii="Figtree" w:hAnsi="Figtree"/>
                <w:b w:val="0"/>
                <w:i w:val="0"/>
                <w:sz w:val="22"/>
              </w:rPr>
              <w:t>P4 — Low</w:t>
            </w:r>
          </w:p>
        </w:tc>
        <w:tc>
          <w:tcPr>
            <w:tcW w:type="dxa" w:w="2436"/>
            <w:vAlign w:val="center"/>
          </w:tcPr>
          <w:p>
            <w:r/>
            <w:r>
              <w:rPr>
                <w:rFonts w:ascii="Figtree" w:hAnsi="Figtree"/>
                <w:b w:val="0"/>
                <w:i w:val="0"/>
                <w:sz w:val="22"/>
              </w:rPr>
              <w:t>Enhancement request, cosmetic issue</w:t>
            </w:r>
          </w:p>
        </w:tc>
        <w:tc>
          <w:tcPr>
            <w:tcW w:type="dxa" w:w="2436"/>
            <w:vAlign w:val="center"/>
          </w:tcPr>
          <w:p>
            <w:r/>
            <w:r>
              <w:rPr>
                <w:rFonts w:ascii="Figtree" w:hAnsi="Figtree"/>
                <w:b w:val="0"/>
                <w:i w:val="0"/>
                <w:sz w:val="22"/>
              </w:rPr>
              <w:t>3 business days</w:t>
            </w:r>
          </w:p>
        </w:tc>
        <w:tc>
          <w:tcPr>
            <w:tcW w:type="dxa" w:w="2436"/>
            <w:vAlign w:val="center"/>
          </w:tcPr>
          <w:p>
            <w:r/>
            <w:r>
              <w:rPr>
                <w:rFonts w:ascii="Figtree" w:hAnsi="Figtree"/>
                <w:b w:val="0"/>
                <w:i w:val="0"/>
                <w:sz w:val="22"/>
              </w:rPr>
              <w:t>Next release</w:t>
            </w:r>
          </w:p>
        </w:tc>
      </w:tr>
    </w:tbl>
    <w:p>
      <w:r>
        <w:br w:type="page"/>
      </w:r>
    </w:p>
    <w:p>
      <w:pPr>
        <w:pStyle w:val="H2"/>
        <w:numPr>
          <w:ilvl w:val="1"/>
          <w:numId w:val="1"/>
        </w:numPr>
      </w:pPr>
      <w:r>
        <w:t>Total Cost of Ownership</w:t>
      </w:r>
    </w:p>
    <w:p>
      <w:pPr>
        <w:pStyle w:val="H3"/>
        <w:numPr>
          <w:ilvl w:val="2"/>
          <w:numId w:val="1"/>
        </w:numPr>
      </w:pPr>
      <w:r>
        <w:t>Three-Year TCO Components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Cost Component</w:t>
            </w:r>
          </w:p>
        </w:tc>
        <w:tc>
          <w:tcPr>
            <w:tcW w:type="dxa" w:w="1949"/>
            <w:vAlign w:val="center"/>
            <w:shd w:fill="000099" w:val="clear"/>
          </w:tcPr>
          <w:p>
            <w:r>
              <w:rPr>
                <w:b/>
                <w:color w:val="FFFFFF"/>
              </w:rPr>
            </w:r>
            <w:r>
              <w:rPr>
                <w:rFonts w:ascii="Figtree" w:hAnsi="Figtree"/>
                <w:b/>
                <w:i w:val="0"/>
                <w:color w:val="FFFFFF"/>
                <w:sz w:val="22"/>
              </w:rPr>
              <w:t>Year 1</w:t>
            </w:r>
          </w:p>
        </w:tc>
        <w:tc>
          <w:tcPr>
            <w:tcW w:type="dxa" w:w="1949"/>
            <w:vAlign w:val="center"/>
            <w:shd w:fill="000099" w:val="clear"/>
          </w:tcPr>
          <w:p>
            <w:r>
              <w:rPr>
                <w:b/>
                <w:color w:val="FFFFFF"/>
              </w:rPr>
            </w:r>
            <w:r>
              <w:rPr>
                <w:rFonts w:ascii="Figtree" w:hAnsi="Figtree"/>
                <w:b/>
                <w:i w:val="0"/>
                <w:color w:val="FFFFFF"/>
                <w:sz w:val="22"/>
              </w:rPr>
              <w:t>Year 2</w:t>
            </w:r>
          </w:p>
        </w:tc>
        <w:tc>
          <w:tcPr>
            <w:tcW w:type="dxa" w:w="1949"/>
            <w:vAlign w:val="center"/>
            <w:shd w:fill="000099" w:val="clear"/>
          </w:tcPr>
          <w:p>
            <w:r>
              <w:rPr>
                <w:b/>
                <w:color w:val="FFFFFF"/>
              </w:rPr>
            </w:r>
            <w:r>
              <w:rPr>
                <w:rFonts w:ascii="Figtree" w:hAnsi="Figtree"/>
                <w:b/>
                <w:i w:val="0"/>
                <w:color w:val="FFFFFF"/>
                <w:sz w:val="22"/>
              </w:rPr>
              <w:t>Year 3</w:t>
            </w:r>
          </w:p>
        </w:tc>
        <w:tc>
          <w:tcPr>
            <w:tcW w:type="dxa" w:w="1949"/>
            <w:vAlign w:val="center"/>
            <w:shd w:fill="000099" w:val="clear"/>
          </w:tcPr>
          <w:p>
            <w:r>
              <w:rPr>
                <w:b/>
                <w:color w:val="FFFFFF"/>
              </w:rPr>
            </w:r>
            <w:r>
              <w:rPr>
                <w:rFonts w:ascii="Figtree" w:hAnsi="Figtree"/>
                <w:b/>
                <w:i w:val="0"/>
                <w:color w:val="FFFFFF"/>
                <w:sz w:val="22"/>
              </w:rPr>
              <w:t>Three-Year Total</w:t>
            </w:r>
          </w:p>
        </w:tc>
      </w:tr>
      <w:tr>
        <w:trPr>
          <w:trHeight w:val="454" w:hRule="atLeast"/>
        </w:trPr>
        <w:tc>
          <w:tcPr>
            <w:tcW w:type="dxa" w:w="1949"/>
            <w:vAlign w:val="center"/>
          </w:tcPr>
          <w:p>
            <w:r/>
            <w:r>
              <w:rPr>
                <w:rFonts w:ascii="Figtree" w:hAnsi="Figtree"/>
                <w:b w:val="0"/>
                <w:i w:val="0"/>
                <w:sz w:val="22"/>
              </w:rPr>
              <w:t>Platform license (Enterprise)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Implementation services</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Premium support</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Infrastructure (cloud hosting)</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r>
    </w:tbl>
    <w:p>
      <w:pPr>
        <w:pStyle w:val="H3"/>
        <w:numPr>
          <w:ilvl w:val="2"/>
          <w:numId w:val="1"/>
        </w:numPr>
      </w:pPr>
      <w:r>
        <w:t>What Is Not Included (Exclusions)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Exclusion</w:t>
            </w:r>
          </w:p>
        </w:tc>
        <w:tc>
          <w:tcPr>
            <w:tcW w:type="dxa" w:w="3249"/>
            <w:vAlign w:val="center"/>
            <w:shd w:fill="000099" w:val="clear"/>
          </w:tcPr>
          <w:p>
            <w:r>
              <w:rPr>
                <w:b/>
                <w:color w:val="FFFFFF"/>
              </w:rPr>
            </w:r>
            <w:r>
              <w:rPr>
                <w:rFonts w:ascii="Figtree" w:hAnsi="Figtree"/>
                <w:b/>
                <w:i w:val="0"/>
                <w:color w:val="FFFFFF"/>
                <w:sz w:val="22"/>
              </w:rPr>
              <w:t>Responsibility</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Cloud infrastructure costs</w:t>
            </w:r>
          </w:p>
        </w:tc>
        <w:tc>
          <w:tcPr>
            <w:tcW w:type="dxa" w:w="3249"/>
            <w:vAlign w:val="center"/>
          </w:tcPr>
          <w:p>
            <w:r/>
            <w:r>
              <w:rPr>
                <w:rFonts w:ascii="Figtree" w:hAnsi="Figtree"/>
                <w:b w:val="0"/>
                <w:i w:val="0"/>
                <w:sz w:val="22"/>
              </w:rPr>
              <w:t>Al Rajhi Bank</w:t>
            </w:r>
          </w:p>
        </w:tc>
        <w:tc>
          <w:tcPr>
            <w:tcW w:type="dxa" w:w="3249"/>
            <w:vAlign w:val="center"/>
          </w:tcPr>
          <w:p>
            <w:r/>
            <w:r>
              <w:rPr>
                <w:rFonts w:ascii="Figtree" w:hAnsi="Figtree"/>
                <w:b w:val="0"/>
                <w:i w:val="0"/>
                <w:sz w:val="22"/>
              </w:rPr>
              <w:t>KSA-resident infrastructure provisioning</w:t>
            </w:r>
          </w:p>
        </w:tc>
      </w:tr>
      <w:tr>
        <w:trPr>
          <w:trHeight w:val="454" w:hRule="atLeast"/>
        </w:trPr>
        <w:tc>
          <w:tcPr>
            <w:tcW w:type="dxa" w:w="3249"/>
            <w:vAlign w:val="center"/>
          </w:tcPr>
          <w:p>
            <w:r/>
            <w:r>
              <w:rPr>
                <w:rFonts w:ascii="Figtree" w:hAnsi="Figtree"/>
                <w:b w:val="0"/>
                <w:i w:val="0"/>
                <w:sz w:val="22"/>
              </w:rPr>
              <w:t>Core banking integration development</w:t>
            </w:r>
          </w:p>
        </w:tc>
        <w:tc>
          <w:tcPr>
            <w:tcW w:type="dxa" w:w="3249"/>
            <w:vAlign w:val="center"/>
          </w:tcPr>
          <w:p>
            <w:r/>
            <w:r>
              <w:rPr>
                <w:rFonts w:ascii="Figtree" w:hAnsi="Figtree"/>
                <w:b w:val="0"/>
                <w:i w:val="0"/>
                <w:sz w:val="22"/>
              </w:rPr>
              <w:t>Al Rajhi Bank</w:t>
            </w:r>
          </w:p>
        </w:tc>
        <w:tc>
          <w:tcPr>
            <w:tcW w:type="dxa" w:w="3249"/>
            <w:vAlign w:val="center"/>
          </w:tcPr>
          <w:p>
            <w:r/>
            <w:r>
              <w:rPr>
                <w:rFonts w:ascii="Figtree" w:hAnsi="Figtree"/>
                <w:b w:val="0"/>
                <w:i w:val="0"/>
                <w:sz w:val="22"/>
              </w:rPr>
              <w:t>API readiness on client side</w:t>
            </w:r>
          </w:p>
        </w:tc>
      </w:tr>
      <w:tr>
        <w:trPr>
          <w:trHeight w:val="454" w:hRule="atLeast"/>
        </w:trPr>
        <w:tc>
          <w:tcPr>
            <w:tcW w:type="dxa" w:w="3249"/>
            <w:vAlign w:val="center"/>
          </w:tcPr>
          <w:p>
            <w:r/>
            <w:r>
              <w:rPr>
                <w:rFonts w:ascii="Figtree" w:hAnsi="Figtree"/>
                <w:b w:val="0"/>
                <w:i w:val="0"/>
                <w:sz w:val="22"/>
              </w:rPr>
              <w:t>Yakeen national ID integration license</w:t>
            </w:r>
          </w:p>
        </w:tc>
        <w:tc>
          <w:tcPr>
            <w:tcW w:type="dxa" w:w="3249"/>
            <w:vAlign w:val="center"/>
          </w:tcPr>
          <w:p>
            <w:r/>
            <w:r>
              <w:rPr>
                <w:rFonts w:ascii="Figtree" w:hAnsi="Figtree"/>
                <w:b w:val="0"/>
                <w:i w:val="0"/>
                <w:sz w:val="22"/>
              </w:rPr>
              <w:t>Al Rajhi Bank</w:t>
            </w:r>
          </w:p>
        </w:tc>
        <w:tc>
          <w:tcPr>
            <w:tcW w:type="dxa" w:w="3249"/>
            <w:vAlign w:val="center"/>
          </w:tcPr>
          <w:p>
            <w:r/>
            <w:r>
              <w:rPr>
                <w:rFonts w:ascii="Figtree" w:hAnsi="Figtree"/>
                <w:b w:val="0"/>
                <w:i w:val="0"/>
                <w:sz w:val="22"/>
              </w:rPr>
              <w:t>Third-party service agreement</w:t>
            </w:r>
          </w:p>
        </w:tc>
      </w:tr>
      <w:tr>
        <w:trPr>
          <w:trHeight w:val="454" w:hRule="atLeast"/>
        </w:trPr>
        <w:tc>
          <w:tcPr>
            <w:tcW w:type="dxa" w:w="3249"/>
            <w:vAlign w:val="center"/>
          </w:tcPr>
          <w:p>
            <w:r/>
            <w:r>
              <w:rPr>
                <w:rFonts w:ascii="Figtree" w:hAnsi="Figtree"/>
                <w:b w:val="0"/>
                <w:i w:val="0"/>
                <w:sz w:val="22"/>
              </w:rPr>
              <w:t>Custody provider fees</w:t>
            </w:r>
          </w:p>
        </w:tc>
        <w:tc>
          <w:tcPr>
            <w:tcW w:type="dxa" w:w="3249"/>
            <w:vAlign w:val="center"/>
          </w:tcPr>
          <w:p>
            <w:r/>
            <w:r>
              <w:rPr>
                <w:rFonts w:ascii="Figtree" w:hAnsi="Figtree"/>
                <w:b w:val="0"/>
                <w:i w:val="0"/>
                <w:sz w:val="22"/>
              </w:rPr>
              <w:t>Direct with provider</w:t>
            </w:r>
          </w:p>
        </w:tc>
        <w:tc>
          <w:tcPr>
            <w:tcW w:type="dxa" w:w="3249"/>
            <w:vAlign w:val="center"/>
          </w:tcPr>
          <w:p>
            <w:r/>
            <w:r>
              <w:rPr>
                <w:rFonts w:ascii="Figtree" w:hAnsi="Figtree"/>
                <w:b w:val="0"/>
                <w:i w:val="0"/>
                <w:sz w:val="22"/>
              </w:rPr>
              <w:t>DFNS or Fireblocks subscription</w:t>
            </w:r>
          </w:p>
        </w:tc>
      </w:tr>
      <w:tr>
        <w:trPr>
          <w:trHeight w:val="454" w:hRule="atLeast"/>
        </w:trPr>
        <w:tc>
          <w:tcPr>
            <w:tcW w:type="dxa" w:w="3249"/>
            <w:vAlign w:val="center"/>
          </w:tcPr>
          <w:p>
            <w:r/>
            <w:r>
              <w:rPr>
                <w:rFonts w:ascii="Figtree" w:hAnsi="Figtree"/>
                <w:b w:val="0"/>
                <w:i w:val="0"/>
                <w:sz w:val="22"/>
              </w:rPr>
              <w:t>Regulatory filing fees</w:t>
            </w:r>
          </w:p>
        </w:tc>
        <w:tc>
          <w:tcPr>
            <w:tcW w:type="dxa" w:w="3249"/>
            <w:vAlign w:val="center"/>
          </w:tcPr>
          <w:p>
            <w:r/>
            <w:r>
              <w:rPr>
                <w:rFonts w:ascii="Figtree" w:hAnsi="Figtree"/>
                <w:b w:val="0"/>
                <w:i w:val="0"/>
                <w:sz w:val="22"/>
              </w:rPr>
              <w:t>Al Rajhi Bank</w:t>
            </w:r>
          </w:p>
        </w:tc>
        <w:tc>
          <w:tcPr>
            <w:tcW w:type="dxa" w:w="3249"/>
            <w:vAlign w:val="center"/>
          </w:tcPr>
          <w:p>
            <w:r/>
            <w:r>
              <w:rPr>
                <w:rFonts w:ascii="Figtree" w:hAnsi="Figtree"/>
                <w:b w:val="0"/>
                <w:i w:val="0"/>
                <w:sz w:val="22"/>
              </w:rPr>
              <w:t>SAMA/CMA fees</w:t>
            </w:r>
          </w:p>
        </w:tc>
      </w:tr>
      <w:tr>
        <w:trPr>
          <w:trHeight w:val="454" w:hRule="atLeast"/>
        </w:trPr>
        <w:tc>
          <w:tcPr>
            <w:tcW w:type="dxa" w:w="3249"/>
            <w:vAlign w:val="center"/>
          </w:tcPr>
          <w:p>
            <w:r/>
            <w:r>
              <w:rPr>
                <w:rFonts w:ascii="Figtree" w:hAnsi="Figtree"/>
                <w:b w:val="0"/>
                <w:i w:val="0"/>
                <w:sz w:val="22"/>
              </w:rPr>
              <w:t>Sharia board compensation</w:t>
            </w:r>
          </w:p>
        </w:tc>
        <w:tc>
          <w:tcPr>
            <w:tcW w:type="dxa" w:w="3249"/>
            <w:vAlign w:val="center"/>
          </w:tcPr>
          <w:p>
            <w:r/>
            <w:r>
              <w:rPr>
                <w:rFonts w:ascii="Figtree" w:hAnsi="Figtree"/>
                <w:b w:val="0"/>
                <w:i w:val="0"/>
                <w:sz w:val="22"/>
              </w:rPr>
              <w:t>Al Rajhi Bank</w:t>
            </w:r>
          </w:p>
        </w:tc>
        <w:tc>
          <w:tcPr>
            <w:tcW w:type="dxa" w:w="3249"/>
            <w:vAlign w:val="center"/>
          </w:tcPr>
          <w:p>
            <w:r/>
            <w:r>
              <w:rPr>
                <w:rFonts w:ascii="Figtree" w:hAnsi="Figtree"/>
                <w:b w:val="0"/>
                <w:i w:val="0"/>
                <w:sz w:val="22"/>
              </w:rPr>
              <w:t>Internal governance cost</w:t>
            </w:r>
          </w:p>
        </w:tc>
      </w:tr>
      <w:tr>
        <w:trPr>
          <w:trHeight w:val="454" w:hRule="atLeast"/>
        </w:trPr>
        <w:tc>
          <w:tcPr>
            <w:tcW w:type="dxa" w:w="3249"/>
            <w:vAlign w:val="center"/>
          </w:tcPr>
          <w:p>
            <w:r/>
            <w:r>
              <w:rPr>
                <w:rFonts w:ascii="Figtree" w:hAnsi="Figtree"/>
                <w:b w:val="0"/>
                <w:i w:val="0"/>
                <w:sz w:val="22"/>
              </w:rPr>
              <w:t>Custom Sharia board dashboard</w:t>
            </w:r>
          </w:p>
        </w:tc>
        <w:tc>
          <w:tcPr>
            <w:tcW w:type="dxa" w:w="3249"/>
            <w:vAlign w:val="center"/>
          </w:tcPr>
          <w:p>
            <w:r/>
            <w:r>
              <w:rPr>
                <w:rFonts w:ascii="Figtree" w:hAnsi="Figtree"/>
                <w:b w:val="0"/>
                <w:i w:val="0"/>
                <w:sz w:val="22"/>
              </w:rPr>
              <w:t>Additional scope</w:t>
            </w:r>
          </w:p>
        </w:tc>
        <w:tc>
          <w:tcPr>
            <w:tcW w:type="dxa" w:w="3249"/>
            <w:vAlign w:val="center"/>
          </w:tcPr>
          <w:p>
            <w:r/>
            <w:r>
              <w:rPr>
                <w:rFonts w:ascii="Figtree" w:hAnsi="Figtree"/>
                <w:b w:val="0"/>
                <w:i w:val="0"/>
                <w:sz w:val="22"/>
              </w:rPr>
              <w:t>Estimated 2 weeks, priced separately if required</w:t>
            </w:r>
          </w:p>
        </w:tc>
      </w:tr>
    </w:tbl>
    <w:p>
      <w:pPr>
        <w:pStyle w:val="H3"/>
        <w:numPr>
          <w:ilvl w:val="2"/>
          <w:numId w:val="1"/>
        </w:numPr>
      </w:pPr>
      <w:r>
        <w:t>Scaling Economics</w:t>
      </w:r>
    </w:p>
    <w:p>
      <w:r>
        <w:rPr>
          <w:rFonts w:ascii="Figtree" w:hAnsi="Figtree"/>
          <w:b w:val="0"/>
          <w:i w:val="0"/>
          <w:sz w:val="22"/>
        </w:rPr>
        <w:t>DALP's platform licensing means Al Rajhi Bank's costs do not scale with:</w:t>
      </w:r>
    </w:p>
    <w:p>
      <w:pPr>
        <w:pStyle w:val="ListParagraph"/>
        <w:numPr>
          <w:ilvl w:val="0"/>
          <w:numId w:val="4"/>
        </w:numPr>
      </w:pPr>
      <w:r>
        <w:rPr>
          <w:rFonts w:ascii="Figtree" w:hAnsi="Figtree"/>
          <w:b w:val="0"/>
          <w:i w:val="0"/>
          <w:sz w:val="22"/>
        </w:rPr>
        <w:t>Number of tokenized products launched</w:t>
      </w:r>
    </w:p>
    <w:p>
      <w:pPr>
        <w:pStyle w:val="ListParagraph"/>
        <w:numPr>
          <w:ilvl w:val="0"/>
          <w:numId w:val="4"/>
        </w:numPr>
      </w:pPr>
      <w:r>
        <w:rPr>
          <w:rFonts w:ascii="Figtree" w:hAnsi="Figtree"/>
          <w:b w:val="0"/>
          <w:i w:val="0"/>
          <w:sz w:val="22"/>
        </w:rPr>
        <w:t>Number of investors onboarded</w:t>
      </w:r>
    </w:p>
    <w:p>
      <w:pPr>
        <w:pStyle w:val="ListParagraph"/>
        <w:numPr>
          <w:ilvl w:val="0"/>
          <w:numId w:val="4"/>
        </w:numPr>
      </w:pPr>
      <w:r>
        <w:rPr>
          <w:rFonts w:ascii="Figtree" w:hAnsi="Figtree"/>
          <w:b w:val="0"/>
          <w:i w:val="0"/>
          <w:sz w:val="22"/>
        </w:rPr>
        <w:t>Volume of transactions processed</w:t>
      </w:r>
    </w:p>
    <w:p>
      <w:pPr>
        <w:pStyle w:val="ListParagraph"/>
        <w:numPr>
          <w:ilvl w:val="0"/>
          <w:numId w:val="4"/>
        </w:numPr>
      </w:pPr>
      <w:r>
        <w:rPr>
          <w:rFonts w:ascii="Figtree" w:hAnsi="Figtree"/>
          <w:b w:val="0"/>
          <w:i w:val="0"/>
          <w:sz w:val="22"/>
        </w:rPr>
        <w:t>Number of compliance checks executed</w:t>
      </w:r>
    </w:p>
    <w:p>
      <w:pPr>
        <w:pStyle w:val="ListParagraph"/>
        <w:numPr>
          <w:ilvl w:val="0"/>
          <w:numId w:val="4"/>
        </w:numPr>
      </w:pPr>
      <w:r>
        <w:rPr>
          <w:rFonts w:ascii="Figtree" w:hAnsi="Figtree"/>
          <w:b w:val="0"/>
          <w:i w:val="0"/>
          <w:sz w:val="22"/>
        </w:rPr>
        <w:t>Number of profit distributions processed</w:t>
      </w:r>
    </w:p>
    <w:p>
      <w:r>
        <w:rPr>
          <w:rFonts w:ascii="Figtree" w:hAnsi="Figtree"/>
          <w:b w:val="0"/>
          <w:i w:val="0"/>
          <w:sz w:val="22"/>
        </w:rPr>
        <w:t>This is critical for Sharia-compliant products where compliance checks and profit distributions occur at high frequency. A per-transaction pricing model would create a perverse incentive to minimize the very compliance checks that regulatory and Sharia governance require.</w:t>
      </w:r>
    </w:p>
    <w:p>
      <w:r>
        <w:br w:type="page"/>
      </w:r>
    </w:p>
    <w:p>
      <w:pPr>
        <w:pStyle w:val="H2"/>
        <w:numPr>
          <w:ilvl w:val="1"/>
          <w:numId w:val="1"/>
        </w:numPr>
      </w:pPr>
      <w:r>
        <w:t>Contractual Framework</w:t>
      </w:r>
    </w:p>
    <w:p>
      <w:pPr>
        <w:pStyle w:val="H3"/>
        <w:numPr>
          <w:ilvl w:val="2"/>
          <w:numId w:val="1"/>
        </w:numPr>
      </w:pPr>
      <w:r>
        <w:t>Contract Components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Component</w:t>
            </w:r>
          </w:p>
        </w:tc>
        <w:tc>
          <w:tcPr>
            <w:tcW w:type="dxa" w:w="4873"/>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4873"/>
            <w:vAlign w:val="center"/>
          </w:tcPr>
          <w:p>
            <w:r/>
            <w:r>
              <w:rPr>
                <w:rFonts w:ascii="Figtree" w:hAnsi="Figtree"/>
                <w:b w:val="0"/>
                <w:i w:val="0"/>
                <w:sz w:val="22"/>
              </w:rPr>
              <w:t>Platform License Agreement</w:t>
            </w:r>
          </w:p>
        </w:tc>
        <w:tc>
          <w:tcPr>
            <w:tcW w:type="dxa" w:w="4873"/>
            <w:vAlign w:val="center"/>
          </w:tcPr>
          <w:p>
            <w:r/>
            <w:r>
              <w:rPr>
                <w:rFonts w:ascii="Figtree" w:hAnsi="Figtree"/>
                <w:b w:val="0"/>
                <w:i w:val="0"/>
                <w:sz w:val="22"/>
              </w:rPr>
              <w:t>Annual subscription, renewal terms, update entitlements</w:t>
            </w:r>
          </w:p>
        </w:tc>
      </w:tr>
      <w:tr>
        <w:trPr>
          <w:trHeight w:val="454" w:hRule="atLeast"/>
        </w:trPr>
        <w:tc>
          <w:tcPr>
            <w:tcW w:type="dxa" w:w="4873"/>
            <w:vAlign w:val="center"/>
          </w:tcPr>
          <w:p>
            <w:r/>
            <w:r>
              <w:rPr>
                <w:rFonts w:ascii="Figtree" w:hAnsi="Figtree"/>
                <w:b w:val="0"/>
                <w:i w:val="0"/>
                <w:sz w:val="22"/>
              </w:rPr>
              <w:t>Implementation Services Agreement</w:t>
            </w:r>
          </w:p>
        </w:tc>
        <w:tc>
          <w:tcPr>
            <w:tcW w:type="dxa" w:w="4873"/>
            <w:vAlign w:val="center"/>
          </w:tcPr>
          <w:p>
            <w:r/>
            <w:r>
              <w:rPr>
                <w:rFonts w:ascii="Figtree" w:hAnsi="Figtree"/>
                <w:b w:val="0"/>
                <w:i w:val="0"/>
                <w:sz w:val="22"/>
              </w:rPr>
              <w:t>Fixed scope, milestones, acceptance criteria, change control</w:t>
            </w:r>
          </w:p>
        </w:tc>
      </w:tr>
      <w:tr>
        <w:trPr>
          <w:trHeight w:val="454" w:hRule="atLeast"/>
        </w:trPr>
        <w:tc>
          <w:tcPr>
            <w:tcW w:type="dxa" w:w="4873"/>
            <w:vAlign w:val="center"/>
          </w:tcPr>
          <w:p>
            <w:r/>
            <w:r>
              <w:rPr>
                <w:rFonts w:ascii="Figtree" w:hAnsi="Figtree"/>
                <w:b w:val="0"/>
                <w:i w:val="0"/>
                <w:sz w:val="22"/>
              </w:rPr>
              <w:t>Support Services Agreement</w:t>
            </w:r>
          </w:p>
        </w:tc>
        <w:tc>
          <w:tcPr>
            <w:tcW w:type="dxa" w:w="4873"/>
            <w:vAlign w:val="center"/>
          </w:tcPr>
          <w:p>
            <w:r/>
            <w:r>
              <w:rPr>
                <w:rFonts w:ascii="Figtree" w:hAnsi="Figtree"/>
                <w:b w:val="0"/>
                <w:i w:val="0"/>
                <w:sz w:val="22"/>
              </w:rPr>
              <w:t>SLA commitments, escalation procedures, coverage hours</w:t>
            </w:r>
          </w:p>
        </w:tc>
      </w:tr>
      <w:tr>
        <w:trPr>
          <w:trHeight w:val="454" w:hRule="atLeast"/>
        </w:trPr>
        <w:tc>
          <w:tcPr>
            <w:tcW w:type="dxa" w:w="4873"/>
            <w:vAlign w:val="center"/>
          </w:tcPr>
          <w:p>
            <w:r/>
            <w:r>
              <w:rPr>
                <w:rFonts w:ascii="Figtree" w:hAnsi="Figtree"/>
                <w:b w:val="0"/>
                <w:i w:val="0"/>
                <w:sz w:val="22"/>
              </w:rPr>
              <w:t>Data Processing Agreement</w:t>
            </w:r>
          </w:p>
        </w:tc>
        <w:tc>
          <w:tcPr>
            <w:tcW w:type="dxa" w:w="4873"/>
            <w:vAlign w:val="center"/>
          </w:tcPr>
          <w:p>
            <w:r/>
            <w:r>
              <w:rPr>
                <w:rFonts w:ascii="Figtree" w:hAnsi="Figtree"/>
                <w:b w:val="0"/>
                <w:i w:val="0"/>
                <w:sz w:val="22"/>
              </w:rPr>
              <w:t>Data handling, residency (KSA), retention, deletion</w:t>
            </w:r>
          </w:p>
        </w:tc>
      </w:tr>
      <w:tr>
        <w:trPr>
          <w:trHeight w:val="454" w:hRule="atLeast"/>
        </w:trPr>
        <w:tc>
          <w:tcPr>
            <w:tcW w:type="dxa" w:w="4873"/>
            <w:vAlign w:val="center"/>
          </w:tcPr>
          <w:p>
            <w:r/>
            <w:r>
              <w:rPr>
                <w:rFonts w:ascii="Figtree" w:hAnsi="Figtree"/>
                <w:b w:val="0"/>
                <w:i w:val="0"/>
                <w:sz w:val="22"/>
              </w:rPr>
              <w:t>Confidentiality Agreement</w:t>
            </w:r>
          </w:p>
        </w:tc>
        <w:tc>
          <w:tcPr>
            <w:tcW w:type="dxa" w:w="4873"/>
            <w:vAlign w:val="center"/>
          </w:tcPr>
          <w:p>
            <w:r/>
            <w:r>
              <w:rPr>
                <w:rFonts w:ascii="Figtree" w:hAnsi="Figtree"/>
                <w:b w:val="0"/>
                <w:i w:val="0"/>
                <w:sz w:val="22"/>
              </w:rPr>
              <w:t>Mutual NDA covering proposal and engagement materials</w:t>
            </w:r>
          </w:p>
        </w:tc>
      </w:tr>
    </w:tbl>
    <w:p>
      <w:pPr>
        <w:pStyle w:val="H3"/>
        <w:numPr>
          <w:ilvl w:val="2"/>
          <w:numId w:val="1"/>
        </w:numPr>
      </w:pPr>
      <w:r>
        <w:t>Key Commercial Terms</w:t>
      </w:r>
    </w:p>
    <w:p>
      <w:pPr>
        <w:pStyle w:val="ListParagraph"/>
        <w:numPr>
          <w:ilvl w:val="0"/>
          <w:numId w:val="4"/>
        </w:numPr>
      </w:pPr>
      <w:r>
        <w:rPr>
          <w:rFonts w:ascii="Figtree" w:hAnsi="Figtree"/>
          <w:b/>
          <w:i w:val="0"/>
          <w:sz w:val="22"/>
        </w:rPr>
        <w:t>Payment terms:</w:t>
      </w:r>
      <w:r>
        <w:rPr>
          <w:rFonts w:ascii="Figtree" w:hAnsi="Figtree"/>
          <w:b w:val="0"/>
          <w:i w:val="0"/>
          <w:sz w:val="22"/>
        </w:rPr>
        <w:t xml:space="preserve"> Milestone-based for implementation; annual in advance for license and support</w:t>
      </w:r>
    </w:p>
    <w:p>
      <w:pPr>
        <w:pStyle w:val="ListParagraph"/>
        <w:numPr>
          <w:ilvl w:val="0"/>
          <w:numId w:val="4"/>
        </w:numPr>
      </w:pPr>
      <w:r>
        <w:rPr>
          <w:rFonts w:ascii="Figtree" w:hAnsi="Figtree"/>
          <w:b/>
          <w:i w:val="0"/>
          <w:sz w:val="22"/>
        </w:rPr>
        <w:t>Contract term:</w:t>
      </w:r>
      <w:r>
        <w:rPr>
          <w:rFonts w:ascii="Figtree" w:hAnsi="Figtree"/>
          <w:b w:val="0"/>
          <w:i w:val="0"/>
          <w:sz w:val="22"/>
        </w:rPr>
        <w:t xml:space="preserve"> Initial three-year term with annual renewal option</w:t>
      </w:r>
    </w:p>
    <w:p>
      <w:pPr>
        <w:pStyle w:val="ListParagraph"/>
        <w:numPr>
          <w:ilvl w:val="0"/>
          <w:numId w:val="4"/>
        </w:numPr>
      </w:pPr>
      <w:r>
        <w:rPr>
          <w:rFonts w:ascii="Figtree" w:hAnsi="Figtree"/>
          <w:b/>
          <w:i w:val="0"/>
          <w:sz w:val="22"/>
        </w:rPr>
        <w:t>Price escalation:</w:t>
      </w:r>
      <w:r>
        <w:rPr>
          <w:rFonts w:ascii="Figtree" w:hAnsi="Figtree"/>
          <w:b w:val="0"/>
          <w:i w:val="0"/>
          <w:sz w:val="22"/>
        </w:rPr>
        <w:t xml:space="preserve"> Capped at [CLIENT-SPECIFIC]% annually after initial term</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assistance, data export in standard formats, documentation handover</w:t>
      </w:r>
    </w:p>
    <w:p>
      <w:pPr>
        <w:pStyle w:val="ListParagraph"/>
        <w:numPr>
          <w:ilvl w:val="0"/>
          <w:numId w:val="4"/>
        </w:numPr>
      </w:pPr>
      <w:r>
        <w:rPr>
          <w:rFonts w:ascii="Figtree" w:hAnsi="Figtree"/>
          <w:b/>
          <w:i w:val="0"/>
          <w:sz w:val="22"/>
        </w:rPr>
        <w:t>Audit rights:</w:t>
      </w:r>
      <w:r>
        <w:rPr>
          <w:rFonts w:ascii="Figtree" w:hAnsi="Figtree"/>
          <w:b w:val="0"/>
          <w:i w:val="0"/>
          <w:sz w:val="22"/>
        </w:rPr>
        <w:t xml:space="preserve"> Al Rajhi Bank retains the right to audit SettleMint's security controls, data handling, and service delivery annually</w:t>
      </w:r>
    </w:p>
    <w:p>
      <w:pPr>
        <w:pStyle w:val="ListParagraph"/>
        <w:numPr>
          <w:ilvl w:val="0"/>
          <w:numId w:val="4"/>
        </w:numPr>
      </w:pPr>
      <w:r>
        <w:rPr>
          <w:rFonts w:ascii="Figtree" w:hAnsi="Figtree"/>
          <w:b/>
          <w:i w:val="0"/>
          <w:sz w:val="22"/>
        </w:rPr>
        <w:t>Subcontracting:</w:t>
      </w:r>
      <w:r>
        <w:rPr>
          <w:rFonts w:ascii="Figtree" w:hAnsi="Figtree"/>
          <w:b w:val="0"/>
          <w:i w:val="0"/>
          <w:sz w:val="22"/>
        </w:rPr>
        <w:t xml:space="preserve"> Any subcontractors disclosed in advance; Al Rajhi Bank retains approval rights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Formal change request process for scope modifications with impact assessment before approval</w:t>
      </w:r>
    </w:p>
    <w:p>
      <w:pPr>
        <w:pStyle w:val="H3"/>
        <w:numPr>
          <w:ilvl w:val="2"/>
          <w:numId w:val="1"/>
        </w:numPr>
      </w:pPr>
      <w:r>
        <w:t>Financial Stability</w:t>
      </w:r>
    </w:p>
    <w:p>
      <w:r>
        <w:rPr>
          <w:rFonts w:ascii="Figtree" w:hAnsi="Figtree"/>
          <w:b w:val="0"/>
          <w:i w:val="0"/>
          <w:sz w:val="22"/>
        </w:rPr>
        <w:t>SettleMint NV is incorporated in Belgium, operating since 2016. Key financial stability indicators:</w:t>
      </w:r>
    </w:p>
    <w:p>
      <w:pPr>
        <w:pStyle w:val="ListParagraph"/>
        <w:numPr>
          <w:ilvl w:val="0"/>
          <w:numId w:val="4"/>
        </w:numPr>
      </w:pPr>
      <w:r>
        <w:rPr>
          <w:rFonts w:ascii="Figtree" w:hAnsi="Figtree"/>
          <w:b w:val="0"/>
          <w:i w:val="0"/>
          <w:sz w:val="22"/>
        </w:rPr>
        <w:t>10 years of continuous operation</w:t>
      </w:r>
    </w:p>
    <w:p>
      <w:pPr>
        <w:pStyle w:val="ListParagraph"/>
        <w:numPr>
          <w:ilvl w:val="0"/>
          <w:numId w:val="4"/>
        </w:numPr>
      </w:pPr>
      <w:r>
        <w:rPr>
          <w:rFonts w:ascii="Figtree" w:hAnsi="Figtree"/>
          <w:b w:val="0"/>
          <w:i w:val="0"/>
          <w:sz w:val="22"/>
        </w:rPr>
        <w:t>Series A funded by leading European and Middle Eastern investors</w:t>
      </w:r>
    </w:p>
    <w:p>
      <w:pPr>
        <w:pStyle w:val="ListParagraph"/>
        <w:numPr>
          <w:ilvl w:val="0"/>
          <w:numId w:val="4"/>
        </w:numPr>
      </w:pPr>
      <w:r>
        <w:rPr>
          <w:rFonts w:ascii="Figtree" w:hAnsi="Figtree"/>
          <w:b w:val="0"/>
          <w:i w:val="0"/>
          <w:sz w:val="22"/>
        </w:rPr>
        <w:t>Active production engagements across Europe, Middle East, and Asia-Pacific</w:t>
      </w:r>
    </w:p>
    <w:p>
      <w:pPr>
        <w:pStyle w:val="ListParagraph"/>
        <w:numPr>
          <w:ilvl w:val="0"/>
          <w:numId w:val="4"/>
        </w:numPr>
      </w:pPr>
      <w:r>
        <w:rPr>
          <w:rFonts w:ascii="Figtree" w:hAnsi="Figtree"/>
          <w:b w:val="0"/>
          <w:i w:val="0"/>
          <w:sz w:val="22"/>
        </w:rPr>
        <w:t>No material litigation, sanctions exposure, or regulatory constraints affecting delivery capability</w:t>
      </w:r>
    </w:p>
    <w:p>
      <w:pPr>
        <w:pStyle w:val="ListParagraph"/>
        <w:numPr>
          <w:ilvl w:val="0"/>
          <w:numId w:val="4"/>
        </w:numPr>
      </w:pPr>
      <w:r>
        <w:rPr>
          <w:rFonts w:ascii="Figtree" w:hAnsi="Figtree"/>
          <w:b w:val="0"/>
          <w:i w:val="0"/>
          <w:sz w:val="22"/>
        </w:rPr>
        <w:t>Multi-year contracts with sovereign and tier-1 bank clients providing revenue stability</w:t>
      </w:r>
    </w:p>
    <w:p>
      <w:r>
        <w:br w:type="page"/>
      </w:r>
    </w:p>
    <w:p>
      <w:pPr>
        <w:pStyle w:val="H2"/>
        <w:numPr>
          <w:ilvl w:val="1"/>
          <w:numId w:val="1"/>
        </w:numPr>
      </w:pPr>
      <w:r>
        <w:t>Commercial Decision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Decision Factor</w:t>
            </w:r>
          </w:p>
        </w:tc>
        <w:tc>
          <w:tcPr>
            <w:tcW w:type="dxa" w:w="4873"/>
            <w:vAlign w:val="center"/>
            <w:shd w:fill="000099" w:val="clear"/>
          </w:tcPr>
          <w:p>
            <w:r>
              <w:rPr>
                <w:b/>
                <w:color w:val="FFFFFF"/>
              </w:rPr>
            </w:r>
            <w:r>
              <w:rPr>
                <w:rFonts w:ascii="Figtree" w:hAnsi="Figtree"/>
                <w:b/>
                <w:i w:val="0"/>
                <w:color w:val="FFFFFF"/>
                <w:sz w:val="22"/>
              </w:rPr>
              <w:t>SettleMint DALP Position</w:t>
            </w:r>
          </w:p>
        </w:tc>
      </w:tr>
      <w:tr>
        <w:trPr>
          <w:trHeight w:val="454" w:hRule="atLeast"/>
        </w:trPr>
        <w:tc>
          <w:tcPr>
            <w:tcW w:type="dxa" w:w="4873"/>
            <w:vAlign w:val="center"/>
          </w:tcPr>
          <w:p>
            <w:r/>
            <w:r>
              <w:rPr>
                <w:rFonts w:ascii="Figtree" w:hAnsi="Figtree"/>
                <w:b w:val="0"/>
                <w:i w:val="0"/>
                <w:sz w:val="22"/>
              </w:rPr>
              <w:t>Pricing predictability</w:t>
            </w:r>
          </w:p>
        </w:tc>
        <w:tc>
          <w:tcPr>
            <w:tcW w:type="dxa" w:w="4873"/>
            <w:vAlign w:val="center"/>
          </w:tcPr>
          <w:p>
            <w:r/>
            <w:r>
              <w:rPr>
                <w:rFonts w:ascii="Figtree" w:hAnsi="Figtree"/>
                <w:b w:val="0"/>
                <w:i w:val="0"/>
                <w:sz w:val="22"/>
              </w:rPr>
              <w:t>Platform licensing with zero per-transaction/per-token fees</w:t>
            </w:r>
          </w:p>
        </w:tc>
      </w:tr>
      <w:tr>
        <w:trPr>
          <w:trHeight w:val="454" w:hRule="atLeast"/>
        </w:trPr>
        <w:tc>
          <w:tcPr>
            <w:tcW w:type="dxa" w:w="4873"/>
            <w:vAlign w:val="center"/>
          </w:tcPr>
          <w:p>
            <w:r/>
            <w:r>
              <w:rPr>
                <w:rFonts w:ascii="Figtree" w:hAnsi="Figtree"/>
                <w:b w:val="0"/>
                <w:i w:val="0"/>
                <w:sz w:val="22"/>
              </w:rPr>
              <w:t>Islamic finance capability</w:t>
            </w:r>
          </w:p>
        </w:tc>
        <w:tc>
          <w:tcPr>
            <w:tcW w:type="dxa" w:w="4873"/>
            <w:vAlign w:val="center"/>
          </w:tcPr>
          <w:p>
            <w:r/>
            <w:r>
              <w:rPr>
                <w:rFonts w:ascii="Figtree" w:hAnsi="Figtree"/>
                <w:b w:val="0"/>
                <w:i w:val="0"/>
                <w:sz w:val="22"/>
              </w:rPr>
              <w:t>Production-proven with Islamic Development Bank (57 countries)</w:t>
            </w:r>
          </w:p>
        </w:tc>
      </w:tr>
      <w:tr>
        <w:trPr>
          <w:trHeight w:val="454" w:hRule="atLeast"/>
        </w:trPr>
        <w:tc>
          <w:tcPr>
            <w:tcW w:type="dxa" w:w="4873"/>
            <w:vAlign w:val="center"/>
          </w:tcPr>
          <w:p>
            <w:r/>
            <w:r>
              <w:rPr>
                <w:rFonts w:ascii="Figtree" w:hAnsi="Figtree"/>
                <w:b w:val="0"/>
                <w:i w:val="0"/>
                <w:sz w:val="22"/>
              </w:rPr>
              <w:t>KSA presence</w:t>
            </w:r>
          </w:p>
        </w:tc>
        <w:tc>
          <w:tcPr>
            <w:tcW w:type="dxa" w:w="4873"/>
            <w:vAlign w:val="center"/>
          </w:tcPr>
          <w:p>
            <w:r/>
            <w:r>
              <w:rPr>
                <w:rFonts w:ascii="Figtree" w:hAnsi="Figtree"/>
                <w:b w:val="0"/>
                <w:i w:val="0"/>
                <w:sz w:val="22"/>
              </w:rPr>
              <w:t>Live production deployment (Saudi RER)</w:t>
            </w:r>
          </w:p>
        </w:tc>
      </w:tr>
      <w:tr>
        <w:trPr>
          <w:trHeight w:val="454" w:hRule="atLeast"/>
        </w:trPr>
        <w:tc>
          <w:tcPr>
            <w:tcW w:type="dxa" w:w="4873"/>
            <w:vAlign w:val="center"/>
          </w:tcPr>
          <w:p>
            <w:r/>
            <w:r>
              <w:rPr>
                <w:rFonts w:ascii="Figtree" w:hAnsi="Figtree"/>
                <w:b w:val="0"/>
                <w:i w:val="0"/>
                <w:sz w:val="22"/>
              </w:rPr>
              <w:t>Implementation risk</w:t>
            </w:r>
          </w:p>
        </w:tc>
        <w:tc>
          <w:tcPr>
            <w:tcW w:type="dxa" w:w="4873"/>
            <w:vAlign w:val="center"/>
          </w:tcPr>
          <w:p>
            <w:r/>
            <w:r>
              <w:rPr>
                <w:rFonts w:ascii="Figtree" w:hAnsi="Figtree"/>
                <w:b w:val="0"/>
                <w:i w:val="0"/>
                <w:sz w:val="22"/>
              </w:rPr>
              <w:t>Fixed-fee, phase-gated, 19-week proven methodology</w:t>
            </w:r>
          </w:p>
        </w:tc>
      </w:tr>
      <w:tr>
        <w:trPr>
          <w:trHeight w:val="454" w:hRule="atLeast"/>
        </w:trPr>
        <w:tc>
          <w:tcPr>
            <w:tcW w:type="dxa" w:w="4873"/>
            <w:vAlign w:val="center"/>
          </w:tcPr>
          <w:p>
            <w:r/>
            <w:r>
              <w:rPr>
                <w:rFonts w:ascii="Figtree" w:hAnsi="Figtree"/>
                <w:b w:val="0"/>
                <w:i w:val="0"/>
                <w:sz w:val="22"/>
              </w:rPr>
              <w:t>Scaling economics</w:t>
            </w:r>
          </w:p>
        </w:tc>
        <w:tc>
          <w:tcPr>
            <w:tcW w:type="dxa" w:w="4873"/>
            <w:vAlign w:val="center"/>
          </w:tcPr>
          <w:p>
            <w:r/>
            <w:r>
              <w:rPr>
                <w:rFonts w:ascii="Figtree" w:hAnsi="Figtree"/>
                <w:b w:val="0"/>
                <w:i w:val="0"/>
                <w:sz w:val="22"/>
              </w:rPr>
              <w:t>Costs flat as products, investors, and volumes grow</w:t>
            </w:r>
          </w:p>
        </w:tc>
      </w:tr>
      <w:tr>
        <w:trPr>
          <w:trHeight w:val="454" w:hRule="atLeast"/>
        </w:trPr>
        <w:tc>
          <w:tcPr>
            <w:tcW w:type="dxa" w:w="4873"/>
            <w:vAlign w:val="center"/>
          </w:tcPr>
          <w:p>
            <w:r/>
            <w:r>
              <w:rPr>
                <w:rFonts w:ascii="Figtree" w:hAnsi="Figtree"/>
                <w:b w:val="0"/>
                <w:i w:val="0"/>
                <w:sz w:val="22"/>
              </w:rPr>
              <w:t>Support maturity</w:t>
            </w:r>
          </w:p>
        </w:tc>
        <w:tc>
          <w:tcPr>
            <w:tcW w:type="dxa" w:w="4873"/>
            <w:vAlign w:val="center"/>
          </w:tcPr>
          <w:p>
            <w:r/>
            <w:r>
              <w:rPr>
                <w:rFonts w:ascii="Figtree" w:hAnsi="Figtree"/>
                <w:b w:val="0"/>
                <w:i w:val="0"/>
                <w:sz w:val="22"/>
              </w:rPr>
              <w:t>ISO 27001 and SOC 2 Type II certified operations</w:t>
            </w:r>
          </w:p>
        </w:tc>
      </w:tr>
      <w:tr>
        <w:trPr>
          <w:trHeight w:val="454" w:hRule="atLeast"/>
        </w:trPr>
        <w:tc>
          <w:tcPr>
            <w:tcW w:type="dxa" w:w="4873"/>
            <w:vAlign w:val="center"/>
          </w:tcPr>
          <w:p>
            <w:r/>
            <w:r>
              <w:rPr>
                <w:rFonts w:ascii="Figtree" w:hAnsi="Figtree"/>
                <w:b w:val="0"/>
                <w:i w:val="0"/>
                <w:sz w:val="22"/>
              </w:rPr>
              <w:t>Contractual clarity</w:t>
            </w:r>
          </w:p>
        </w:tc>
        <w:tc>
          <w:tcPr>
            <w:tcW w:type="dxa" w:w="4873"/>
            <w:vAlign w:val="center"/>
          </w:tcPr>
          <w:p>
            <w:r/>
            <w:r>
              <w:rPr>
                <w:rFonts w:ascii="Figtree" w:hAnsi="Figtree"/>
                <w:b w:val="0"/>
                <w:i w:val="0"/>
                <w:sz w:val="22"/>
              </w:rPr>
              <w:t>Transparent pricing, defined assumptions, exit support included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