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14:paraId="4EFBB1EA" w14:textId="77777777" w:rsidR="006B6750" w:rsidRPr="00A9690B" w:rsidRDefault="006B6750"/>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t xml:space="preserve">Table of Contents</w:t>
            <w:rPr>
              <w:b/>
              <w:sz w:val="32"/>
              <w:color w:val="000099"/>
            </w:rPr>
          </w:r>
        </w:p>
        <w:p>
          <w:r>
            <w:fldChar w:fldCharType="begin"/>
            <w:instrText xml:space="preserve"> TOC \o "1-4" \h \z \u </w:instrText>
            <w:fldChar w:fldCharType="separate"/>
          </w:r>
        </w:p>
        <w:p>
          <w:pPr>
            <w:ind w:left="720"/>
          </w:pPr>
          <w:r>
            <w:t xml:space="preserve">Table of Contents</w:t>
            <w:rPr>
              <w:sz w:val="22"/>
              <w:rFonts w:ascii="Figtree" w:hAnsi="Figtree"/>
            </w:rPr>
          </w:r>
        </w:p>
        <w:p>
          <w:pPr>
            <w:ind w:left="720"/>
          </w:pPr>
          <w:r>
            <w:t xml:space="preserve">Executive Summary</w:t>
            <w:rPr>
              <w:sz w:val="22"/>
              <w:rFonts w:ascii="Figtree" w:hAnsi="Figtree"/>
            </w:rPr>
          </w:r>
        </w:p>
        <w:p>
          <w:pPr>
            <w:ind w:left="720"/>
          </w:pPr>
          <w:r>
            <w:t xml:space="preserve">Understanding Al Rajhi Bank's Programme Objectives</w:t>
            <w:rPr>
              <w:sz w:val="22"/>
              <w:rFonts w:ascii="Figtree" w:hAnsi="Figtree"/>
            </w:rPr>
          </w:r>
        </w:p>
        <w:p>
          <w:pPr>
            <w:ind w:left="1440"/>
          </w:pPr>
          <w:r>
            <w:t xml:space="preserve">The Challenge: Production-Grade Islamic Finance Tokenization</w:t>
            <w:rPr>
              <w:sz w:val="22"/>
              <w:rFonts w:ascii="Figtree" w:hAnsi="Figtree"/>
            </w:rPr>
          </w:r>
        </w:p>
        <w:p>
          <w:pPr>
            <w:ind w:left="1440"/>
          </w:pPr>
          <w:r>
            <w:t xml:space="preserve">Regulatory Context: KSA Market Realities</w:t>
            <w:rPr>
              <w:sz w:val="22"/>
              <w:rFonts w:ascii="Figtree" w:hAnsi="Figtree"/>
            </w:rPr>
          </w:r>
        </w:p>
        <w:p>
          <w:pPr>
            <w:ind w:left="720"/>
          </w:pPr>
          <w:r>
            <w:t xml:space="preserve">Proposed DALP Operating Model for Sharia-Compliant Tokenized Products</w:t>
            <w:rPr>
              <w:sz w:val="22"/>
              <w:rFonts w:ascii="Figtree" w:hAnsi="Figtree"/>
            </w:rPr>
          </w:r>
        </w:p>
        <w:p>
          <w:pPr>
            <w:ind w:left="1440"/>
          </w:pPr>
          <w:r>
            <w:t xml:space="preserve">Operating Model Overview</w:t>
            <w:rPr>
              <w:sz w:val="22"/>
              <w:rFonts w:ascii="Figtree" w:hAnsi="Figtree"/>
            </w:rPr>
          </w:r>
        </w:p>
        <w:p>
          <w:pPr>
            <w:ind w:left="1440"/>
          </w:pPr>
          <w:r>
            <w:t xml:space="preserve">Product Lifecycle for Sharia-Compliant Instruments</w:t>
            <w:rPr>
              <w:sz w:val="22"/>
              <w:rFonts w:ascii="Figtree" w:hAnsi="Figtree"/>
            </w:rPr>
          </w:r>
        </w:p>
        <w:p>
          <w:pPr>
            <w:ind w:left="720"/>
          </w:pPr>
          <w:r>
            <w:t xml:space="preserve">Technical Architecture and Integration Boundaries</w:t>
            <w:rPr>
              <w:sz w:val="22"/>
              <w:rFonts w:ascii="Figtree" w:hAnsi="Figtree"/>
            </w:rPr>
          </w:r>
        </w:p>
        <w:p>
          <w:pPr>
            <w:ind w:left="1440"/>
          </w:pPr>
          <w:r>
            <w:t xml:space="preserve">Four-Layer Architecture</w:t>
            <w:rPr>
              <w:sz w:val="22"/>
              <w:rFonts w:ascii="Figtree" w:hAnsi="Figtree"/>
            </w:rPr>
          </w:r>
        </w:p>
        <w:p>
          <w:pPr>
            <w:ind w:left="1440"/>
          </w:pPr>
          <w:r>
            <w:t xml:space="preserve">Enterprise Integration Architecture for Al Rajhi Bank</w:t>
            <w:rPr>
              <w:sz w:val="22"/>
              <w:rFonts w:ascii="Figtree" w:hAnsi="Figtree"/>
            </w:rPr>
          </w:r>
        </w:p>
        <w:p>
          <w:pPr>
            <w:ind w:left="1440"/>
          </w:pPr>
          <w:r>
            <w:t xml:space="preserve">Deployment Architecture</w:t>
            <w:rPr>
              <w:sz w:val="22"/>
              <w:rFonts w:ascii="Figtree" w:hAnsi="Figtree"/>
            </w:rPr>
          </w:r>
        </w:p>
        <w:p>
          <w:pPr>
            <w:ind w:left="720"/>
          </w:pPr>
          <w:r>
            <w:t xml:space="preserve">Smart Contract Architecture for Islamic Finance</w:t>
            <w:rPr>
              <w:sz w:val="22"/>
              <w:rFonts w:ascii="Figtree" w:hAnsi="Figtree"/>
            </w:rPr>
          </w:r>
        </w:p>
        <w:p>
          <w:pPr>
            <w:ind w:left="1440"/>
          </w:pPr>
          <w:r>
            <w:t xml:space="preserve">DALPAsset Configuration for Sharia Products</w:t>
            <w:rPr>
              <w:sz w:val="22"/>
              <w:rFonts w:ascii="Figtree" w:hAnsi="Figtree"/>
            </w:rPr>
          </w:r>
        </w:p>
        <w:p>
          <w:pPr>
            <w:ind w:left="1440"/>
          </w:pPr>
          <w:r>
            <w:t xml:space="preserve">UUPS Proxy Upgrade Pattern</w:t>
            <w:rPr>
              <w:sz w:val="22"/>
              <w:rFonts w:ascii="Figtree" w:hAnsi="Figtree"/>
            </w:rPr>
          </w:r>
        </w:p>
        <w:p>
          <w:pPr>
            <w:ind w:left="720"/>
          </w:pPr>
          <w:r>
            <w:t xml:space="preserve">Identity, Compliance, and Sharia Governance Controls</w:t>
            <w:rPr>
              <w:sz w:val="22"/>
              <w:rFonts w:ascii="Figtree" w:hAnsi="Figtree"/>
            </w:rPr>
          </w:r>
        </w:p>
        <w:p>
          <w:pPr>
            <w:ind w:left="1440"/>
          </w:pPr>
          <w:r>
            <w:t xml:space="preserve">Identity Management with OnchainID</w:t>
            <w:rPr>
              <w:sz w:val="22"/>
              <w:rFonts w:ascii="Figtree" w:hAnsi="Figtree"/>
            </w:rPr>
          </w:r>
        </w:p>
        <w:p>
          <w:pPr>
            <w:ind w:left="1440"/>
          </w:pPr>
          <w:r>
            <w:t xml:space="preserve">Role-Based Access Control and Maker-Checker (REQ-03)</w:t>
            <w:rPr>
              <w:sz w:val="22"/>
              <w:rFonts w:ascii="Figtree" w:hAnsi="Figtree"/>
            </w:rPr>
          </w:r>
        </w:p>
        <w:p>
          <w:pPr>
            <w:ind w:left="1440"/>
          </w:pPr>
          <w:r>
            <w:t xml:space="preserve">Compliance Engine: Fail-Closed Design</w:t>
            <w:rPr>
              <w:sz w:val="22"/>
              <w:rFonts w:ascii="Figtree" w:hAnsi="Figtree"/>
            </w:rPr>
          </w:r>
        </w:p>
        <w:p>
          <w:pPr>
            <w:ind w:left="720"/>
          </w:pPr>
          <w:r>
            <w:t xml:space="preserve">Settlement, Servicing, and Lifecycle Management</w:t>
            <w:rPr>
              <w:sz w:val="22"/>
              <w:rFonts w:ascii="Figtree" w:hAnsi="Figtree"/>
            </w:rPr>
          </w:r>
        </w:p>
        <w:p>
          <w:pPr>
            <w:ind w:left="1440"/>
          </w:pPr>
          <w:r>
            <w:t xml:space="preserve">Settlement Architecture</w:t>
            <w:rPr>
              <w:sz w:val="22"/>
              <w:rFonts w:ascii="Figtree" w:hAnsi="Figtree"/>
            </w:rPr>
          </w:r>
        </w:p>
        <w:p>
          <w:pPr>
            <w:ind w:left="1440"/>
          </w:pPr>
          <w:r>
            <w:t xml:space="preserve">Profit Distribution Workflow</w:t>
            <w:rPr>
              <w:sz w:val="22"/>
              <w:rFonts w:ascii="Figtree" w:hAnsi="Figtree"/>
            </w:rPr>
          </w:r>
        </w:p>
        <w:p>
          <w:pPr>
            <w:ind w:left="1440"/>
          </w:pPr>
          <w:r>
            <w:t xml:space="preserve">Reconciliation Framework (REQ-04)</w:t>
            <w:rPr>
              <w:sz w:val="22"/>
              <w:rFonts w:ascii="Figtree" w:hAnsi="Figtree"/>
            </w:rPr>
          </w:r>
        </w:p>
        <w:p>
          <w:pPr>
            <w:ind w:left="720"/>
          </w:pPr>
          <w:r>
            <w:t xml:space="preserve">Security, Resilience, and Operational Assurance</w:t>
            <w:rPr>
              <w:sz w:val="22"/>
              <w:rFonts w:ascii="Figtree" w:hAnsi="Figtree"/>
            </w:rPr>
          </w:r>
        </w:p>
        <w:p>
          <w:pPr>
            <w:ind w:left="1440"/>
          </w:pPr>
          <w:r>
            <w:t xml:space="preserve">Security Architecture Overview</w:t>
            <w:rPr>
              <w:sz w:val="22"/>
              <w:rFonts w:ascii="Figtree" w:hAnsi="Figtree"/>
            </w:rPr>
          </w:r>
        </w:p>
        <w:p>
          <w:pPr>
            <w:ind w:left="1440"/>
          </w:pPr>
          <w:r>
            <w:t xml:space="preserve">Certifications and Assurance (REQ-06)</w:t>
            <w:rPr>
              <w:sz w:val="22"/>
              <w:rFonts w:ascii="Figtree" w:hAnsi="Figtree"/>
            </w:rPr>
          </w:r>
        </w:p>
        <w:p>
          <w:pPr>
            <w:ind w:left="1440"/>
          </w:pPr>
          <w:r>
            <w:t xml:space="preserve">Operational Resilience</w:t>
            <w:rPr>
              <w:sz w:val="22"/>
              <w:rFonts w:ascii="Figtree" w:hAnsi="Figtree"/>
            </w:rPr>
          </w:r>
        </w:p>
        <w:p>
          <w:pPr>
            <w:ind w:left="720"/>
          </w:pPr>
          <w:r>
            <w:t xml:space="preserve">Implementation Approach and Delivery Phases</w:t>
            <w:rPr>
              <w:sz w:val="22"/>
              <w:rFonts w:ascii="Figtree" w:hAnsi="Figtree"/>
            </w:rPr>
          </w:r>
        </w:p>
        <w:p>
          <w:pPr>
            <w:ind w:left="1440"/>
          </w:pPr>
          <w:r>
            <w:t xml:space="preserve">19-Week Implementation Plan</w:t>
            <w:rPr>
              <w:sz w:val="22"/>
              <w:rFonts w:ascii="Figtree" w:hAnsi="Figtree"/>
            </w:rPr>
          </w:r>
        </w:p>
        <w:p>
          <w:pPr>
            <w:ind w:left="1440"/>
          </w:pPr>
          <w:r>
            <w:t xml:space="preserve">Phase-by-Phase Detail</w:t>
            <w:rPr>
              <w:sz w:val="22"/>
              <w:rFonts w:ascii="Figtree" w:hAnsi="Figtree"/>
            </w:rPr>
          </w:r>
        </w:p>
        <w:p>
          <w:pPr>
            <w:ind w:left="1440"/>
          </w:pPr>
          <w:r>
            <w:t xml:space="preserve">Client Responsibilities</w:t>
            <w:rPr>
              <w:sz w:val="22"/>
              <w:rFonts w:ascii="Figtree" w:hAnsi="Figtree"/>
            </w:rPr>
          </w:r>
        </w:p>
        <w:p>
          <w:pPr>
            <w:ind w:left="720"/>
          </w:pPr>
          <w:r>
            <w:t xml:space="preserve">Current Coverage, Dependencies, and Qualified Gaps</w:t>
            <w:rPr>
              <w:sz w:val="22"/>
              <w:rFonts w:ascii="Figtree" w:hAnsi="Figtree"/>
            </w:rPr>
          </w:r>
        </w:p>
        <w:p>
          <w:pPr>
            <w:ind w:left="1440"/>
          </w:pPr>
          <w:r>
            <w:t xml:space="preserve">Requirements Coverage Matrix</w:t>
            <w:rPr>
              <w:sz w:val="22"/>
              <w:rFonts w:ascii="Figtree" w:hAnsi="Figtree"/>
            </w:rPr>
          </w:r>
        </w:p>
        <w:p>
          <w:pPr>
            <w:ind w:left="1440"/>
          </w:pPr>
          <w:r>
            <w:t xml:space="preserve">Qualified Gaps and Mitigations</w:t>
            <w:rPr>
              <w:sz w:val="22"/>
              <w:rFonts w:ascii="Figtree" w:hAnsi="Figtree"/>
            </w:rPr>
          </w:r>
        </w:p>
        <w:p>
          <w:pPr>
            <w:ind w:left="1440"/>
          </w:pPr>
          <w:r>
            <w:t xml:space="preserve">Dependency Register</w:t>
            <w:rPr>
              <w:sz w:val="22"/>
              <w:rFonts w:ascii="Figtree" w:hAnsi="Figtree"/>
            </w:rPr>
          </w:r>
        </w:p>
        <w:p>
          <w:pPr>
            <w:ind w:left="720"/>
          </w:pPr>
          <w:r>
            <w:t xml:space="preserve">Relevant Delivery Evidence</w:t>
            <w:rPr>
              <w:sz w:val="22"/>
              <w:rFonts w:ascii="Figtree" w:hAnsi="Figtree"/>
            </w:rPr>
          </w:r>
        </w:p>
        <w:p>
          <w:pPr>
            <w:ind w:left="1440"/>
          </w:pPr>
          <w:r>
            <w:t xml:space="preserve">Reference Deployments</w:t>
            <w:rPr>
              <w:sz w:val="22"/>
              <w:rFonts w:ascii="Figtree" w:hAnsi="Figtree"/>
            </w:rPr>
          </w:r>
        </w:p>
        <w:p>
          <w:pPr>
            <w:ind w:left="1440"/>
          </w:pPr>
          <w:r>
            <w:t xml:space="preserve">Islamic Development Bank — Sharia-Compliant at Sovereign Scale</w:t>
            <w:rPr>
              <w:sz w:val="22"/>
              <w:rFonts w:ascii="Figtree" w:hAnsi="Figtree"/>
            </w:rPr>
          </w:r>
        </w:p>
        <w:p>
          <w:pPr>
            <w:ind w:left="1440"/>
          </w:pPr>
          <w:r>
            <w:t xml:space="preserve">Saudi Arabia RER — Production in KSA</w:t>
            <w:rPr>
              <w:sz w:val="22"/>
              <w:rFonts w:ascii="Figtree" w:hAnsi="Figtree"/>
            </w:rPr>
          </w:r>
        </w:p>
        <w:p>
          <w:pPr>
            <w:ind w:left="720"/>
          </w:pPr>
          <w:r>
            <w:t xml:space="preserve">Appendices</w:t>
            <w:rPr>
              <w:sz w:val="22"/>
              <w:rFonts w:ascii="Figtree" w:hAnsi="Figtree"/>
            </w:rPr>
          </w:r>
        </w:p>
        <w:p>
          <w:pPr>
            <w:ind w:left="1440"/>
          </w:pPr>
          <w:r>
            <w:t xml:space="preserve">Appendix A: Response Matrix</w:t>
            <w:rPr>
              <w:sz w:val="22"/>
              <w:rFonts w:ascii="Figtree" w:hAnsi="Figtree"/>
            </w:rPr>
          </w:r>
        </w:p>
        <w:p>
          <w:pPr>
            <w:ind w:left="1440"/>
          </w:pPr>
          <w:r>
            <w:t xml:space="preserve">Appendix B: Glossary</w:t>
            <w:rPr>
              <w:sz w:val="22"/>
              <w:rFonts w:ascii="Figtree" w:hAnsi="Figtree"/>
            </w:rPr>
          </w:r>
        </w:p>
        <w:p>
          <w:pPr>
            <w:ind w:left="1440"/>
          </w:pPr>
          <w:r>
            <w:t xml:space="preserve">Appendix C: IP and Confidentiality Statement</w:t>
            <w:rPr>
              <w:sz w:val="22"/>
              <w:rFonts w:ascii="Figtree" w:hAnsi="Figtree"/>
            </w:rPr>
          </w:r>
        </w:p>
        <w:p>
          <w:r>
            <w:fldChar w:fldCharType="end"/>
          </w:r>
        </w:p>
      </w:sdtContent>
    </w:sdt>
    <w:p w14:paraId="71724572" w14:textId="77777777" w:rsidR="006B6750" w:rsidRPr="00A9690B" w:rsidRDefault="006B6750"/>
    <w:p w14:paraId="47DF0F8A" w14:textId="77777777" w:rsidR="006B6750" w:rsidRPr="00A9690B" w:rsidRDefault="006B6750"/>
    <w:p w14:paraId="5363F4FA" w14:textId="77777777" w:rsidR="006B6750" w:rsidRPr="00A9690B" w:rsidRDefault="006B6750"/>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Field</w:t>
            </w:r>
          </w:p>
        </w:tc>
        <w:tc>
          <w:tcPr>
            <w:tcW w:type="dxa" w:w="4873"/>
            <w:vAlign w:val="center"/>
            <w:shd w:fill="000099" w:val="clear"/>
          </w:tcPr>
          <w:p>
            <w:r>
              <w:rPr>
                <w:b/>
                <w:color w:val="FFFFFF"/>
              </w:rPr>
            </w:r>
            <w:r>
              <w:rPr>
                <w:rFonts w:ascii="Figtree" w:hAnsi="Figtree"/>
                <w:b/>
                <w:i w:val="0"/>
                <w:color w:val="FFFFFF"/>
                <w:sz w:val="22"/>
              </w:rPr>
              <w:t>Value</w:t>
            </w:r>
          </w:p>
        </w:tc>
      </w:tr>
      <w:tr>
        <w:trPr>
          <w:trHeight w:val="454" w:hRule="atLeast"/>
        </w:trPr>
        <w:tc>
          <w:tcPr>
            <w:tcW w:type="dxa" w:w="4873"/>
            <w:vAlign w:val="center"/>
          </w:tcPr>
          <w:p>
            <w:r/>
            <w:r>
              <w:rPr>
                <w:rFonts w:ascii="Figtree" w:hAnsi="Figtree"/>
                <w:b w:val="0"/>
                <w:i w:val="0"/>
                <w:sz w:val="22"/>
              </w:rPr>
              <w:t>Proposal title</w:t>
            </w:r>
          </w:p>
        </w:tc>
        <w:tc>
          <w:tcPr>
            <w:tcW w:type="dxa" w:w="4873"/>
            <w:vAlign w:val="center"/>
          </w:tcPr>
          <w:p>
            <w:r/>
            <w:r>
              <w:rPr>
                <w:rFonts w:ascii="Figtree" w:hAnsi="Figtree"/>
                <w:b w:val="0"/>
                <w:i w:val="0"/>
                <w:sz w:val="22"/>
              </w:rPr>
              <w:t>Technical Proposal — Sharia-Compliant Tokenized Savings and Investment Products</w:t>
            </w:r>
          </w:p>
        </w:tc>
      </w:tr>
      <w:tr>
        <w:trPr>
          <w:trHeight w:val="454" w:hRule="atLeast"/>
        </w:trPr>
        <w:tc>
          <w:tcPr>
            <w:tcW w:type="dxa" w:w="4873"/>
            <w:vAlign w:val="center"/>
          </w:tcPr>
          <w:p>
            <w:r/>
            <w:r>
              <w:rPr>
                <w:rFonts w:ascii="Figtree" w:hAnsi="Figtree"/>
                <w:b w:val="0"/>
                <w:i w:val="0"/>
                <w:sz w:val="22"/>
              </w:rPr>
              <w:t>Client</w:t>
            </w:r>
          </w:p>
        </w:tc>
        <w:tc>
          <w:tcPr>
            <w:tcW w:type="dxa" w:w="4873"/>
            <w:vAlign w:val="center"/>
          </w:tcPr>
          <w:p>
            <w:r/>
            <w:r>
              <w:rPr>
                <w:rFonts w:ascii="Figtree" w:hAnsi="Figtree"/>
                <w:b w:val="0"/>
                <w:i w:val="0"/>
                <w:sz w:val="22"/>
              </w:rPr>
              <w:t>Al Rajhi Bank</w:t>
            </w:r>
          </w:p>
        </w:tc>
      </w:tr>
      <w:tr>
        <w:trPr>
          <w:trHeight w:val="454" w:hRule="atLeast"/>
        </w:trPr>
        <w:tc>
          <w:tcPr>
            <w:tcW w:type="dxa" w:w="4873"/>
            <w:vAlign w:val="center"/>
          </w:tcPr>
          <w:p>
            <w:r/>
            <w:r>
              <w:rPr>
                <w:rFonts w:ascii="Figtree" w:hAnsi="Figtree"/>
                <w:b w:val="0"/>
                <w:i w:val="0"/>
                <w:sz w:val="22"/>
              </w:rPr>
              <w:t>Submitted by</w:t>
            </w:r>
          </w:p>
        </w:tc>
        <w:tc>
          <w:tcPr>
            <w:tcW w:type="dxa" w:w="4873"/>
            <w:vAlign w:val="center"/>
          </w:tcPr>
          <w:p>
            <w:r/>
            <w:r>
              <w:rPr>
                <w:rFonts w:ascii="Figtree" w:hAnsi="Figtree"/>
                <w:b w:val="0"/>
                <w:i w:val="0"/>
                <w:sz w:val="22"/>
              </w:rPr>
              <w:t>SettleMint NV</w:t>
            </w:r>
          </w:p>
        </w:tc>
      </w:tr>
      <w:tr>
        <w:trPr>
          <w:trHeight w:val="454" w:hRule="atLeast"/>
        </w:trPr>
        <w:tc>
          <w:tcPr>
            <w:tcW w:type="dxa" w:w="4873"/>
            <w:vAlign w:val="center"/>
          </w:tcPr>
          <w:p>
            <w:r/>
            <w:r>
              <w:rPr>
                <w:rFonts w:ascii="Figtree" w:hAnsi="Figtree"/>
                <w:b w:val="0"/>
                <w:i w:val="0"/>
                <w:sz w:val="22"/>
              </w:rPr>
              <w:t>Date</w:t>
            </w:r>
          </w:p>
        </w:tc>
        <w:tc>
          <w:tcPr>
            <w:tcW w:type="dxa" w:w="4873"/>
            <w:vAlign w:val="center"/>
          </w:tcPr>
          <w:p>
            <w:r/>
            <w:r>
              <w:rPr>
                <w:rFonts w:ascii="Figtree" w:hAnsi="Figtree"/>
                <w:b w:val="0"/>
                <w:i w:val="0"/>
                <w:sz w:val="22"/>
              </w:rPr>
              <w:t>March 2026</w:t>
            </w:r>
          </w:p>
        </w:tc>
      </w:tr>
      <w:tr>
        <w:trPr>
          <w:trHeight w:val="454" w:hRule="atLeast"/>
        </w:trPr>
        <w:tc>
          <w:tcPr>
            <w:tcW w:type="dxa" w:w="4873"/>
            <w:vAlign w:val="center"/>
          </w:tcPr>
          <w:p>
            <w:r/>
            <w:r>
              <w:rPr>
                <w:rFonts w:ascii="Figtree" w:hAnsi="Figtree"/>
                <w:b w:val="0"/>
                <w:i w:val="0"/>
                <w:sz w:val="22"/>
              </w:rPr>
              <w:t>Version</w:t>
            </w:r>
          </w:p>
        </w:tc>
        <w:tc>
          <w:tcPr>
            <w:tcW w:type="dxa" w:w="4873"/>
            <w:vAlign w:val="center"/>
          </w:tcPr>
          <w:p>
            <w:r/>
            <w:r>
              <w:rPr>
                <w:rFonts w:ascii="Figtree" w:hAnsi="Figtree"/>
                <w:b w:val="0"/>
                <w:i w:val="0"/>
                <w:sz w:val="22"/>
              </w:rPr>
              <w:t>v1.0</w:t>
            </w:r>
          </w:p>
        </w:tc>
      </w:tr>
      <w:tr>
        <w:trPr>
          <w:trHeight w:val="454" w:hRule="atLeast"/>
        </w:trPr>
        <w:tc>
          <w:tcPr>
            <w:tcW w:type="dxa" w:w="4873"/>
            <w:vAlign w:val="center"/>
          </w:tcPr>
          <w:p>
            <w:r/>
            <w:r>
              <w:rPr>
                <w:rFonts w:ascii="Figtree" w:hAnsi="Figtree"/>
                <w:b w:val="0"/>
                <w:i w:val="0"/>
                <w:sz w:val="22"/>
              </w:rPr>
              <w:t>Confidentiality</w:t>
            </w:r>
          </w:p>
        </w:tc>
        <w:tc>
          <w:tcPr>
            <w:tcW w:type="dxa" w:w="4873"/>
            <w:vAlign w:val="center"/>
          </w:tcPr>
          <w:p>
            <w:r/>
            <w:r>
              <w:rPr>
                <w:rFonts w:ascii="Figtree" w:hAnsi="Figtree"/>
                <w:b w:val="0"/>
                <w:i w:val="0"/>
                <w:sz w:val="22"/>
              </w:rPr>
              <w:t>Restricted</w:t>
            </w:r>
          </w:p>
        </w:tc>
      </w:tr>
      <w:tr>
        <w:trPr>
          <w:trHeight w:val="454" w:hRule="atLeast"/>
        </w:trPr>
        <w:tc>
          <w:tcPr>
            <w:tcW w:type="dxa" w:w="4873"/>
            <w:vAlign w:val="center"/>
          </w:tcPr>
          <w:p>
            <w:r/>
            <w:r>
              <w:rPr>
                <w:rFonts w:ascii="Figtree" w:hAnsi="Figtree"/>
                <w:b w:val="0"/>
                <w:i w:val="0"/>
                <w:sz w:val="22"/>
              </w:rPr>
              <w:t>RFP Reference</w:t>
            </w:r>
          </w:p>
        </w:tc>
        <w:tc>
          <w:tcPr>
            <w:tcW w:type="dxa" w:w="4873"/>
            <w:vAlign w:val="center"/>
          </w:tcPr>
          <w:p>
            <w:r/>
            <w:r>
              <w:rPr>
                <w:rFonts w:ascii="Figtree" w:hAnsi="Figtree"/>
                <w:b w:val="0"/>
                <w:i w:val="0"/>
                <w:sz w:val="22"/>
              </w:rPr>
              <w:t>AL-RAJHI-BANK-RFP-SHARIA-TOKENIZED-PRODUCTS-202603</w:t>
            </w:r>
          </w:p>
        </w:tc>
      </w:tr>
      <w:tr>
        <w:trPr>
          <w:trHeight w:val="454" w:hRule="atLeast"/>
        </w:trPr>
        <w:tc>
          <w:tcPr>
            <w:tcW w:type="dxa" w:w="4873"/>
            <w:vAlign w:val="center"/>
          </w:tcPr>
          <w:p>
            <w:r/>
            <w:r>
              <w:rPr>
                <w:rFonts w:ascii="Figtree" w:hAnsi="Figtree"/>
                <w:b w:val="0"/>
                <w:i w:val="0"/>
                <w:sz w:val="22"/>
              </w:rPr>
              <w:t>Primary contact</w:t>
            </w:r>
          </w:p>
        </w:tc>
        <w:tc>
          <w:tcPr>
            <w:tcW w:type="dxa" w:w="4873"/>
            <w:vAlign w:val="center"/>
          </w:tcPr>
          <w:p>
            <w:r/>
            <w:r>
              <w:rPr>
                <w:rFonts w:ascii="Figtree" w:hAnsi="Figtree"/>
                <w:b w:val="0"/>
                <w:i w:val="0"/>
                <w:sz w:val="22"/>
              </w:rPr>
              <w:t>Adam Popat, CEO</w:t>
            </w:r>
          </w:p>
        </w:tc>
      </w:tr>
    </w:tbl>
    <w:p>
      <w:r>
        <w:br w:type="page"/>
      </w:r>
    </w:p>
    <w:p>
      <w:pPr>
        <w:pStyle w:val="H2"/>
        <w:numPr>
          <w:ilvl w:val="1"/>
          <w:numId w:val="1"/>
        </w:numPr>
      </w:pPr>
      <w:r>
        <w:t>Table of Contents</w:t>
      </w:r>
    </w:p>
    <w:p>
      <w:pPr>
        <w:pStyle w:val="ListParagraph"/>
        <w:numPr>
          <w:ilvl w:val="0"/>
          <w:numId w:val="4"/>
        </w:numPr>
      </w:pPr>
      <w:r>
        <w:rPr>
          <w:rFonts w:ascii="Figtree" w:hAnsi="Figtree"/>
          <w:b w:val="0"/>
          <w:i w:val="0"/>
          <w:sz w:val="22"/>
        </w:rPr>
        <w:t>Executive Summary</w:t>
      </w:r>
    </w:p>
    <w:p>
      <w:pPr>
        <w:pStyle w:val="ListParagraph"/>
        <w:numPr>
          <w:ilvl w:val="0"/>
          <w:numId w:val="4"/>
        </w:numPr>
      </w:pPr>
      <w:r>
        <w:rPr>
          <w:rFonts w:ascii="Figtree" w:hAnsi="Figtree"/>
          <w:b w:val="0"/>
          <w:i w:val="0"/>
          <w:sz w:val="22"/>
        </w:rPr>
        <w:t>Understanding Al Rajhi Bank's Programme Objectives</w:t>
      </w:r>
    </w:p>
    <w:p>
      <w:pPr>
        <w:pStyle w:val="ListParagraph"/>
        <w:numPr>
          <w:ilvl w:val="0"/>
          <w:numId w:val="4"/>
        </w:numPr>
      </w:pPr>
      <w:r>
        <w:rPr>
          <w:rFonts w:ascii="Figtree" w:hAnsi="Figtree"/>
          <w:b w:val="0"/>
          <w:i w:val="0"/>
          <w:sz w:val="22"/>
        </w:rPr>
        <w:t>Proposed DALP Operating Model for Sharia-Compliant Tokenized Products</w:t>
      </w:r>
    </w:p>
    <w:p>
      <w:pPr>
        <w:pStyle w:val="ListParagraph"/>
        <w:numPr>
          <w:ilvl w:val="0"/>
          <w:numId w:val="4"/>
        </w:numPr>
      </w:pPr>
      <w:r>
        <w:rPr>
          <w:rFonts w:ascii="Figtree" w:hAnsi="Figtree"/>
          <w:b w:val="0"/>
          <w:i w:val="0"/>
          <w:sz w:val="22"/>
        </w:rPr>
        <w:t>Technical Architecture and Integration Boundaries</w:t>
      </w:r>
    </w:p>
    <w:p>
      <w:pPr>
        <w:pStyle w:val="ListParagraph"/>
        <w:numPr>
          <w:ilvl w:val="0"/>
          <w:numId w:val="4"/>
        </w:numPr>
      </w:pPr>
      <w:r>
        <w:rPr>
          <w:rFonts w:ascii="Figtree" w:hAnsi="Figtree"/>
          <w:b w:val="0"/>
          <w:i w:val="0"/>
          <w:sz w:val="22"/>
        </w:rPr>
        <w:t>Smart Contract Architecture for Islamic Finance</w:t>
      </w:r>
    </w:p>
    <w:p>
      <w:pPr>
        <w:pStyle w:val="ListParagraph"/>
        <w:numPr>
          <w:ilvl w:val="0"/>
          <w:numId w:val="4"/>
        </w:numPr>
      </w:pPr>
      <w:r>
        <w:rPr>
          <w:rFonts w:ascii="Figtree" w:hAnsi="Figtree"/>
          <w:b w:val="0"/>
          <w:i w:val="0"/>
          <w:sz w:val="22"/>
        </w:rPr>
        <w:t>Identity, Compliance, and Sharia Governance Controls</w:t>
      </w:r>
    </w:p>
    <w:p>
      <w:pPr>
        <w:pStyle w:val="ListParagraph"/>
        <w:numPr>
          <w:ilvl w:val="0"/>
          <w:numId w:val="4"/>
        </w:numPr>
      </w:pPr>
      <w:r>
        <w:rPr>
          <w:rFonts w:ascii="Figtree" w:hAnsi="Figtree"/>
          <w:b w:val="0"/>
          <w:i w:val="0"/>
          <w:sz w:val="22"/>
        </w:rPr>
        <w:t>Settlement, Servicing, and Lifecycle Management</w:t>
      </w:r>
    </w:p>
    <w:p>
      <w:pPr>
        <w:pStyle w:val="ListParagraph"/>
        <w:numPr>
          <w:ilvl w:val="0"/>
          <w:numId w:val="4"/>
        </w:numPr>
      </w:pPr>
      <w:r>
        <w:rPr>
          <w:rFonts w:ascii="Figtree" w:hAnsi="Figtree"/>
          <w:b w:val="0"/>
          <w:i w:val="0"/>
          <w:sz w:val="22"/>
        </w:rPr>
        <w:t>Security, Resilience, and Operational Assurance</w:t>
      </w:r>
    </w:p>
    <w:p>
      <w:pPr>
        <w:pStyle w:val="ListParagraph"/>
        <w:numPr>
          <w:ilvl w:val="0"/>
          <w:numId w:val="4"/>
        </w:numPr>
      </w:pPr>
      <w:r>
        <w:rPr>
          <w:rFonts w:ascii="Figtree" w:hAnsi="Figtree"/>
          <w:b w:val="0"/>
          <w:i w:val="0"/>
          <w:sz w:val="22"/>
        </w:rPr>
        <w:t>Implementation Approach and Delivery Phases</w:t>
      </w:r>
    </w:p>
    <w:p>
      <w:pPr>
        <w:pStyle w:val="ListParagraph"/>
        <w:numPr>
          <w:ilvl w:val="0"/>
          <w:numId w:val="4"/>
        </w:numPr>
      </w:pPr>
      <w:r>
        <w:rPr>
          <w:rFonts w:ascii="Figtree" w:hAnsi="Figtree"/>
          <w:b w:val="0"/>
          <w:i w:val="0"/>
          <w:sz w:val="22"/>
        </w:rPr>
        <w:t>Current Coverage, Dependencies, and Qualified Gaps</w:t>
      </w:r>
    </w:p>
    <w:p>
      <w:pPr>
        <w:pStyle w:val="ListParagraph"/>
        <w:numPr>
          <w:ilvl w:val="0"/>
          <w:numId w:val="4"/>
        </w:numPr>
      </w:pPr>
      <w:r>
        <w:rPr>
          <w:rFonts w:ascii="Figtree" w:hAnsi="Figtree"/>
          <w:b w:val="0"/>
          <w:i w:val="0"/>
          <w:sz w:val="22"/>
        </w:rPr>
        <w:t>Relevant Delivery Evidence</w:t>
      </w:r>
    </w:p>
    <w:p>
      <w:pPr>
        <w:pStyle w:val="ListParagraph"/>
        <w:numPr>
          <w:ilvl w:val="0"/>
          <w:numId w:val="4"/>
        </w:numPr>
      </w:pPr>
      <w:r>
        <w:rPr>
          <w:rFonts w:ascii="Figtree" w:hAnsi="Figtree"/>
          <w:b w:val="0"/>
          <w:i w:val="0"/>
          <w:sz w:val="22"/>
        </w:rPr>
        <w:t>Appendices</w:t>
      </w:r>
    </w:p>
    <w:p>
      <w:r>
        <w:br w:type="page"/>
      </w:r>
    </w:p>
    <w:p>
      <w:pPr>
        <w:pStyle w:val="H2"/>
        <w:numPr>
          <w:ilvl w:val="1"/>
          <w:numId w:val="1"/>
        </w:numPr>
      </w:pPr>
      <w:r>
        <w:t>Executive Summary</w:t>
      </w:r>
    </w:p>
    <w:p>
      <w:r>
        <w:rPr>
          <w:rFonts w:ascii="Figtree" w:hAnsi="Figtree"/>
          <w:b w:val="0"/>
          <w:i w:val="0"/>
          <w:sz w:val="22"/>
        </w:rPr>
        <w:t>Al Rajhi Bank has identified Sharia-compliant tokenized savings and investment products as a business-critical capability requiring the same discipline applied to core regulated systems. This is not an innovation exercise — it is a procurement intended to determine whether the market can supply a dependable platform and implementation model for production-grade tokenized Islamic finance products that operate within SAMA regulatory expectations, CMA capital markets rules, AAOIFI governance standards, and the bank's internal control environment.</w:t>
      </w:r>
    </w:p>
    <w:p>
      <w:r>
        <w:rPr>
          <w:rFonts w:ascii="Figtree" w:hAnsi="Figtree"/>
          <w:b w:val="0"/>
          <w:i w:val="0"/>
          <w:sz w:val="22"/>
        </w:rPr>
        <w:t>SettleMint's Digital Asset Lifecycle Platform (DALP) addresses this requirement directly. DALP provides production-ready infrastructure for designing, issuing, servicing, and retiring tokenized financial instruments — with compliance enforcement, identity verification, and governance controls embedded at the smart contract level rather than bolted on as application-layer overlays.</w:t>
      </w:r>
    </w:p>
    <w:p>
      <w:r>
        <w:rPr>
          <w:rFonts w:ascii="Figtree" w:hAnsi="Figtree"/>
          <w:b/>
          <w:i w:val="0"/>
          <w:sz w:val="22"/>
        </w:rPr>
        <w:t>Why DALP fits Al Rajhi Bank's requirements:</w:t>
      </w:r>
    </w:p>
    <w:p>
      <w:pPr>
        <w:pStyle w:val="ListParagraph"/>
        <w:numPr>
          <w:ilvl w:val="0"/>
          <w:numId w:val="4"/>
        </w:numPr>
      </w:pPr>
      <w:r>
        <w:rPr>
          <w:rFonts w:ascii="Figtree" w:hAnsi="Figtree"/>
          <w:b/>
          <w:i w:val="0"/>
          <w:sz w:val="22"/>
        </w:rPr>
        <w:t>Sharia-compliant product configuration.</w:t>
      </w:r>
      <w:r>
        <w:rPr>
          <w:rFonts w:ascii="Figtree" w:hAnsi="Figtree"/>
          <w:b w:val="0"/>
          <w:i w:val="0"/>
          <w:sz w:val="22"/>
        </w:rPr>
        <w:t xml:space="preserve"> DALP's configurable token architecture allows the bank to define Sharia-compliant product rules — profit-sharing ratios, Mudarabah and Murabaha structures, maturity schedules, and distribution mechanics — through platform configuration rather than custom smart contract development. The compliance engine enforces eligibility checks, investor accreditation, and transfer restrictions at the contract level, ensuring that Sharia governance rules travel with the token throughout its lifecycle.</w:t>
      </w:r>
    </w:p>
    <w:p>
      <w:pPr>
        <w:pStyle w:val="ListParagraph"/>
        <w:numPr>
          <w:ilvl w:val="0"/>
          <w:numId w:val="4"/>
        </w:numPr>
      </w:pPr>
      <w:r>
        <w:rPr>
          <w:rFonts w:ascii="Figtree" w:hAnsi="Figtree"/>
          <w:b/>
          <w:i w:val="0"/>
          <w:sz w:val="22"/>
        </w:rPr>
        <w:t>Production-proven at institutional scale.</w:t>
      </w:r>
      <w:r>
        <w:rPr>
          <w:rFonts w:ascii="Figtree" w:hAnsi="Figtree"/>
          <w:b w:val="0"/>
          <w:i w:val="0"/>
          <w:sz w:val="22"/>
        </w:rPr>
        <w:t xml:space="preserve"> DALP processes digital assets across production deployments with regulated institutions including Standard Chartered Bank, State Bank of India, Commerzbank, OCBC Bank, and the Islamic Development Bank. The Islamic Development Bank engagement — covering Sharia-compliant subsidy distribution across 57 member countries serving 1.7 billion people — directly demonstrates DALP's fitness for Islamic finance use cases at sovereign scale.</w:t>
      </w:r>
    </w:p>
    <w:p>
      <w:pPr>
        <w:pStyle w:val="ListParagraph"/>
        <w:numPr>
          <w:ilvl w:val="0"/>
          <w:numId w:val="4"/>
        </w:numPr>
      </w:pPr>
      <w:r>
        <w:rPr>
          <w:rFonts w:ascii="Figtree" w:hAnsi="Figtree"/>
          <w:b/>
          <w:i w:val="0"/>
          <w:sz w:val="22"/>
        </w:rPr>
        <w:t>Enterprise integration, not isolation.</w:t>
      </w:r>
      <w:r>
        <w:rPr>
          <w:rFonts w:ascii="Figtree" w:hAnsi="Figtree"/>
          <w:b w:val="0"/>
          <w:i w:val="0"/>
          <w:sz w:val="22"/>
        </w:rPr>
        <w:t xml:space="preserve"> DALP connects to identity services, core banking ledgers, sanctions and AML tooling, reporting environments, and observability stacks through a comprehensive API surface (REST, GraphQL, webhooks, SDK, CLI). The platform does not create an isolated digital-asset island; it sits inside institutional plumbing with defined integration boundaries and reconciliation points.</w:t>
      </w:r>
    </w:p>
    <w:p>
      <w:pPr>
        <w:pStyle w:val="ListParagraph"/>
        <w:numPr>
          <w:ilvl w:val="0"/>
          <w:numId w:val="4"/>
        </w:numPr>
      </w:pPr>
      <w:r>
        <w:rPr>
          <w:rFonts w:ascii="Figtree" w:hAnsi="Figtree"/>
          <w:b/>
          <w:i w:val="0"/>
          <w:sz w:val="22"/>
        </w:rPr>
        <w:t>Control integrity from day one.</w:t>
      </w:r>
      <w:r>
        <w:rPr>
          <w:rFonts w:ascii="Figtree" w:hAnsi="Figtree"/>
          <w:b w:val="0"/>
          <w:i w:val="0"/>
          <w:sz w:val="22"/>
        </w:rPr>
        <w:t xml:space="preserve"> Every operation — issuance, transfer, corporate action, distribution — produces a complete audit trail with initiator identity, policy checks applied, approval chain, and resulting state. Role-based access control with maker-checker workflows, segregation of duties, and Sharia board approval lineage are native to the platform.</w:t>
      </w:r>
    </w:p>
    <w:p>
      <w:r>
        <w:rPr>
          <w:rFonts w:ascii="Figtree" w:hAnsi="Figtree"/>
          <w:b w:val="0"/>
          <w:i w:val="0"/>
          <w:sz w:val="22"/>
        </w:rPr>
        <w:t>The proposed implementation follows SettleMint's phase-gated methodology: 19 weeks from kickoff to hypercare completion, with five delivery phases, formal gate reviews, and clearly defined client responsibilities at each stage. The first production asset class can be live within 13 weeks of kickoff.</w:t>
      </w:r>
    </w:p>
    <w:p>
      <w:r>
        <w:rPr>
          <w:rFonts w:ascii="Figtree" w:hAnsi="Figtree"/>
          <w:b w:val="0"/>
          <w:i w:val="0"/>
          <w:sz w:val="22"/>
        </w:rPr>
        <w:t>This proposal responds to every requirement in the RFP with explicit status, evidence references, and honest qualification of gaps. Where a capability is partial or planned, the gap, mitigation, and timeline are stated directly. SettleMint's position is that operational honesty earns more trust than an over-optimistic response — and we believe Al Rajhi Bank's evaluation team shares that view.</w:t>
      </w:r>
    </w:p>
    <w:p>
      <w:pPr>
        <w:jc w:val="center"/>
      </w:pPr>
      <w:r>
        <w:drawing>
          <wp:inline xmlns:a="http://schemas.openxmlformats.org/drawingml/2006/main" xmlns:pic="http://schemas.openxmlformats.org/drawingml/2006/picture">
            <wp:extent cx="5486400" cy="2372308"/>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2372308"/>
                    </a:xfrm>
                    <a:prstGeom prst="rect"/>
                  </pic:spPr>
                </pic:pic>
              </a:graphicData>
            </a:graphic>
          </wp:inline>
        </w:drawing>
      </w:r>
    </w:p>
    <w:p>
      <w:r>
        <w:br w:type="page"/>
      </w:r>
    </w:p>
    <w:p>
      <w:pPr>
        <w:pStyle w:val="H2"/>
        <w:numPr>
          <w:ilvl w:val="1"/>
          <w:numId w:val="1"/>
        </w:numPr>
      </w:pPr>
      <w:r>
        <w:t>Understanding Al Rajhi Bank's Programme Objectives</w:t>
      </w:r>
    </w:p>
    <w:p>
      <w:pPr>
        <w:pStyle w:val="H3"/>
        <w:numPr>
          <w:ilvl w:val="2"/>
          <w:numId w:val="1"/>
        </w:numPr>
      </w:pPr>
      <w:r>
        <w:t>The Challenge: Production-Grade Islamic Finance Tokenization</w:t>
      </w:r>
    </w:p>
    <w:p>
      <w:r>
        <w:rPr>
          <w:rFonts w:ascii="Figtree" w:hAnsi="Figtree"/>
          <w:b w:val="0"/>
          <w:i w:val="0"/>
          <w:sz w:val="22"/>
        </w:rPr>
        <w:t>Al Rajhi Bank's procurement is grounded in three specific challenges that we address directly:</w:t>
      </w:r>
    </w:p>
    <w:p>
      <w:r>
        <w:rPr>
          <w:rFonts w:ascii="Figtree" w:hAnsi="Figtree"/>
          <w:b/>
          <w:i w:val="0"/>
          <w:sz w:val="22"/>
        </w:rPr>
        <w:t>First, control integrity.</w:t>
      </w:r>
      <w:r>
        <w:rPr>
          <w:rFonts w:ascii="Figtree" w:hAnsi="Figtree"/>
          <w:b w:val="0"/>
          <w:i w:val="0"/>
          <w:sz w:val="22"/>
        </w:rPr>
        <w:t xml:space="preserve"> The bank must be able to identify who initiated a change or transaction, which policy checks applied, who approved the event, and how the resulting state can be reconstructed later. For Sharia-compliant products, this extends to Sharia board approval lineage, fatwa references, and evidence that profit-sharing mechanics operate as certified.</w:t>
      </w:r>
    </w:p>
    <w:p>
      <w:r>
        <w:rPr>
          <w:rFonts w:ascii="Figtree" w:hAnsi="Figtree"/>
          <w:b/>
          <w:i w:val="0"/>
          <w:sz w:val="22"/>
        </w:rPr>
        <w:t>Second, enterprise coexistence.</w:t>
      </w:r>
      <w:r>
        <w:rPr>
          <w:rFonts w:ascii="Figtree" w:hAnsi="Figtree"/>
          <w:b w:val="0"/>
          <w:i w:val="0"/>
          <w:sz w:val="22"/>
        </w:rPr>
        <w:t xml:space="preserve"> The selected solution cannot become a reconciliation sinkhole. It must integrate with existing core banking, identity, compliance, treasury, and reporting systems without creating hidden operational debt or unowned responsibilities.</w:t>
      </w:r>
    </w:p>
    <w:p>
      <w:r>
        <w:rPr>
          <w:rFonts w:ascii="Figtree" w:hAnsi="Figtree"/>
          <w:b/>
          <w:i w:val="0"/>
          <w:sz w:val="22"/>
        </w:rPr>
        <w:t>Third, phased scalability.</w:t>
      </w:r>
      <w:r>
        <w:rPr>
          <w:rFonts w:ascii="Figtree" w:hAnsi="Figtree"/>
          <w:b w:val="0"/>
          <w:i w:val="0"/>
          <w:sz w:val="22"/>
        </w:rPr>
        <w:t xml:space="preserve"> Al Rajhi Bank wants to move from initial product launch to broader adoption — additional asset classes, investor segments, and distribution channels — without a platform reset.</w:t>
      </w:r>
    </w:p>
    <w:p>
      <w:r>
        <w:rPr>
          <w:rFonts w:ascii="Figtree" w:hAnsi="Figtree"/>
          <w:b w:val="0"/>
          <w:i w:val="0"/>
          <w:sz w:val="22"/>
        </w:rPr>
        <w:t>DALP addresses all three challenges through its architecture:</w:t>
      </w:r>
    </w:p>
    <w:p>
      <w:pPr>
        <w:pStyle w:val="ListParagraph"/>
        <w:numPr>
          <w:ilvl w:val="0"/>
          <w:numId w:val="4"/>
        </w:numPr>
      </w:pPr>
      <w:r>
        <w:rPr>
          <w:rFonts w:ascii="Figtree" w:hAnsi="Figtree"/>
          <w:b w:val="0"/>
          <w:i w:val="0"/>
          <w:sz w:val="22"/>
        </w:rPr>
        <w:t>Control integrity is structural, not bolted on. Every transaction flows through the compliance engine, identity registry, and approval workflow before execution. Audit trails are immutable and queryable.</w:t>
      </w:r>
    </w:p>
    <w:p>
      <w:pPr>
        <w:pStyle w:val="ListParagraph"/>
        <w:numPr>
          <w:ilvl w:val="0"/>
          <w:numId w:val="4"/>
        </w:numPr>
      </w:pPr>
      <w:r>
        <w:rPr>
          <w:rFonts w:ascii="Figtree" w:hAnsi="Figtree"/>
          <w:b w:val="0"/>
          <w:i w:val="0"/>
          <w:sz w:val="22"/>
        </w:rPr>
        <w:t>Enterprise integration is the platform's default mode. DALP exposes 301 CLI commands across 26 command groups, a REST API (v2), GraphQL via subgraph, event webhooks, and a TypeScript SDK — providing multiple integration patterns for different enterprise system categories.</w:t>
      </w:r>
    </w:p>
    <w:p>
      <w:pPr>
        <w:pStyle w:val="ListParagraph"/>
        <w:numPr>
          <w:ilvl w:val="0"/>
          <w:numId w:val="4"/>
        </w:numPr>
      </w:pPr>
      <w:r>
        <w:rPr>
          <w:rFonts w:ascii="Figtree" w:hAnsi="Figtree"/>
          <w:b w:val="0"/>
          <w:i w:val="0"/>
          <w:sz w:val="22"/>
        </w:rPr>
        <w:t>Scalability is configuration-driven. New asset classes use the same DALPAsset configurable contract with different feature and compliance module compositions. No redeployment, no re-audit, no platform reset.</w:t>
      </w:r>
    </w:p>
    <w:p>
      <w:pPr>
        <w:pStyle w:val="H3"/>
        <w:numPr>
          <w:ilvl w:val="2"/>
          <w:numId w:val="1"/>
        </w:numPr>
      </w:pPr>
      <w:r>
        <w:t>Regulatory Context: KSA Market Realities</w:t>
      </w:r>
    </w:p>
    <w:p>
      <w:r>
        <w:rPr>
          <w:rFonts w:ascii="Figtree" w:hAnsi="Figtree"/>
          <w:b w:val="0"/>
          <w:i w:val="0"/>
          <w:sz w:val="22"/>
        </w:rPr>
        <w:t>We anchor this response in the actual regulatory and market infrastructure realities of the Kingdom:</w:t>
      </w:r>
    </w:p>
    <w:p>
      <w:pPr>
        <w:pStyle w:val="ListParagraph"/>
        <w:numPr>
          <w:ilvl w:val="0"/>
          <w:numId w:val="4"/>
        </w:numPr>
      </w:pPr>
      <w:r>
        <w:rPr>
          <w:rFonts w:ascii="Figtree" w:hAnsi="Figtree"/>
          <w:b/>
          <w:i w:val="0"/>
          <w:sz w:val="22"/>
        </w:rPr>
        <w:t>SAMA expectations</w:t>
      </w:r>
      <w:r>
        <w:rPr>
          <w:rFonts w:ascii="Figtree" w:hAnsi="Figtree"/>
          <w:b w:val="0"/>
          <w:i w:val="0"/>
          <w:sz w:val="22"/>
        </w:rPr>
        <w:t xml:space="preserve"> for digital asset platforms, including prudential controls, operational resilience, and outsourcing governance</w:t>
      </w:r>
    </w:p>
    <w:p>
      <w:pPr>
        <w:pStyle w:val="ListParagraph"/>
        <w:numPr>
          <w:ilvl w:val="0"/>
          <w:numId w:val="4"/>
        </w:numPr>
      </w:pPr>
      <w:r>
        <w:rPr>
          <w:rFonts w:ascii="Figtree" w:hAnsi="Figtree"/>
          <w:b/>
          <w:i w:val="0"/>
          <w:sz w:val="22"/>
        </w:rPr>
        <w:t>CMA capital markets rules</w:t>
      </w:r>
      <w:r>
        <w:rPr>
          <w:rFonts w:ascii="Figtree" w:hAnsi="Figtree"/>
          <w:b w:val="0"/>
          <w:i w:val="0"/>
          <w:sz w:val="22"/>
        </w:rPr>
        <w:t xml:space="preserve"> governing tokenized investment products, investor eligibility, and market conduct</w:t>
      </w:r>
    </w:p>
    <w:p>
      <w:pPr>
        <w:pStyle w:val="ListParagraph"/>
        <w:numPr>
          <w:ilvl w:val="0"/>
          <w:numId w:val="4"/>
        </w:numPr>
      </w:pPr>
      <w:r>
        <w:rPr>
          <w:rFonts w:ascii="Figtree" w:hAnsi="Figtree"/>
          <w:b/>
          <w:i w:val="0"/>
          <w:sz w:val="22"/>
        </w:rPr>
        <w:t>AAOIFI standards</w:t>
      </w:r>
      <w:r>
        <w:rPr>
          <w:rFonts w:ascii="Figtree" w:hAnsi="Figtree"/>
          <w:b w:val="0"/>
          <w:i w:val="0"/>
          <w:sz w:val="22"/>
        </w:rPr>
        <w:t xml:space="preserve"> for Islamic finance product governance, profit distribution, and Sharia compliance documentation</w:t>
      </w:r>
    </w:p>
    <w:p>
      <w:pPr>
        <w:pStyle w:val="ListParagraph"/>
        <w:numPr>
          <w:ilvl w:val="0"/>
          <w:numId w:val="4"/>
        </w:numPr>
      </w:pPr>
      <w:r>
        <w:rPr>
          <w:rFonts w:ascii="Figtree" w:hAnsi="Figtree"/>
          <w:b/>
          <w:i w:val="0"/>
          <w:sz w:val="22"/>
        </w:rPr>
        <w:t>Saudi cybersecurity controls</w:t>
      </w:r>
      <w:r>
        <w:rPr>
          <w:rFonts w:ascii="Figtree" w:hAnsi="Figtree"/>
          <w:b w:val="0"/>
          <w:i w:val="0"/>
          <w:sz w:val="22"/>
        </w:rPr>
        <w:t xml:space="preserve"> (NCA) for critical infrastructure and data protection requirements</w:t>
      </w:r>
    </w:p>
    <w:p>
      <w:pPr>
        <w:pStyle w:val="ListParagraph"/>
        <w:numPr>
          <w:ilvl w:val="0"/>
          <w:numId w:val="4"/>
        </w:numPr>
      </w:pPr>
      <w:r>
        <w:rPr>
          <w:rFonts w:ascii="Figtree" w:hAnsi="Figtree"/>
          <w:b/>
          <w:i w:val="0"/>
          <w:sz w:val="22"/>
        </w:rPr>
        <w:t>Project Aber</w:t>
      </w:r>
      <w:r>
        <w:rPr>
          <w:rFonts w:ascii="Figtree" w:hAnsi="Figtree"/>
          <w:b w:val="0"/>
          <w:i w:val="0"/>
          <w:sz w:val="22"/>
        </w:rPr>
        <w:t xml:space="preserve"> and Digital Dirham learnings relevant to cross-border settlement architecture, though not treated as substitutes for explicit control design</w:t>
      </w:r>
    </w:p>
    <w:p>
      <w:pPr>
        <w:jc w:val="center"/>
      </w:pPr>
      <w:r>
        <w:drawing>
          <wp:inline xmlns:a="http://schemas.openxmlformats.org/drawingml/2006/main" xmlns:pic="http://schemas.openxmlformats.org/drawingml/2006/picture">
            <wp:extent cx="5486400" cy="8385796"/>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8385796"/>
                    </a:xfrm>
                    <a:prstGeom prst="rect"/>
                  </pic:spPr>
                </pic:pic>
              </a:graphicData>
            </a:graphic>
          </wp:inline>
        </w:drawing>
      </w:r>
    </w:p>
    <w:p>
      <w:r>
        <w:br w:type="page"/>
      </w:r>
    </w:p>
    <w:p>
      <w:pPr>
        <w:pStyle w:val="H2"/>
        <w:numPr>
          <w:ilvl w:val="1"/>
          <w:numId w:val="1"/>
        </w:numPr>
      </w:pPr>
      <w:r>
        <w:t>Proposed DALP Operating Model for Sharia-Compliant Tokenized Products</w:t>
      </w:r>
    </w:p>
    <w:p>
      <w:pPr>
        <w:pStyle w:val="H3"/>
        <w:numPr>
          <w:ilvl w:val="2"/>
          <w:numId w:val="1"/>
        </w:numPr>
      </w:pPr>
      <w:r>
        <w:t>Operating Model Overview</w:t>
      </w:r>
    </w:p>
    <w:p>
      <w:r>
        <w:rPr>
          <w:rFonts w:ascii="Figtree" w:hAnsi="Figtree"/>
          <w:b w:val="0"/>
          <w:i w:val="0"/>
          <w:sz w:val="22"/>
        </w:rPr>
        <w:t>The proposed operating model maps DALP's capabilities directly to Al Rajhi Bank's five workstreams. Each workstream is addressed with specific deliverables, responsibilities, and milestone gates — not generic methodology statements.</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Workstream</w:t>
            </w:r>
          </w:p>
        </w:tc>
        <w:tc>
          <w:tcPr>
            <w:tcW w:type="dxa" w:w="2436"/>
            <w:vAlign w:val="center"/>
            <w:shd w:fill="000099" w:val="clear"/>
          </w:tcPr>
          <w:p>
            <w:r>
              <w:rPr>
                <w:b/>
                <w:color w:val="FFFFFF"/>
              </w:rPr>
            </w:r>
            <w:r>
              <w:rPr>
                <w:rFonts w:ascii="Figtree" w:hAnsi="Figtree"/>
                <w:b/>
                <w:i w:val="0"/>
                <w:color w:val="FFFFFF"/>
                <w:sz w:val="22"/>
              </w:rPr>
              <w:t>DALP Capability</w:t>
            </w:r>
          </w:p>
        </w:tc>
        <w:tc>
          <w:tcPr>
            <w:tcW w:type="dxa" w:w="2436"/>
            <w:vAlign w:val="center"/>
            <w:shd w:fill="000099" w:val="clear"/>
          </w:tcPr>
          <w:p>
            <w:r>
              <w:rPr>
                <w:b/>
                <w:color w:val="FFFFFF"/>
              </w:rPr>
            </w:r>
            <w:r>
              <w:rPr>
                <w:rFonts w:ascii="Figtree" w:hAnsi="Figtree"/>
                <w:b/>
                <w:i w:val="0"/>
                <w:color w:val="FFFFFF"/>
                <w:sz w:val="22"/>
              </w:rPr>
              <w:t>Al Rajhi Bank Responsibility</w:t>
            </w:r>
          </w:p>
        </w:tc>
        <w:tc>
          <w:tcPr>
            <w:tcW w:type="dxa" w:w="2436"/>
            <w:vAlign w:val="center"/>
            <w:shd w:fill="000099" w:val="clear"/>
          </w:tcPr>
          <w:p>
            <w:r>
              <w:rPr>
                <w:b/>
                <w:color w:val="FFFFFF"/>
              </w:rPr>
            </w:r>
            <w:r>
              <w:rPr>
                <w:rFonts w:ascii="Figtree" w:hAnsi="Figtree"/>
                <w:b/>
                <w:i w:val="0"/>
                <w:color w:val="FFFFFF"/>
                <w:sz w:val="22"/>
              </w:rPr>
              <w:t>Integration Point</w:t>
            </w:r>
          </w:p>
        </w:tc>
      </w:tr>
      <w:tr>
        <w:trPr>
          <w:trHeight w:val="454" w:hRule="atLeast"/>
        </w:trPr>
        <w:tc>
          <w:tcPr>
            <w:tcW w:type="dxa" w:w="2436"/>
            <w:vAlign w:val="center"/>
          </w:tcPr>
          <w:p>
            <w:r/>
            <w:r>
              <w:rPr>
                <w:rFonts w:ascii="Figtree" w:hAnsi="Figtree"/>
                <w:b w:val="0"/>
                <w:i w:val="0"/>
                <w:sz w:val="22"/>
              </w:rPr>
              <w:t>WS-01: Mobilisation</w:t>
            </w:r>
          </w:p>
        </w:tc>
        <w:tc>
          <w:tcPr>
            <w:tcW w:type="dxa" w:w="2436"/>
            <w:vAlign w:val="center"/>
          </w:tcPr>
          <w:p>
            <w:r/>
            <w:r>
              <w:rPr>
                <w:rFonts w:ascii="Figtree" w:hAnsi="Figtree"/>
                <w:b w:val="0"/>
                <w:i w:val="0"/>
                <w:sz w:val="22"/>
              </w:rPr>
              <w:t>Environment provisioning, governance framework</w:t>
            </w:r>
          </w:p>
        </w:tc>
        <w:tc>
          <w:tcPr>
            <w:tcW w:type="dxa" w:w="2436"/>
            <w:vAlign w:val="center"/>
          </w:tcPr>
          <w:p>
            <w:r/>
            <w:r>
              <w:rPr>
                <w:rFonts w:ascii="Figtree" w:hAnsi="Figtree"/>
                <w:b w:val="0"/>
                <w:i w:val="0"/>
                <w:sz w:val="22"/>
              </w:rPr>
              <w:t>Steering committee, design authority</w:t>
            </w:r>
          </w:p>
        </w:tc>
        <w:tc>
          <w:tcPr>
            <w:tcW w:type="dxa" w:w="2436"/>
            <w:vAlign w:val="center"/>
          </w:tcPr>
          <w:p>
            <w:r/>
            <w:r>
              <w:rPr>
                <w:rFonts w:ascii="Figtree" w:hAnsi="Figtree"/>
                <w:b w:val="0"/>
                <w:i w:val="0"/>
                <w:sz w:val="22"/>
              </w:rPr>
              <w:t>Joint RAID management</w:t>
            </w:r>
          </w:p>
        </w:tc>
      </w:tr>
      <w:tr>
        <w:trPr>
          <w:trHeight w:val="454" w:hRule="atLeast"/>
        </w:trPr>
        <w:tc>
          <w:tcPr>
            <w:tcW w:type="dxa" w:w="2436"/>
            <w:vAlign w:val="center"/>
          </w:tcPr>
          <w:p>
            <w:r/>
            <w:r>
              <w:rPr>
                <w:rFonts w:ascii="Figtree" w:hAnsi="Figtree"/>
                <w:b w:val="0"/>
                <w:i w:val="0"/>
                <w:sz w:val="22"/>
              </w:rPr>
              <w:t>WS-02: Product Configuration</w:t>
            </w:r>
          </w:p>
        </w:tc>
        <w:tc>
          <w:tcPr>
            <w:tcW w:type="dxa" w:w="2436"/>
            <w:vAlign w:val="center"/>
          </w:tcPr>
          <w:p>
            <w:r/>
            <w:r>
              <w:rPr>
                <w:rFonts w:ascii="Figtree" w:hAnsi="Figtree"/>
                <w:b w:val="0"/>
                <w:i w:val="0"/>
                <w:sz w:val="22"/>
              </w:rPr>
              <w:t>Asset Designer, compliance modules, lifecycle rules</w:t>
            </w:r>
          </w:p>
        </w:tc>
        <w:tc>
          <w:tcPr>
            <w:tcW w:type="dxa" w:w="2436"/>
            <w:vAlign w:val="center"/>
          </w:tcPr>
          <w:p>
            <w:r/>
            <w:r>
              <w:rPr>
                <w:rFonts w:ascii="Figtree" w:hAnsi="Figtree"/>
                <w:b w:val="0"/>
                <w:i w:val="0"/>
                <w:sz w:val="22"/>
              </w:rPr>
              <w:t>Sharia board approval, product policy decisions</w:t>
            </w:r>
          </w:p>
        </w:tc>
        <w:tc>
          <w:tcPr>
            <w:tcW w:type="dxa" w:w="2436"/>
            <w:vAlign w:val="center"/>
          </w:tcPr>
          <w:p>
            <w:r/>
            <w:r>
              <w:rPr>
                <w:rFonts w:ascii="Figtree" w:hAnsi="Figtree"/>
                <w:b w:val="0"/>
                <w:i w:val="0"/>
                <w:sz w:val="22"/>
              </w:rPr>
              <w:t>Business rules validation</w:t>
            </w:r>
          </w:p>
        </w:tc>
      </w:tr>
      <w:tr>
        <w:trPr>
          <w:trHeight w:val="454" w:hRule="atLeast"/>
        </w:trPr>
        <w:tc>
          <w:tcPr>
            <w:tcW w:type="dxa" w:w="2436"/>
            <w:vAlign w:val="center"/>
          </w:tcPr>
          <w:p>
            <w:r/>
            <w:r>
              <w:rPr>
                <w:rFonts w:ascii="Figtree" w:hAnsi="Figtree"/>
                <w:b w:val="0"/>
                <w:i w:val="0"/>
                <w:sz w:val="22"/>
              </w:rPr>
              <w:t>WS-03: Integration</w:t>
            </w:r>
          </w:p>
        </w:tc>
        <w:tc>
          <w:tcPr>
            <w:tcW w:type="dxa" w:w="2436"/>
            <w:vAlign w:val="center"/>
          </w:tcPr>
          <w:p>
            <w:r/>
            <w:r>
              <w:rPr>
                <w:rFonts w:ascii="Figtree" w:hAnsi="Figtree"/>
                <w:b w:val="0"/>
                <w:i w:val="0"/>
                <w:sz w:val="22"/>
              </w:rPr>
              <w:t>API surface, webhooks, event system</w:t>
            </w:r>
          </w:p>
        </w:tc>
        <w:tc>
          <w:tcPr>
            <w:tcW w:type="dxa" w:w="2436"/>
            <w:vAlign w:val="center"/>
          </w:tcPr>
          <w:p>
            <w:r/>
            <w:r>
              <w:rPr>
                <w:rFonts w:ascii="Figtree" w:hAnsi="Figtree"/>
                <w:b w:val="0"/>
                <w:i w:val="0"/>
                <w:sz w:val="22"/>
              </w:rPr>
              <w:t>Core banking, identity, AML system readiness</w:t>
            </w:r>
          </w:p>
        </w:tc>
        <w:tc>
          <w:tcPr>
            <w:tcW w:type="dxa" w:w="2436"/>
            <w:vAlign w:val="center"/>
          </w:tcPr>
          <w:p>
            <w:r/>
            <w:r>
              <w:rPr>
                <w:rFonts w:ascii="Figtree" w:hAnsi="Figtree"/>
                <w:b w:val="0"/>
                <w:i w:val="0"/>
                <w:sz w:val="22"/>
              </w:rPr>
              <w:t>Defined API contracts</w:t>
            </w:r>
          </w:p>
        </w:tc>
      </w:tr>
      <w:tr>
        <w:trPr>
          <w:trHeight w:val="454" w:hRule="atLeast"/>
        </w:trPr>
        <w:tc>
          <w:tcPr>
            <w:tcW w:type="dxa" w:w="2436"/>
            <w:vAlign w:val="center"/>
          </w:tcPr>
          <w:p>
            <w:r/>
            <w:r>
              <w:rPr>
                <w:rFonts w:ascii="Figtree" w:hAnsi="Figtree"/>
                <w:b w:val="0"/>
                <w:i w:val="0"/>
                <w:sz w:val="22"/>
              </w:rPr>
              <w:t>WS-04: Testing</w:t>
            </w:r>
          </w:p>
        </w:tc>
        <w:tc>
          <w:tcPr>
            <w:tcW w:type="dxa" w:w="2436"/>
            <w:vAlign w:val="center"/>
          </w:tcPr>
          <w:p>
            <w:r/>
            <w:r>
              <w:rPr>
                <w:rFonts w:ascii="Figtree" w:hAnsi="Figtree"/>
                <w:b w:val="0"/>
                <w:i w:val="0"/>
                <w:sz w:val="22"/>
              </w:rPr>
              <w:t>Platform test environments, security testing</w:t>
            </w:r>
          </w:p>
        </w:tc>
        <w:tc>
          <w:tcPr>
            <w:tcW w:type="dxa" w:w="2436"/>
            <w:vAlign w:val="center"/>
          </w:tcPr>
          <w:p>
            <w:r/>
            <w:r>
              <w:rPr>
                <w:rFonts w:ascii="Figtree" w:hAnsi="Figtree"/>
                <w:b w:val="0"/>
                <w:i w:val="0"/>
                <w:sz w:val="22"/>
              </w:rPr>
              <w:t>UAT execution, business acceptance</w:t>
            </w:r>
          </w:p>
        </w:tc>
        <w:tc>
          <w:tcPr>
            <w:tcW w:type="dxa" w:w="2436"/>
            <w:vAlign w:val="center"/>
          </w:tcPr>
          <w:p>
            <w:r/>
            <w:r>
              <w:rPr>
                <w:rFonts w:ascii="Figtree" w:hAnsi="Figtree"/>
                <w:b w:val="0"/>
                <w:i w:val="0"/>
                <w:sz w:val="22"/>
              </w:rPr>
              <w:t>Joint defect triage</w:t>
            </w:r>
          </w:p>
        </w:tc>
      </w:tr>
      <w:tr>
        <w:trPr>
          <w:trHeight w:val="454" w:hRule="atLeast"/>
        </w:trPr>
        <w:tc>
          <w:tcPr>
            <w:tcW w:type="dxa" w:w="2436"/>
            <w:vAlign w:val="center"/>
          </w:tcPr>
          <w:p>
            <w:r/>
            <w:r>
              <w:rPr>
                <w:rFonts w:ascii="Figtree" w:hAnsi="Figtree"/>
                <w:b w:val="0"/>
                <w:i w:val="0"/>
                <w:sz w:val="22"/>
              </w:rPr>
              <w:t>WS-05: Operations</w:t>
            </w:r>
          </w:p>
        </w:tc>
        <w:tc>
          <w:tcPr>
            <w:tcW w:type="dxa" w:w="2436"/>
            <w:vAlign w:val="center"/>
          </w:tcPr>
          <w:p>
            <w:r/>
            <w:r>
              <w:rPr>
                <w:rFonts w:ascii="Figtree" w:hAnsi="Figtree"/>
                <w:b w:val="0"/>
                <w:i w:val="0"/>
                <w:sz w:val="22"/>
              </w:rPr>
              <w:t>Observability stack, runbooks, SLA framework</w:t>
            </w:r>
          </w:p>
        </w:tc>
        <w:tc>
          <w:tcPr>
            <w:tcW w:type="dxa" w:w="2436"/>
            <w:vAlign w:val="center"/>
          </w:tcPr>
          <w:p>
            <w:r/>
            <w:r>
              <w:rPr>
                <w:rFonts w:ascii="Figtree" w:hAnsi="Figtree"/>
                <w:b w:val="0"/>
                <w:i w:val="0"/>
                <w:sz w:val="22"/>
              </w:rPr>
              <w:t>Service desk staffing, management reporting</w:t>
            </w:r>
          </w:p>
        </w:tc>
        <w:tc>
          <w:tcPr>
            <w:tcW w:type="dxa" w:w="2436"/>
            <w:vAlign w:val="center"/>
          </w:tcPr>
          <w:p>
            <w:r/>
            <w:r>
              <w:rPr>
                <w:rFonts w:ascii="Figtree" w:hAnsi="Figtree"/>
                <w:b w:val="0"/>
                <w:i w:val="0"/>
                <w:sz w:val="22"/>
              </w:rPr>
              <w:t>Support handoff protocol</w:t>
            </w:r>
          </w:p>
        </w:tc>
      </w:tr>
    </w:tbl>
    <w:p>
      <w:pPr>
        <w:pStyle w:val="H3"/>
        <w:numPr>
          <w:ilvl w:val="2"/>
          <w:numId w:val="1"/>
        </w:numPr>
      </w:pPr>
      <w:r>
        <w:t>Product Lifecycle for Sharia-Compliant Instruments</w:t>
      </w:r>
    </w:p>
    <w:p>
      <w:r>
        <w:rPr>
          <w:rFonts w:ascii="Figtree" w:hAnsi="Figtree"/>
          <w:b w:val="0"/>
          <w:i w:val="0"/>
          <w:sz w:val="22"/>
        </w:rPr>
        <w:t>DALP supports the full lifecycle of Sharia-compliant tokenized products through its configurable architecture:</w:t>
      </w:r>
    </w:p>
    <w:p>
      <w:pPr>
        <w:jc w:val="center"/>
      </w:pPr>
      <w:r>
        <w:drawing>
          <wp:inline xmlns:a="http://schemas.openxmlformats.org/drawingml/2006/main" xmlns:pic="http://schemas.openxmlformats.org/drawingml/2006/picture">
            <wp:extent cx="5486400" cy="11381362"/>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11381362"/>
                    </a:xfrm>
                    <a:prstGeom prst="rect"/>
                  </pic:spPr>
                </pic:pic>
              </a:graphicData>
            </a:graphic>
          </wp:inline>
        </w:drawing>
      </w:r>
    </w:p>
    <w:p>
      <w:r>
        <w:rPr>
          <w:rFonts w:ascii="Figtree" w:hAnsi="Figtree"/>
          <w:b/>
          <w:i w:val="0"/>
          <w:sz w:val="22"/>
        </w:rPr>
        <w:t>Product Design and Configuration.</w:t>
      </w:r>
      <w:r>
        <w:rPr>
          <w:rFonts w:ascii="Figtree" w:hAnsi="Figtree"/>
          <w:b w:val="0"/>
          <w:i w:val="0"/>
          <w:sz w:val="22"/>
        </w:rPr>
        <w:t xml:space="preserve"> The Asset Designer wizard guides operators through Sharia-compliant product configuration. For each product type:</w:t>
      </w:r>
    </w:p>
    <w:p>
      <w:pPr>
        <w:pStyle w:val="ListParagraph"/>
        <w:numPr>
          <w:ilvl w:val="0"/>
          <w:numId w:val="4"/>
        </w:numPr>
      </w:pPr>
      <w:r>
        <w:rPr>
          <w:rFonts w:ascii="Figtree" w:hAnsi="Figtree"/>
          <w:b/>
          <w:i w:val="0"/>
          <w:sz w:val="22"/>
        </w:rPr>
        <w:t>Mudarabah savings products:</w:t>
      </w:r>
      <w:r>
        <w:rPr>
          <w:rFonts w:ascii="Figtree" w:hAnsi="Figtree"/>
          <w:b w:val="0"/>
          <w:i w:val="0"/>
          <w:sz w:val="22"/>
        </w:rPr>
        <w:t xml:space="preserve"> Configure profit-sharing ratios, expected return ranges, distribution frequency, and loss-sharing mechanics. The platform enforces that profit distribution follows the contractually defined ratio, not a fixed interest rate.</w:t>
      </w:r>
    </w:p>
    <w:p>
      <w:pPr>
        <w:pStyle w:val="ListParagraph"/>
        <w:numPr>
          <w:ilvl w:val="0"/>
          <w:numId w:val="4"/>
        </w:numPr>
      </w:pPr>
      <w:r>
        <w:rPr>
          <w:rFonts w:ascii="Figtree" w:hAnsi="Figtree"/>
          <w:b/>
          <w:i w:val="0"/>
          <w:sz w:val="22"/>
        </w:rPr>
        <w:t>Murabaha investment products:</w:t>
      </w:r>
      <w:r>
        <w:rPr>
          <w:rFonts w:ascii="Figtree" w:hAnsi="Figtree"/>
          <w:b w:val="0"/>
          <w:i w:val="0"/>
          <w:sz w:val="22"/>
        </w:rPr>
        <w:t xml:space="preserve"> Configure cost-plus-markup structures, deferred payment schedules, and ownership transfer mechanics. The compliance engine ensures the underlying asset transfer occurs before markup application.</w:t>
      </w:r>
    </w:p>
    <w:p>
      <w:pPr>
        <w:pStyle w:val="ListParagraph"/>
        <w:numPr>
          <w:ilvl w:val="0"/>
          <w:numId w:val="4"/>
        </w:numPr>
      </w:pPr>
      <w:r>
        <w:rPr>
          <w:rFonts w:ascii="Figtree" w:hAnsi="Figtree"/>
          <w:b/>
          <w:i w:val="0"/>
          <w:sz w:val="22"/>
        </w:rPr>
        <w:t>Wakala investment products:</w:t>
      </w:r>
      <w:r>
        <w:rPr>
          <w:rFonts w:ascii="Figtree" w:hAnsi="Figtree"/>
          <w:b w:val="0"/>
          <w:i w:val="0"/>
          <w:sz w:val="22"/>
        </w:rPr>
        <w:t xml:space="preserve"> Configure agency fee structures, investment mandate parameters, and performance-based distribution rules.</w:t>
      </w:r>
    </w:p>
    <w:p>
      <w:pPr>
        <w:pStyle w:val="ListParagraph"/>
        <w:numPr>
          <w:ilvl w:val="0"/>
          <w:numId w:val="4"/>
        </w:numPr>
      </w:pPr>
      <w:r>
        <w:rPr>
          <w:rFonts w:ascii="Figtree" w:hAnsi="Figtree"/>
          <w:b/>
          <w:i w:val="0"/>
          <w:sz w:val="22"/>
        </w:rPr>
        <w:t>Sukuk instruments:</w:t>
      </w:r>
      <w:r>
        <w:rPr>
          <w:rFonts w:ascii="Figtree" w:hAnsi="Figtree"/>
          <w:b w:val="0"/>
          <w:i w:val="0"/>
          <w:sz w:val="22"/>
        </w:rPr>
        <w:t xml:space="preserve"> Configure underlying asset references, periodic distribution schedules, dissolution mechanics, and Sharia board attestation requirements.</w:t>
      </w:r>
    </w:p>
    <w:p>
      <w:r>
        <w:rPr>
          <w:rFonts w:ascii="Figtree" w:hAnsi="Figtree"/>
          <w:b w:val="0"/>
          <w:i w:val="0"/>
          <w:sz w:val="22"/>
        </w:rPr>
        <w:t>Each product configuration binds specific compliance modules that enforce Sharia governance rules at the smart contract level:</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Compliance Module</w:t>
            </w:r>
          </w:p>
        </w:tc>
        <w:tc>
          <w:tcPr>
            <w:tcW w:type="dxa" w:w="3249"/>
            <w:vAlign w:val="center"/>
            <w:shd w:fill="000099" w:val="clear"/>
          </w:tcPr>
          <w:p>
            <w:r>
              <w:rPr>
                <w:b/>
                <w:color w:val="FFFFFF"/>
              </w:rPr>
            </w:r>
            <w:r>
              <w:rPr>
                <w:rFonts w:ascii="Figtree" w:hAnsi="Figtree"/>
                <w:b/>
                <w:i w:val="0"/>
                <w:color w:val="FFFFFF"/>
                <w:sz w:val="22"/>
              </w:rPr>
              <w:t>Sharia Application</w:t>
            </w:r>
          </w:p>
        </w:tc>
        <w:tc>
          <w:tcPr>
            <w:tcW w:type="dxa" w:w="3249"/>
            <w:vAlign w:val="center"/>
            <w:shd w:fill="000099" w:val="clear"/>
          </w:tcPr>
          <w:p>
            <w:r>
              <w:rPr>
                <w:b/>
                <w:color w:val="FFFFFF"/>
              </w:rPr>
            </w:r>
            <w:r>
              <w:rPr>
                <w:rFonts w:ascii="Figtree" w:hAnsi="Figtree"/>
                <w:b/>
                <w:i w:val="0"/>
                <w:color w:val="FFFFFF"/>
                <w:sz w:val="22"/>
              </w:rPr>
              <w:t>Enforcement Level</w:t>
            </w:r>
          </w:p>
        </w:tc>
      </w:tr>
      <w:tr>
        <w:trPr>
          <w:trHeight w:val="454" w:hRule="atLeast"/>
        </w:trPr>
        <w:tc>
          <w:tcPr>
            <w:tcW w:type="dxa" w:w="3249"/>
            <w:vAlign w:val="center"/>
          </w:tcPr>
          <w:p>
            <w:r/>
            <w:r>
              <w:rPr>
                <w:rFonts w:ascii="Figtree" w:hAnsi="Figtree"/>
                <w:b w:val="0"/>
                <w:i w:val="0"/>
                <w:sz w:val="22"/>
              </w:rPr>
              <w:t>Identity Verification</w:t>
            </w:r>
          </w:p>
        </w:tc>
        <w:tc>
          <w:tcPr>
            <w:tcW w:type="dxa" w:w="3249"/>
            <w:vAlign w:val="center"/>
          </w:tcPr>
          <w:p>
            <w:r/>
            <w:r>
              <w:rPr>
                <w:rFonts w:ascii="Figtree" w:hAnsi="Figtree"/>
                <w:b w:val="0"/>
                <w:i w:val="0"/>
                <w:sz w:val="22"/>
              </w:rPr>
              <w:t>Investor KYC/AML, Saudi national ID integration</w:t>
            </w:r>
          </w:p>
        </w:tc>
        <w:tc>
          <w:tcPr>
            <w:tcW w:type="dxa" w:w="3249"/>
            <w:vAlign w:val="center"/>
          </w:tcPr>
          <w:p>
            <w:r/>
            <w:r>
              <w:rPr>
                <w:rFonts w:ascii="Figtree" w:hAnsi="Figtree"/>
                <w:b w:val="0"/>
                <w:i w:val="0"/>
                <w:sz w:val="22"/>
              </w:rPr>
              <w:t>On-chain (pre-transfer)</w:t>
            </w:r>
          </w:p>
        </w:tc>
      </w:tr>
      <w:tr>
        <w:trPr>
          <w:trHeight w:val="454" w:hRule="atLeast"/>
        </w:trPr>
        <w:tc>
          <w:tcPr>
            <w:tcW w:type="dxa" w:w="3249"/>
            <w:vAlign w:val="center"/>
          </w:tcPr>
          <w:p>
            <w:r/>
            <w:r>
              <w:rPr>
                <w:rFonts w:ascii="Figtree" w:hAnsi="Figtree"/>
                <w:b w:val="0"/>
                <w:i w:val="0"/>
                <w:sz w:val="22"/>
              </w:rPr>
              <w:t>Country Allow List</w:t>
            </w:r>
          </w:p>
        </w:tc>
        <w:tc>
          <w:tcPr>
            <w:tcW w:type="dxa" w:w="3249"/>
            <w:vAlign w:val="center"/>
          </w:tcPr>
          <w:p>
            <w:r/>
            <w:r>
              <w:rPr>
                <w:rFonts w:ascii="Figtree" w:hAnsi="Figtree"/>
                <w:b w:val="0"/>
                <w:i w:val="0"/>
                <w:sz w:val="22"/>
              </w:rPr>
              <w:t>KSA-only or GCC-permitted investor base</w:t>
            </w:r>
          </w:p>
        </w:tc>
        <w:tc>
          <w:tcPr>
            <w:tcW w:type="dxa" w:w="3249"/>
            <w:vAlign w:val="center"/>
          </w:tcPr>
          <w:p>
            <w:r/>
            <w:r>
              <w:rPr>
                <w:rFonts w:ascii="Figtree" w:hAnsi="Figtree"/>
                <w:b w:val="0"/>
                <w:i w:val="0"/>
                <w:sz w:val="22"/>
              </w:rPr>
              <w:t>On-chain (pre-transfer)</w:t>
            </w:r>
          </w:p>
        </w:tc>
      </w:tr>
      <w:tr>
        <w:trPr>
          <w:trHeight w:val="454" w:hRule="atLeast"/>
        </w:trPr>
        <w:tc>
          <w:tcPr>
            <w:tcW w:type="dxa" w:w="3249"/>
            <w:vAlign w:val="center"/>
          </w:tcPr>
          <w:p>
            <w:r/>
            <w:r>
              <w:rPr>
                <w:rFonts w:ascii="Figtree" w:hAnsi="Figtree"/>
                <w:b w:val="0"/>
                <w:i w:val="0"/>
                <w:sz w:val="22"/>
              </w:rPr>
              <w:t>Investor Count Limit</w:t>
            </w:r>
          </w:p>
        </w:tc>
        <w:tc>
          <w:tcPr>
            <w:tcW w:type="dxa" w:w="3249"/>
            <w:vAlign w:val="center"/>
          </w:tcPr>
          <w:p>
            <w:r/>
            <w:r>
              <w:rPr>
                <w:rFonts w:ascii="Figtree" w:hAnsi="Figtree"/>
                <w:b w:val="0"/>
                <w:i w:val="0"/>
                <w:sz w:val="22"/>
              </w:rPr>
              <w:t>Regulatory caps on participant numbers</w:t>
            </w:r>
          </w:p>
        </w:tc>
        <w:tc>
          <w:tcPr>
            <w:tcW w:type="dxa" w:w="3249"/>
            <w:vAlign w:val="center"/>
          </w:tcPr>
          <w:p>
            <w:r/>
            <w:r>
              <w:rPr>
                <w:rFonts w:ascii="Figtree" w:hAnsi="Figtree"/>
                <w:b w:val="0"/>
                <w:i w:val="0"/>
                <w:sz w:val="22"/>
              </w:rPr>
              <w:t>On-chain (pre-mint)</w:t>
            </w:r>
          </w:p>
        </w:tc>
      </w:tr>
      <w:tr>
        <w:trPr>
          <w:trHeight w:val="454" w:hRule="atLeast"/>
        </w:trPr>
        <w:tc>
          <w:tcPr>
            <w:tcW w:type="dxa" w:w="3249"/>
            <w:vAlign w:val="center"/>
          </w:tcPr>
          <w:p>
            <w:r/>
            <w:r>
              <w:rPr>
                <w:rFonts w:ascii="Figtree" w:hAnsi="Figtree"/>
                <w:b w:val="0"/>
                <w:i w:val="0"/>
                <w:sz w:val="22"/>
              </w:rPr>
              <w:t>Transfer Approval</w:t>
            </w:r>
          </w:p>
        </w:tc>
        <w:tc>
          <w:tcPr>
            <w:tcW w:type="dxa" w:w="3249"/>
            <w:vAlign w:val="center"/>
          </w:tcPr>
          <w:p>
            <w:r/>
            <w:r>
              <w:rPr>
                <w:rFonts w:ascii="Figtree" w:hAnsi="Figtree"/>
                <w:b w:val="0"/>
                <w:i w:val="0"/>
                <w:sz w:val="22"/>
              </w:rPr>
              <w:t>Sharia board sign-off on secondary transfers</w:t>
            </w:r>
          </w:p>
        </w:tc>
        <w:tc>
          <w:tcPr>
            <w:tcW w:type="dxa" w:w="3249"/>
            <w:vAlign w:val="center"/>
          </w:tcPr>
          <w:p>
            <w:r/>
            <w:r>
              <w:rPr>
                <w:rFonts w:ascii="Figtree" w:hAnsi="Figtree"/>
                <w:b w:val="0"/>
                <w:i w:val="0"/>
                <w:sz w:val="22"/>
              </w:rPr>
              <w:t>On-chain (pre-transfer)</w:t>
            </w:r>
          </w:p>
        </w:tc>
      </w:tr>
      <w:tr>
        <w:trPr>
          <w:trHeight w:val="454" w:hRule="atLeast"/>
        </w:trPr>
        <w:tc>
          <w:tcPr>
            <w:tcW w:type="dxa" w:w="3249"/>
            <w:vAlign w:val="center"/>
          </w:tcPr>
          <w:p>
            <w:r/>
            <w:r>
              <w:rPr>
                <w:rFonts w:ascii="Figtree" w:hAnsi="Figtree"/>
                <w:b w:val="0"/>
                <w:i w:val="0"/>
                <w:sz w:val="22"/>
              </w:rPr>
              <w:t>Holding Period (Time Lock)</w:t>
            </w:r>
          </w:p>
        </w:tc>
        <w:tc>
          <w:tcPr>
            <w:tcW w:type="dxa" w:w="3249"/>
            <w:vAlign w:val="center"/>
          </w:tcPr>
          <w:p>
            <w:r/>
            <w:r>
              <w:rPr>
                <w:rFonts w:ascii="Figtree" w:hAnsi="Figtree"/>
                <w:b w:val="0"/>
                <w:i w:val="0"/>
                <w:sz w:val="22"/>
              </w:rPr>
              <w:t>Minimum holding periods per AAOIFI guidance</w:t>
            </w:r>
          </w:p>
        </w:tc>
        <w:tc>
          <w:tcPr>
            <w:tcW w:type="dxa" w:w="3249"/>
            <w:vAlign w:val="center"/>
          </w:tcPr>
          <w:p>
            <w:r/>
            <w:r>
              <w:rPr>
                <w:rFonts w:ascii="Figtree" w:hAnsi="Figtree"/>
                <w:b w:val="0"/>
                <w:i w:val="0"/>
                <w:sz w:val="22"/>
              </w:rPr>
              <w:t>On-chain (pre-transfer)</w:t>
            </w:r>
          </w:p>
        </w:tc>
      </w:tr>
      <w:tr>
        <w:trPr>
          <w:trHeight w:val="454" w:hRule="atLeast"/>
        </w:trPr>
        <w:tc>
          <w:tcPr>
            <w:tcW w:type="dxa" w:w="3249"/>
            <w:vAlign w:val="center"/>
          </w:tcPr>
          <w:p>
            <w:r/>
            <w:r>
              <w:rPr>
                <w:rFonts w:ascii="Figtree" w:hAnsi="Figtree"/>
                <w:b w:val="0"/>
                <w:i w:val="0"/>
                <w:sz w:val="22"/>
              </w:rPr>
              <w:t>Collateral Requirement</w:t>
            </w:r>
          </w:p>
        </w:tc>
        <w:tc>
          <w:tcPr>
            <w:tcW w:type="dxa" w:w="3249"/>
            <w:vAlign w:val="center"/>
          </w:tcPr>
          <w:p>
            <w:r/>
            <w:r>
              <w:rPr>
                <w:rFonts w:ascii="Figtree" w:hAnsi="Figtree"/>
                <w:b w:val="0"/>
                <w:i w:val="0"/>
                <w:sz w:val="22"/>
              </w:rPr>
              <w:t>Asset-backing verification for Sukuk</w:t>
            </w:r>
          </w:p>
        </w:tc>
        <w:tc>
          <w:tcPr>
            <w:tcW w:type="dxa" w:w="3249"/>
            <w:vAlign w:val="center"/>
          </w:tcPr>
          <w:p>
            <w:r/>
            <w:r>
              <w:rPr>
                <w:rFonts w:ascii="Figtree" w:hAnsi="Figtree"/>
                <w:b w:val="0"/>
                <w:i w:val="0"/>
                <w:sz w:val="22"/>
              </w:rPr>
              <w:t>On-chain (pre-mint)</w:t>
            </w:r>
          </w:p>
        </w:tc>
      </w:tr>
    </w:tbl>
    <w:p>
      <w:r>
        <w:br w:type="page"/>
      </w:r>
    </w:p>
    <w:p>
      <w:pPr>
        <w:pStyle w:val="H2"/>
        <w:numPr>
          <w:ilvl w:val="1"/>
          <w:numId w:val="1"/>
        </w:numPr>
      </w:pPr>
      <w:r>
        <w:t>Technical Architecture and Integration Boundaries</w:t>
      </w:r>
    </w:p>
    <w:p>
      <w:pPr>
        <w:pStyle w:val="H3"/>
        <w:numPr>
          <w:ilvl w:val="2"/>
          <w:numId w:val="1"/>
        </w:numPr>
      </w:pPr>
      <w:r>
        <w:t>Four-Layer Architecture</w:t>
      </w:r>
    </w:p>
    <w:p>
      <w:r>
        <w:rPr>
          <w:rFonts w:ascii="Figtree" w:hAnsi="Figtree"/>
          <w:b w:val="0"/>
          <w:i w:val="0"/>
          <w:sz w:val="22"/>
        </w:rPr>
        <w:t>DALP is built as a four-layer stack where each layer has a distinct responsibility boundary and layers communicate through well-defined interfaces:</w:t>
      </w:r>
    </w:p>
    <w:p>
      <w:pPr>
        <w:jc w:val="center"/>
      </w:pPr>
      <w:r>
        <w:drawing>
          <wp:inline xmlns:a="http://schemas.openxmlformats.org/drawingml/2006/main" xmlns:pic="http://schemas.openxmlformats.org/drawingml/2006/picture">
            <wp:extent cx="5486400" cy="5605365"/>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5605365"/>
                    </a:xfrm>
                    <a:prstGeom prst="rect"/>
                  </pic:spPr>
                </pic:pic>
              </a:graphicData>
            </a:graphic>
          </wp:inline>
        </w:drawing>
      </w:r>
    </w:p>
    <w:p>
      <w:r>
        <w:rPr>
          <w:rFonts w:ascii="Figtree" w:hAnsi="Figtree"/>
          <w:b/>
          <w:i w:val="0"/>
          <w:sz w:val="22"/>
        </w:rPr>
        <w:t>Requests flow top-down through these layers.</w:t>
      </w:r>
      <w:r>
        <w:rPr>
          <w:rFonts w:ascii="Figtree" w:hAnsi="Figtree"/>
          <w:b w:val="0"/>
          <w:i w:val="0"/>
          <w:sz w:val="22"/>
        </w:rPr>
        <w:t xml:space="preserve"> A user action in the Asset Console triggers an API call, which the middleware orchestrates into one or more blockchain transactions, which the smart contract layer validates and executes on-chain. Each layer independently enforces its own security controls, so no single-layer failure grants unauthorized access.</w:t>
      </w:r>
    </w:p>
    <w:p>
      <w:pPr>
        <w:pStyle w:val="H3"/>
        <w:numPr>
          <w:ilvl w:val="2"/>
          <w:numId w:val="1"/>
        </w:numPr>
      </w:pPr>
      <w:r>
        <w:t>Enterprise Integration Architecture for Al Rajhi Bank</w:t>
      </w:r>
    </w:p>
    <w:p>
      <w:r>
        <w:rPr>
          <w:rFonts w:ascii="Figtree" w:hAnsi="Figtree"/>
          <w:b w:val="0"/>
          <w:i w:val="0"/>
          <w:sz w:val="22"/>
        </w:rPr>
        <w:t>The following diagram shows how DALP integrates with Al Rajhi Bank's enterprise systems, addressing the RFP's requirement that the solution fit into the broader enterprise stack without creating hidden operational debt:</w:t>
      </w:r>
    </w:p>
    <w:p>
      <w:pPr>
        <w:jc w:val="center"/>
      </w:pPr>
      <w:r>
        <w:drawing>
          <wp:inline xmlns:a="http://schemas.openxmlformats.org/drawingml/2006/main" xmlns:pic="http://schemas.openxmlformats.org/drawingml/2006/picture">
            <wp:extent cx="5486400" cy="5073521"/>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5073521"/>
                    </a:xfrm>
                    <a:prstGeom prst="rect"/>
                  </pic:spPr>
                </pic:pic>
              </a:graphicData>
            </a:graphic>
          </wp:inline>
        </w:drawing>
      </w:r>
    </w:p>
    <w:p>
      <w:r>
        <w:rPr>
          <w:rFonts w:ascii="Figtree" w:hAnsi="Figtree"/>
          <w:b/>
          <w:i w:val="0"/>
          <w:sz w:val="22"/>
        </w:rPr>
        <w:t>Integration patterns by system category:</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Enterprise System</w:t>
            </w:r>
          </w:p>
        </w:tc>
        <w:tc>
          <w:tcPr>
            <w:tcW w:type="dxa" w:w="2436"/>
            <w:vAlign w:val="center"/>
            <w:shd w:fill="000099" w:val="clear"/>
          </w:tcPr>
          <w:p>
            <w:r>
              <w:rPr>
                <w:b/>
                <w:color w:val="FFFFFF"/>
              </w:rPr>
            </w:r>
            <w:r>
              <w:rPr>
                <w:rFonts w:ascii="Figtree" w:hAnsi="Figtree"/>
                <w:b/>
                <w:i w:val="0"/>
                <w:color w:val="FFFFFF"/>
                <w:sz w:val="22"/>
              </w:rPr>
              <w:t>Integration Pattern</w:t>
            </w:r>
          </w:p>
        </w:tc>
        <w:tc>
          <w:tcPr>
            <w:tcW w:type="dxa" w:w="2436"/>
            <w:vAlign w:val="center"/>
            <w:shd w:fill="000099" w:val="clear"/>
          </w:tcPr>
          <w:p>
            <w:r>
              <w:rPr>
                <w:b/>
                <w:color w:val="FFFFFF"/>
              </w:rPr>
            </w:r>
            <w:r>
              <w:rPr>
                <w:rFonts w:ascii="Figtree" w:hAnsi="Figtree"/>
                <w:b/>
                <w:i w:val="0"/>
                <w:color w:val="FFFFFF"/>
                <w:sz w:val="22"/>
              </w:rPr>
              <w:t>Data Flow</w:t>
            </w:r>
          </w:p>
        </w:tc>
        <w:tc>
          <w:tcPr>
            <w:tcW w:type="dxa" w:w="2436"/>
            <w:vAlign w:val="center"/>
            <w:shd w:fill="000099" w:val="clear"/>
          </w:tcPr>
          <w:p>
            <w:r>
              <w:rPr>
                <w:b/>
                <w:color w:val="FFFFFF"/>
              </w:rPr>
            </w:r>
            <w:r>
              <w:rPr>
                <w:rFonts w:ascii="Figtree" w:hAnsi="Figtree"/>
                <w:b/>
                <w:i w:val="0"/>
                <w:color w:val="FFFFFF"/>
                <w:sz w:val="22"/>
              </w:rPr>
              <w:t>Frequency</w:t>
            </w:r>
          </w:p>
        </w:tc>
      </w:tr>
      <w:tr>
        <w:trPr>
          <w:trHeight w:val="454" w:hRule="atLeast"/>
        </w:trPr>
        <w:tc>
          <w:tcPr>
            <w:tcW w:type="dxa" w:w="2436"/>
            <w:vAlign w:val="center"/>
          </w:tcPr>
          <w:p>
            <w:r/>
            <w:r>
              <w:rPr>
                <w:rFonts w:ascii="Figtree" w:hAnsi="Figtree"/>
                <w:b w:val="0"/>
                <w:i w:val="0"/>
                <w:sz w:val="22"/>
              </w:rPr>
              <w:t>Core Banking</w:t>
            </w:r>
          </w:p>
        </w:tc>
        <w:tc>
          <w:tcPr>
            <w:tcW w:type="dxa" w:w="2436"/>
            <w:vAlign w:val="center"/>
          </w:tcPr>
          <w:p>
            <w:r/>
            <w:r>
              <w:rPr>
                <w:rFonts w:ascii="Figtree" w:hAnsi="Figtree"/>
                <w:b w:val="0"/>
                <w:i w:val="0"/>
                <w:sz w:val="22"/>
              </w:rPr>
              <w:t>REST API v2, bidirectional</w:t>
            </w:r>
          </w:p>
        </w:tc>
        <w:tc>
          <w:tcPr>
            <w:tcW w:type="dxa" w:w="2436"/>
            <w:vAlign w:val="center"/>
          </w:tcPr>
          <w:p>
            <w:r/>
            <w:r>
              <w:rPr>
                <w:rFonts w:ascii="Figtree" w:hAnsi="Figtree"/>
                <w:b w:val="0"/>
                <w:i w:val="0"/>
                <w:sz w:val="22"/>
              </w:rPr>
              <w:t>Position sync, P&amp;L booking</w:t>
            </w:r>
          </w:p>
        </w:tc>
        <w:tc>
          <w:tcPr>
            <w:tcW w:type="dxa" w:w="2436"/>
            <w:vAlign w:val="center"/>
          </w:tcPr>
          <w:p>
            <w:r/>
            <w:r>
              <w:rPr>
                <w:rFonts w:ascii="Figtree" w:hAnsi="Figtree"/>
                <w:b w:val="0"/>
                <w:i w:val="0"/>
                <w:sz w:val="22"/>
              </w:rPr>
              <w:t>Real-time + batch reconciliation</w:t>
            </w:r>
          </w:p>
        </w:tc>
      </w:tr>
      <w:tr>
        <w:trPr>
          <w:trHeight w:val="454" w:hRule="atLeast"/>
        </w:trPr>
        <w:tc>
          <w:tcPr>
            <w:tcW w:type="dxa" w:w="2436"/>
            <w:vAlign w:val="center"/>
          </w:tcPr>
          <w:p>
            <w:r/>
            <w:r>
              <w:rPr>
                <w:rFonts w:ascii="Figtree" w:hAnsi="Figtree"/>
                <w:b w:val="0"/>
                <w:i w:val="0"/>
                <w:sz w:val="22"/>
              </w:rPr>
              <w:t>AML/CFT Screening</w:t>
            </w:r>
          </w:p>
        </w:tc>
        <w:tc>
          <w:tcPr>
            <w:tcW w:type="dxa" w:w="2436"/>
            <w:vAlign w:val="center"/>
          </w:tcPr>
          <w:p>
            <w:r/>
            <w:r>
              <w:rPr>
                <w:rFonts w:ascii="Figtree" w:hAnsi="Figtree"/>
                <w:b w:val="0"/>
                <w:i w:val="0"/>
                <w:sz w:val="22"/>
              </w:rPr>
              <w:t>Webhook events + API</w:t>
            </w:r>
          </w:p>
        </w:tc>
        <w:tc>
          <w:tcPr>
            <w:tcW w:type="dxa" w:w="2436"/>
            <w:vAlign w:val="center"/>
          </w:tcPr>
          <w:p>
            <w:r/>
            <w:r>
              <w:rPr>
                <w:rFonts w:ascii="Figtree" w:hAnsi="Figtree"/>
                <w:b w:val="0"/>
                <w:i w:val="0"/>
                <w:sz w:val="22"/>
              </w:rPr>
              <w:t>Transaction alerts, case referrals</w:t>
            </w:r>
          </w:p>
        </w:tc>
        <w:tc>
          <w:tcPr>
            <w:tcW w:type="dxa" w:w="2436"/>
            <w:vAlign w:val="center"/>
          </w:tcPr>
          <w:p>
            <w:r/>
            <w:r>
              <w:rPr>
                <w:rFonts w:ascii="Figtree" w:hAnsi="Figtree"/>
                <w:b w:val="0"/>
                <w:i w:val="0"/>
                <w:sz w:val="22"/>
              </w:rPr>
              <w:t>Real-time per transaction</w:t>
            </w:r>
          </w:p>
        </w:tc>
      </w:tr>
      <w:tr>
        <w:trPr>
          <w:trHeight w:val="454" w:hRule="atLeast"/>
        </w:trPr>
        <w:tc>
          <w:tcPr>
            <w:tcW w:type="dxa" w:w="2436"/>
            <w:vAlign w:val="center"/>
          </w:tcPr>
          <w:p>
            <w:r/>
            <w:r>
              <w:rPr>
                <w:rFonts w:ascii="Figtree" w:hAnsi="Figtree"/>
                <w:b w:val="0"/>
                <w:i w:val="0"/>
                <w:sz w:val="22"/>
              </w:rPr>
              <w:t>National Identity (Yakeen)</w:t>
            </w:r>
          </w:p>
        </w:tc>
        <w:tc>
          <w:tcPr>
            <w:tcW w:type="dxa" w:w="2436"/>
            <w:vAlign w:val="center"/>
          </w:tcPr>
          <w:p>
            <w:r/>
            <w:r>
              <w:rPr>
                <w:rFonts w:ascii="Figtree" w:hAnsi="Figtree"/>
                <w:b w:val="0"/>
                <w:i w:val="0"/>
                <w:sz w:val="22"/>
              </w:rPr>
              <w:t>Identity claims via API</w:t>
            </w:r>
          </w:p>
        </w:tc>
        <w:tc>
          <w:tcPr>
            <w:tcW w:type="dxa" w:w="2436"/>
            <w:vAlign w:val="center"/>
          </w:tcPr>
          <w:p>
            <w:r/>
            <w:r>
              <w:rPr>
                <w:rFonts w:ascii="Figtree" w:hAnsi="Figtree"/>
                <w:b w:val="0"/>
                <w:i w:val="0"/>
                <w:sz w:val="22"/>
              </w:rPr>
              <w:t>KYC verification, identity attestation</w:t>
            </w:r>
          </w:p>
        </w:tc>
        <w:tc>
          <w:tcPr>
            <w:tcW w:type="dxa" w:w="2436"/>
            <w:vAlign w:val="center"/>
          </w:tcPr>
          <w:p>
            <w:r/>
            <w:r>
              <w:rPr>
                <w:rFonts w:ascii="Figtree" w:hAnsi="Figtree"/>
                <w:b w:val="0"/>
                <w:i w:val="0"/>
                <w:sz w:val="22"/>
              </w:rPr>
              <w:t>On investor onboarding</w:t>
            </w:r>
          </w:p>
        </w:tc>
      </w:tr>
      <w:tr>
        <w:trPr>
          <w:trHeight w:val="454" w:hRule="atLeast"/>
        </w:trPr>
        <w:tc>
          <w:tcPr>
            <w:tcW w:type="dxa" w:w="2436"/>
            <w:vAlign w:val="center"/>
          </w:tcPr>
          <w:p>
            <w:r/>
            <w:r>
              <w:rPr>
                <w:rFonts w:ascii="Figtree" w:hAnsi="Figtree"/>
                <w:b w:val="0"/>
                <w:i w:val="0"/>
                <w:sz w:val="22"/>
              </w:rPr>
              <w:t>Regulatory Reporting</w:t>
            </w:r>
          </w:p>
        </w:tc>
        <w:tc>
          <w:tcPr>
            <w:tcW w:type="dxa" w:w="2436"/>
            <w:vAlign w:val="center"/>
          </w:tcPr>
          <w:p>
            <w:r/>
            <w:r>
              <w:rPr>
                <w:rFonts w:ascii="Figtree" w:hAnsi="Figtree"/>
                <w:b w:val="0"/>
                <w:i w:val="0"/>
                <w:sz w:val="22"/>
              </w:rPr>
              <w:t>Scheduled API extracts</w:t>
            </w:r>
          </w:p>
        </w:tc>
        <w:tc>
          <w:tcPr>
            <w:tcW w:type="dxa" w:w="2436"/>
            <w:vAlign w:val="center"/>
          </w:tcPr>
          <w:p>
            <w:r/>
            <w:r>
              <w:rPr>
                <w:rFonts w:ascii="Figtree" w:hAnsi="Figtree"/>
                <w:b w:val="0"/>
                <w:i w:val="0"/>
                <w:sz w:val="22"/>
              </w:rPr>
              <w:t>SAMA reports, CMA filings</w:t>
            </w:r>
          </w:p>
        </w:tc>
        <w:tc>
          <w:tcPr>
            <w:tcW w:type="dxa" w:w="2436"/>
            <w:vAlign w:val="center"/>
          </w:tcPr>
          <w:p>
            <w:r/>
            <w:r>
              <w:rPr>
                <w:rFonts w:ascii="Figtree" w:hAnsi="Figtree"/>
                <w:b w:val="0"/>
                <w:i w:val="0"/>
                <w:sz w:val="22"/>
              </w:rPr>
              <w:t>Daily/monthly per requirement</w:t>
            </w:r>
          </w:p>
        </w:tc>
      </w:tr>
      <w:tr>
        <w:trPr>
          <w:trHeight w:val="454" w:hRule="atLeast"/>
        </w:trPr>
        <w:tc>
          <w:tcPr>
            <w:tcW w:type="dxa" w:w="2436"/>
            <w:vAlign w:val="center"/>
          </w:tcPr>
          <w:p>
            <w:r/>
            <w:r>
              <w:rPr>
                <w:rFonts w:ascii="Figtree" w:hAnsi="Figtree"/>
                <w:b w:val="0"/>
                <w:i w:val="0"/>
                <w:sz w:val="22"/>
              </w:rPr>
              <w:t>Sadad Payment Rails</w:t>
            </w:r>
          </w:p>
        </w:tc>
        <w:tc>
          <w:tcPr>
            <w:tcW w:type="dxa" w:w="2436"/>
            <w:vAlign w:val="center"/>
          </w:tcPr>
          <w:p>
            <w:r/>
            <w:r>
              <w:rPr>
                <w:rFonts w:ascii="Figtree" w:hAnsi="Figtree"/>
                <w:b w:val="0"/>
                <w:i w:val="0"/>
                <w:sz w:val="22"/>
              </w:rPr>
              <w:t>Payment API integration</w:t>
            </w:r>
          </w:p>
        </w:tc>
        <w:tc>
          <w:tcPr>
            <w:tcW w:type="dxa" w:w="2436"/>
            <w:vAlign w:val="center"/>
          </w:tcPr>
          <w:p>
            <w:r/>
            <w:r>
              <w:rPr>
                <w:rFonts w:ascii="Figtree" w:hAnsi="Figtree"/>
                <w:b w:val="0"/>
                <w:i w:val="0"/>
                <w:sz w:val="22"/>
              </w:rPr>
              <w:t>Fiat settlement instructions</w:t>
            </w:r>
          </w:p>
        </w:tc>
        <w:tc>
          <w:tcPr>
            <w:tcW w:type="dxa" w:w="2436"/>
            <w:vAlign w:val="center"/>
          </w:tcPr>
          <w:p>
            <w:r/>
            <w:r>
              <w:rPr>
                <w:rFonts w:ascii="Figtree" w:hAnsi="Figtree"/>
                <w:b w:val="0"/>
                <w:i w:val="0"/>
                <w:sz w:val="22"/>
              </w:rPr>
              <w:t>Per settlement event</w:t>
            </w:r>
          </w:p>
        </w:tc>
      </w:tr>
      <w:tr>
        <w:trPr>
          <w:trHeight w:val="454" w:hRule="atLeast"/>
        </w:trPr>
        <w:tc>
          <w:tcPr>
            <w:tcW w:type="dxa" w:w="2436"/>
            <w:vAlign w:val="center"/>
          </w:tcPr>
          <w:p>
            <w:r/>
            <w:r>
              <w:rPr>
                <w:rFonts w:ascii="Figtree" w:hAnsi="Figtree"/>
                <w:b w:val="0"/>
                <w:i w:val="0"/>
                <w:sz w:val="22"/>
              </w:rPr>
              <w:t>SWIFT Messaging</w:t>
            </w:r>
          </w:p>
        </w:tc>
        <w:tc>
          <w:tcPr>
            <w:tcW w:type="dxa" w:w="2436"/>
            <w:vAlign w:val="center"/>
          </w:tcPr>
          <w:p>
            <w:r/>
            <w:r>
              <w:rPr>
                <w:rFonts w:ascii="Figtree" w:hAnsi="Figtree"/>
                <w:b w:val="0"/>
                <w:i w:val="0"/>
                <w:sz w:val="22"/>
              </w:rPr>
              <w:t>Message translation middleware</w:t>
            </w:r>
          </w:p>
        </w:tc>
        <w:tc>
          <w:tcPr>
            <w:tcW w:type="dxa" w:w="2436"/>
            <w:vAlign w:val="center"/>
          </w:tcPr>
          <w:p>
            <w:r/>
            <w:r>
              <w:rPr>
                <w:rFonts w:ascii="Figtree" w:hAnsi="Figtree"/>
                <w:b w:val="0"/>
                <w:i w:val="0"/>
                <w:sz w:val="22"/>
              </w:rPr>
              <w:t>Cross-border instructions</w:t>
            </w:r>
          </w:p>
        </w:tc>
        <w:tc>
          <w:tcPr>
            <w:tcW w:type="dxa" w:w="2436"/>
            <w:vAlign w:val="center"/>
          </w:tcPr>
          <w:p>
            <w:r/>
            <w:r>
              <w:rPr>
                <w:rFonts w:ascii="Figtree" w:hAnsi="Figtree"/>
                <w:b w:val="0"/>
                <w:i w:val="0"/>
                <w:sz w:val="22"/>
              </w:rPr>
              <w:t>Per cross-border transaction</w:t>
            </w:r>
          </w:p>
        </w:tc>
      </w:tr>
    </w:tbl>
    <w:p>
      <w:pPr>
        <w:pStyle w:val="H3"/>
        <w:numPr>
          <w:ilvl w:val="2"/>
          <w:numId w:val="1"/>
        </w:numPr>
      </w:pPr>
      <w:r>
        <w:t>Deployment Architecture</w:t>
      </w:r>
    </w:p>
    <w:p>
      <w:r>
        <w:rPr>
          <w:rFonts w:ascii="Figtree" w:hAnsi="Figtree"/>
          <w:b w:val="0"/>
          <w:i w:val="0"/>
          <w:sz w:val="22"/>
        </w:rPr>
        <w:t xml:space="preserve">DALP supports three deployment models. For Al Rajhi Bank, we recommend a </w:t>
      </w:r>
      <w:r>
        <w:rPr>
          <w:rFonts w:ascii="Figtree" w:hAnsi="Figtree"/>
          <w:b/>
          <w:i w:val="0"/>
          <w:sz w:val="22"/>
        </w:rPr>
        <w:t>dedicated cloud deployment</w:t>
      </w:r>
      <w:r>
        <w:rPr>
          <w:rFonts w:ascii="Figtree" w:hAnsi="Figtree"/>
          <w:b w:val="0"/>
          <w:i w:val="0"/>
          <w:sz w:val="22"/>
        </w:rPr>
        <w:t xml:space="preserve"> within KSA-resident infrastructure to satisfy data residency requirements:</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Environment</w:t>
            </w:r>
          </w:p>
        </w:tc>
        <w:tc>
          <w:tcPr>
            <w:tcW w:type="dxa" w:w="3249"/>
            <w:vAlign w:val="center"/>
            <w:shd w:fill="000099" w:val="clear"/>
          </w:tcPr>
          <w:p>
            <w:r>
              <w:rPr>
                <w:b/>
                <w:color w:val="FFFFFF"/>
              </w:rPr>
            </w:r>
            <w:r>
              <w:rPr>
                <w:rFonts w:ascii="Figtree" w:hAnsi="Figtree"/>
                <w:b/>
                <w:i w:val="0"/>
                <w:color w:val="FFFFFF"/>
                <w:sz w:val="22"/>
              </w:rPr>
              <w:t>Purpose</w:t>
            </w:r>
          </w:p>
        </w:tc>
        <w:tc>
          <w:tcPr>
            <w:tcW w:type="dxa" w:w="3249"/>
            <w:vAlign w:val="center"/>
            <w:shd w:fill="000099" w:val="clear"/>
          </w:tcPr>
          <w:p>
            <w:r>
              <w:rPr>
                <w:b/>
                <w:color w:val="FFFFFF"/>
              </w:rPr>
            </w:r>
            <w:r>
              <w:rPr>
                <w:rFonts w:ascii="Figtree" w:hAnsi="Figtree"/>
                <w:b/>
                <w:i w:val="0"/>
                <w:color w:val="FFFFFF"/>
                <w:sz w:val="22"/>
              </w:rPr>
              <w:t>Configuration</w:t>
            </w:r>
          </w:p>
        </w:tc>
      </w:tr>
      <w:tr>
        <w:trPr>
          <w:trHeight w:val="454" w:hRule="atLeast"/>
        </w:trPr>
        <w:tc>
          <w:tcPr>
            <w:tcW w:type="dxa" w:w="3249"/>
            <w:vAlign w:val="center"/>
          </w:tcPr>
          <w:p>
            <w:r/>
            <w:r>
              <w:rPr>
                <w:rFonts w:ascii="Figtree" w:hAnsi="Figtree"/>
                <w:b w:val="0"/>
                <w:i w:val="0"/>
                <w:sz w:val="22"/>
              </w:rPr>
              <w:t>Development</w:t>
            </w:r>
          </w:p>
        </w:tc>
        <w:tc>
          <w:tcPr>
            <w:tcW w:type="dxa" w:w="3249"/>
            <w:vAlign w:val="center"/>
          </w:tcPr>
          <w:p>
            <w:r/>
            <w:r>
              <w:rPr>
                <w:rFonts w:ascii="Figtree" w:hAnsi="Figtree"/>
                <w:b w:val="0"/>
                <w:i w:val="0"/>
                <w:sz w:val="22"/>
              </w:rPr>
              <w:t>Feature development, API testing</w:t>
            </w:r>
          </w:p>
        </w:tc>
        <w:tc>
          <w:tcPr>
            <w:tcW w:type="dxa" w:w="3249"/>
            <w:vAlign w:val="center"/>
          </w:tcPr>
          <w:p>
            <w:r/>
            <w:r>
              <w:rPr>
                <w:rFonts w:ascii="Figtree" w:hAnsi="Figtree"/>
                <w:b w:val="0"/>
                <w:i w:val="0"/>
                <w:sz w:val="22"/>
              </w:rPr>
              <w:t>Shared infrastructure, reduced compute</w:t>
            </w:r>
          </w:p>
        </w:tc>
      </w:tr>
      <w:tr>
        <w:trPr>
          <w:trHeight w:val="454" w:hRule="atLeast"/>
        </w:trPr>
        <w:tc>
          <w:tcPr>
            <w:tcW w:type="dxa" w:w="3249"/>
            <w:vAlign w:val="center"/>
          </w:tcPr>
          <w:p>
            <w:r/>
            <w:r>
              <w:rPr>
                <w:rFonts w:ascii="Figtree" w:hAnsi="Figtree"/>
                <w:b w:val="0"/>
                <w:i w:val="0"/>
                <w:sz w:val="22"/>
              </w:rPr>
              <w:t>UAT/Staging</w:t>
            </w:r>
          </w:p>
        </w:tc>
        <w:tc>
          <w:tcPr>
            <w:tcW w:type="dxa" w:w="3249"/>
            <w:vAlign w:val="center"/>
          </w:tcPr>
          <w:p>
            <w:r/>
            <w:r>
              <w:rPr>
                <w:rFonts w:ascii="Figtree" w:hAnsi="Figtree"/>
                <w:b w:val="0"/>
                <w:i w:val="0"/>
                <w:sz w:val="22"/>
              </w:rPr>
              <w:t>Business acceptance, integration testing</w:t>
            </w:r>
          </w:p>
        </w:tc>
        <w:tc>
          <w:tcPr>
            <w:tcW w:type="dxa" w:w="3249"/>
            <w:vAlign w:val="center"/>
          </w:tcPr>
          <w:p>
            <w:r/>
            <w:r>
              <w:rPr>
                <w:rFonts w:ascii="Figtree" w:hAnsi="Figtree"/>
                <w:b w:val="0"/>
                <w:i w:val="0"/>
                <w:sz w:val="22"/>
              </w:rPr>
              <w:t>Production-mirror configuration</w:t>
            </w:r>
          </w:p>
        </w:tc>
      </w:tr>
      <w:tr>
        <w:trPr>
          <w:trHeight w:val="454" w:hRule="atLeast"/>
        </w:trPr>
        <w:tc>
          <w:tcPr>
            <w:tcW w:type="dxa" w:w="3249"/>
            <w:vAlign w:val="center"/>
          </w:tcPr>
          <w:p>
            <w:r/>
            <w:r>
              <w:rPr>
                <w:rFonts w:ascii="Figtree" w:hAnsi="Figtree"/>
                <w:b w:val="0"/>
                <w:i w:val="0"/>
                <w:sz w:val="22"/>
              </w:rPr>
              <w:t>DR</w:t>
            </w:r>
          </w:p>
        </w:tc>
        <w:tc>
          <w:tcPr>
            <w:tcW w:type="dxa" w:w="3249"/>
            <w:vAlign w:val="center"/>
          </w:tcPr>
          <w:p>
            <w:r/>
            <w:r>
              <w:rPr>
                <w:rFonts w:ascii="Figtree" w:hAnsi="Figtree"/>
                <w:b w:val="0"/>
                <w:i w:val="0"/>
                <w:sz w:val="22"/>
              </w:rPr>
              <w:t>Disaster recovery, failover testing</w:t>
            </w:r>
          </w:p>
        </w:tc>
        <w:tc>
          <w:tcPr>
            <w:tcW w:type="dxa" w:w="3249"/>
            <w:vAlign w:val="center"/>
          </w:tcPr>
          <w:p>
            <w:r/>
            <w:r>
              <w:rPr>
                <w:rFonts w:ascii="Figtree" w:hAnsi="Figtree"/>
                <w:b w:val="0"/>
                <w:i w:val="0"/>
                <w:sz w:val="22"/>
              </w:rPr>
              <w:t>Geo-separated within KSA</w:t>
            </w:r>
          </w:p>
        </w:tc>
      </w:tr>
      <w:tr>
        <w:trPr>
          <w:trHeight w:val="454" w:hRule="atLeast"/>
        </w:trPr>
        <w:tc>
          <w:tcPr>
            <w:tcW w:type="dxa" w:w="3249"/>
            <w:vAlign w:val="center"/>
          </w:tcPr>
          <w:p>
            <w:r/>
            <w:r>
              <w:rPr>
                <w:rFonts w:ascii="Figtree" w:hAnsi="Figtree"/>
                <w:b w:val="0"/>
                <w:i w:val="0"/>
                <w:sz w:val="22"/>
              </w:rPr>
              <w:t>Production</w:t>
            </w:r>
          </w:p>
        </w:tc>
        <w:tc>
          <w:tcPr>
            <w:tcW w:type="dxa" w:w="3249"/>
            <w:vAlign w:val="center"/>
          </w:tcPr>
          <w:p>
            <w:r/>
            <w:r>
              <w:rPr>
                <w:rFonts w:ascii="Figtree" w:hAnsi="Figtree"/>
                <w:b w:val="0"/>
                <w:i w:val="0"/>
                <w:sz w:val="22"/>
              </w:rPr>
              <w:t>Live operations</w:t>
            </w:r>
          </w:p>
        </w:tc>
        <w:tc>
          <w:tcPr>
            <w:tcW w:type="dxa" w:w="3249"/>
            <w:vAlign w:val="center"/>
          </w:tcPr>
          <w:p>
            <w:r/>
            <w:r>
              <w:rPr>
                <w:rFonts w:ascii="Figtree" w:hAnsi="Figtree"/>
                <w:b w:val="0"/>
                <w:i w:val="0"/>
                <w:sz w:val="22"/>
              </w:rPr>
              <w:t>Full HA, dedicated compute, KSA data center</w:t>
            </w:r>
          </w:p>
        </w:tc>
      </w:tr>
    </w:tbl>
    <w:p>
      <w:r>
        <w:rPr>
          <w:rFonts w:ascii="Figtree" w:hAnsi="Figtree"/>
          <w:b w:val="0"/>
          <w:i w:val="0"/>
          <w:sz w:val="22"/>
        </w:rPr>
        <w:t>REQ-01 (segregated environments) is fully supported. All environments are isolated at the network, compute, and data levels with separate access controls.</w:t>
      </w:r>
    </w:p>
    <w:p>
      <w:r>
        <w:br w:type="page"/>
      </w:r>
    </w:p>
    <w:p>
      <w:pPr>
        <w:pStyle w:val="H2"/>
        <w:numPr>
          <w:ilvl w:val="1"/>
          <w:numId w:val="1"/>
        </w:numPr>
      </w:pPr>
      <w:r>
        <w:t>Smart Contract Architecture for Islamic Finance</w:t>
      </w:r>
    </w:p>
    <w:p>
      <w:pPr>
        <w:pStyle w:val="H3"/>
        <w:numPr>
          <w:ilvl w:val="2"/>
          <w:numId w:val="1"/>
        </w:numPr>
      </w:pPr>
      <w:r>
        <w:t>DALPAsset Configuration for Sharia Products</w:t>
      </w:r>
    </w:p>
    <w:p>
      <w:r>
        <w:rPr>
          <w:rFonts w:ascii="Figtree" w:hAnsi="Figtree"/>
          <w:b w:val="0"/>
          <w:i w:val="0"/>
          <w:sz w:val="22"/>
        </w:rPr>
        <w:t>All Sharia-compliant products use the DALPAsset configurable contract, which extends the SMART Protocol (ERC-3643) with runtime-pluggable features and compliance modules. This design means Al Rajhi Bank does not need separate smart contract development for each product type:</w:t>
      </w:r>
    </w:p>
    <w:p>
      <w:pPr>
        <w:jc w:val="center"/>
      </w:pPr>
      <w:r>
        <w:drawing>
          <wp:inline xmlns:a="http://schemas.openxmlformats.org/drawingml/2006/main" xmlns:pic="http://schemas.openxmlformats.org/drawingml/2006/picture">
            <wp:extent cx="5486400" cy="12479206"/>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12479206"/>
                    </a:xfrm>
                    <a:prstGeom prst="rect"/>
                  </pic:spPr>
                </pic:pic>
              </a:graphicData>
            </a:graphic>
          </wp:inline>
        </w:drawing>
      </w:r>
    </w:p>
    <w:p>
      <w:r>
        <w:rPr>
          <w:rFonts w:ascii="Figtree" w:hAnsi="Figtree"/>
          <w:b/>
          <w:i w:val="0"/>
          <w:sz w:val="22"/>
        </w:rPr>
        <w:t>Key Sharia compliance considerations in the smart contract design:</w:t>
      </w:r>
    </w:p>
    <w:p>
      <w:pPr>
        <w:pStyle w:val="ListParagraph"/>
        <w:numPr>
          <w:ilvl w:val="0"/>
          <w:numId w:val="6"/>
        </w:numPr>
      </w:pPr>
      <w:r>
        <w:rPr>
          <w:rFonts w:ascii="Figtree" w:hAnsi="Figtree"/>
          <w:b/>
          <w:i w:val="0"/>
          <w:sz w:val="22"/>
        </w:rPr>
        <w:t>Profit vs. interest segregation (REQ-13).</w:t>
      </w:r>
      <w:r>
        <w:rPr>
          <w:rFonts w:ascii="Figtree" w:hAnsi="Figtree"/>
          <w:b w:val="0"/>
          <w:i w:val="0"/>
          <w:sz w:val="22"/>
        </w:rPr>
        <w:t xml:space="preserve"> The Fixed Treasury Yield feature is configured to distribute profits based on the contractually defined profit-sharing ratio, not a fixed interest rate. The distribution calculation references the actual investment pool performance, and the smart contract enforces that distributions are labelled and calculated as profit shares rather than interest payments. This distinction is enforced at the contract level and visible in all audit trails.</w:t>
      </w:r>
    </w:p>
    <w:p>
      <w:pPr>
        <w:pStyle w:val="ListParagraph"/>
        <w:numPr>
          <w:ilvl w:val="0"/>
          <w:numId w:val="6"/>
        </w:numPr>
      </w:pPr>
      <w:r>
        <w:rPr>
          <w:rFonts w:ascii="Figtree" w:hAnsi="Figtree"/>
          <w:b/>
          <w:i w:val="0"/>
          <w:sz w:val="22"/>
        </w:rPr>
        <w:t>Sharia board workflow integration (REQ-12).</w:t>
      </w:r>
      <w:r>
        <w:rPr>
          <w:rFonts w:ascii="Figtree" w:hAnsi="Figtree"/>
          <w:b w:val="0"/>
          <w:i w:val="0"/>
          <w:sz w:val="22"/>
        </w:rPr>
        <w:t xml:space="preserve"> The Transfer Approval compliance module supports multi-level approval workflows. For Sharia governance, this can be configured to require Sharia board representative approval for product launches, secondary market enablement, and distribution parameter changes. Each approval is recorded on-chain with the approver's verified identity, timestamp, and reference to the relevant fatwa or board resolution.</w:t>
      </w:r>
    </w:p>
    <w:p>
      <w:pPr>
        <w:pStyle w:val="ListParagraph"/>
        <w:numPr>
          <w:ilvl w:val="0"/>
          <w:numId w:val="6"/>
        </w:numPr>
      </w:pPr>
      <w:r>
        <w:rPr>
          <w:rFonts w:ascii="Figtree" w:hAnsi="Figtree"/>
          <w:b/>
          <w:i w:val="0"/>
          <w:sz w:val="22"/>
        </w:rPr>
        <w:t>AAOIFI documentation treatment.</w:t>
      </w:r>
      <w:r>
        <w:rPr>
          <w:rFonts w:ascii="Figtree" w:hAnsi="Figtree"/>
          <w:b w:val="0"/>
          <w:i w:val="0"/>
          <w:sz w:val="22"/>
        </w:rPr>
        <w:t xml:space="preserve"> Product configurations can reference specific AAOIFI standards (e.g., FAS 4 for Murabaha, FAS 3 for Mudarabah) in metadata fields that travel with the token throughout its lifecycle. These references are queryable via the API and included in regulatory reporting extracts.</w:t>
      </w:r>
    </w:p>
    <w:p>
      <w:pPr>
        <w:pStyle w:val="H3"/>
        <w:numPr>
          <w:ilvl w:val="2"/>
          <w:numId w:val="1"/>
        </w:numPr>
      </w:pPr>
      <w:r>
        <w:t>UUPS Proxy Upgrade Pattern</w:t>
      </w:r>
    </w:p>
    <w:p>
      <w:r>
        <w:rPr>
          <w:rFonts w:ascii="Figtree" w:hAnsi="Figtree"/>
          <w:b w:val="0"/>
          <w:i w:val="0"/>
          <w:sz w:val="22"/>
        </w:rPr>
        <w:t>DALPAsset contracts are deployed using the UUPS (Universal Upgradeable Proxy Standard) pattern, which preserves all on-chain state during upgrades while allowing the implementation logic to evolve:</w:t>
      </w:r>
    </w:p>
    <w:p>
      <w:pPr>
        <w:pStyle w:val="ListParagraph"/>
        <w:numPr>
          <w:ilvl w:val="0"/>
          <w:numId w:val="4"/>
        </w:numPr>
      </w:pPr>
      <w:r>
        <w:rPr>
          <w:rFonts w:ascii="Figtree" w:hAnsi="Figtree"/>
          <w:b w:val="0"/>
          <w:i w:val="0"/>
          <w:sz w:val="22"/>
        </w:rPr>
        <w:t>The proxy contract holds the state (token balances, compliance configuration, identity data)</w:t>
      </w:r>
    </w:p>
    <w:p>
      <w:pPr>
        <w:pStyle w:val="ListParagraph"/>
        <w:numPr>
          <w:ilvl w:val="0"/>
          <w:numId w:val="4"/>
        </w:numPr>
      </w:pPr>
      <w:r>
        <w:rPr>
          <w:rFonts w:ascii="Figtree" w:hAnsi="Figtree"/>
          <w:b w:val="0"/>
          <w:i w:val="0"/>
          <w:sz w:val="22"/>
        </w:rPr>
        <w:t>Upgrade logic lives in the implementation contract, requiring explicit authorization via GOVERNANCE_ROLE</w:t>
      </w:r>
    </w:p>
    <w:p>
      <w:pPr>
        <w:pStyle w:val="ListParagraph"/>
        <w:numPr>
          <w:ilvl w:val="0"/>
          <w:numId w:val="4"/>
        </w:numPr>
      </w:pPr>
      <w:r>
        <w:rPr>
          <w:rFonts w:ascii="Figtree" w:hAnsi="Figtree"/>
          <w:b w:val="0"/>
          <w:i w:val="0"/>
          <w:sz w:val="22"/>
        </w:rPr>
        <w:t>Token addresses remain stable across upgrades — no migration required</w:t>
      </w:r>
    </w:p>
    <w:p>
      <w:pPr>
        <w:pStyle w:val="ListParagraph"/>
        <w:numPr>
          <w:ilvl w:val="0"/>
          <w:numId w:val="4"/>
        </w:numPr>
      </w:pPr>
      <w:r>
        <w:rPr>
          <w:rFonts w:ascii="Figtree" w:hAnsi="Figtree"/>
          <w:b w:val="0"/>
          <w:i w:val="0"/>
          <w:sz w:val="22"/>
        </w:rPr>
        <w:t>Immutable deployment is available for regulatory frameworks requiring compile-time guarantees</w:t>
      </w:r>
    </w:p>
    <w:p>
      <w:r>
        <w:rPr>
          <w:rFonts w:ascii="Figtree" w:hAnsi="Figtree"/>
          <w:b w:val="0"/>
          <w:i w:val="0"/>
          <w:sz w:val="22"/>
        </w:rPr>
        <w:t>For Al Rajhi Bank, we recommend upgradeable deployment for development and UAT environments, with the option to deploy immutable contracts in production if required by SAMA or the bank's internal governance framework.</w:t>
      </w:r>
    </w:p>
    <w:p>
      <w:r>
        <w:br w:type="page"/>
      </w:r>
    </w:p>
    <w:p>
      <w:pPr>
        <w:pStyle w:val="H2"/>
        <w:numPr>
          <w:ilvl w:val="1"/>
          <w:numId w:val="1"/>
        </w:numPr>
      </w:pPr>
      <w:r>
        <w:t>Identity, Compliance, and Sharia Governance Controls</w:t>
      </w:r>
    </w:p>
    <w:p>
      <w:pPr>
        <w:pStyle w:val="H3"/>
        <w:numPr>
          <w:ilvl w:val="2"/>
          <w:numId w:val="1"/>
        </w:numPr>
      </w:pPr>
      <w:r>
        <w:t>Identity Management with OnchainID</w:t>
      </w:r>
    </w:p>
    <w:p>
      <w:r>
        <w:rPr>
          <w:rFonts w:ascii="Figtree" w:hAnsi="Figtree"/>
          <w:b w:val="0"/>
          <w:i w:val="0"/>
          <w:sz w:val="22"/>
        </w:rPr>
        <w:t>DALP manages investor and participant identities through OnchainID (ERC-734/735), providing on-chain identity verification as a prerequisite for all asset operations:</w:t>
      </w:r>
    </w:p>
    <w:p>
      <w:pPr>
        <w:jc w:val="center"/>
      </w:pPr>
      <w:r>
        <w:drawing>
          <wp:inline xmlns:a="http://schemas.openxmlformats.org/drawingml/2006/main" xmlns:pic="http://schemas.openxmlformats.org/drawingml/2006/picture">
            <wp:extent cx="5486400" cy="3610947"/>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3610947"/>
                    </a:xfrm>
                    <a:prstGeom prst="rect"/>
                  </pic:spPr>
                </pic:pic>
              </a:graphicData>
            </a:graphic>
          </wp:inline>
        </w:drawing>
      </w:r>
    </w:p>
    <w:p>
      <w:pPr>
        <w:pStyle w:val="H3"/>
        <w:numPr>
          <w:ilvl w:val="2"/>
          <w:numId w:val="1"/>
        </w:numPr>
      </w:pPr>
      <w:r>
        <w:t>Role-Based Access Control and Maker-Checker (REQ-03)</w:t>
      </w:r>
    </w:p>
    <w:p>
      <w:r>
        <w:rPr>
          <w:rFonts w:ascii="Figtree" w:hAnsi="Figtree"/>
          <w:b w:val="0"/>
          <w:i w:val="0"/>
          <w:sz w:val="22"/>
        </w:rPr>
        <w:t>DALP implements granular RBAC with segregation of duties across all operations:</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Role</w:t>
            </w:r>
          </w:p>
        </w:tc>
        <w:tc>
          <w:tcPr>
            <w:tcW w:type="dxa" w:w="3249"/>
            <w:vAlign w:val="center"/>
            <w:shd w:fill="000099" w:val="clear"/>
          </w:tcPr>
          <w:p>
            <w:r>
              <w:rPr>
                <w:b/>
                <w:color w:val="FFFFFF"/>
              </w:rPr>
            </w:r>
            <w:r>
              <w:rPr>
                <w:rFonts w:ascii="Figtree" w:hAnsi="Figtree"/>
                <w:b/>
                <w:i w:val="0"/>
                <w:color w:val="FFFFFF"/>
                <w:sz w:val="22"/>
              </w:rPr>
              <w:t>Permissions</w:t>
            </w:r>
          </w:p>
        </w:tc>
        <w:tc>
          <w:tcPr>
            <w:tcW w:type="dxa" w:w="3249"/>
            <w:vAlign w:val="center"/>
            <w:shd w:fill="000099" w:val="clear"/>
          </w:tcPr>
          <w:p>
            <w:r>
              <w:rPr>
                <w:b/>
                <w:color w:val="FFFFFF"/>
              </w:rPr>
            </w:r>
            <w:r>
              <w:rPr>
                <w:rFonts w:ascii="Figtree" w:hAnsi="Figtree"/>
                <w:b/>
                <w:i w:val="0"/>
                <w:color w:val="FFFFFF"/>
                <w:sz w:val="22"/>
              </w:rPr>
              <w:t>Maker-Checker Scope</w:t>
            </w:r>
          </w:p>
        </w:tc>
      </w:tr>
      <w:tr>
        <w:trPr>
          <w:trHeight w:val="454" w:hRule="atLeast"/>
        </w:trPr>
        <w:tc>
          <w:tcPr>
            <w:tcW w:type="dxa" w:w="3249"/>
            <w:vAlign w:val="center"/>
          </w:tcPr>
          <w:p>
            <w:r/>
            <w:r>
              <w:rPr>
                <w:rFonts w:ascii="Figtree" w:hAnsi="Figtree"/>
                <w:b w:val="0"/>
                <w:i w:val="0"/>
                <w:sz w:val="22"/>
              </w:rPr>
              <w:t>Product Manager</w:t>
            </w:r>
          </w:p>
        </w:tc>
        <w:tc>
          <w:tcPr>
            <w:tcW w:type="dxa" w:w="3249"/>
            <w:vAlign w:val="center"/>
          </w:tcPr>
          <w:p>
            <w:r/>
            <w:r>
              <w:rPr>
                <w:rFonts w:ascii="Figtree" w:hAnsi="Figtree"/>
                <w:b w:val="0"/>
                <w:i w:val="0"/>
                <w:sz w:val="22"/>
              </w:rPr>
              <w:t>Asset design, configuration</w:t>
            </w:r>
          </w:p>
        </w:tc>
        <w:tc>
          <w:tcPr>
            <w:tcW w:type="dxa" w:w="3249"/>
            <w:vAlign w:val="center"/>
          </w:tcPr>
          <w:p>
            <w:r/>
            <w:r>
              <w:rPr>
                <w:rFonts w:ascii="Figtree" w:hAnsi="Figtree"/>
                <w:b w:val="0"/>
                <w:i w:val="0"/>
                <w:sz w:val="22"/>
              </w:rPr>
              <w:t>Creates product → requires Sharia Board approval</w:t>
            </w:r>
          </w:p>
        </w:tc>
      </w:tr>
      <w:tr>
        <w:trPr>
          <w:trHeight w:val="454" w:hRule="atLeast"/>
        </w:trPr>
        <w:tc>
          <w:tcPr>
            <w:tcW w:type="dxa" w:w="3249"/>
            <w:vAlign w:val="center"/>
          </w:tcPr>
          <w:p>
            <w:r/>
            <w:r>
              <w:rPr>
                <w:rFonts w:ascii="Figtree" w:hAnsi="Figtree"/>
                <w:b w:val="0"/>
                <w:i w:val="0"/>
                <w:sz w:val="22"/>
              </w:rPr>
              <w:t>Compliance Officer</w:t>
            </w:r>
          </w:p>
        </w:tc>
        <w:tc>
          <w:tcPr>
            <w:tcW w:type="dxa" w:w="3249"/>
            <w:vAlign w:val="center"/>
          </w:tcPr>
          <w:p>
            <w:r/>
            <w:r>
              <w:rPr>
                <w:rFonts w:ascii="Figtree" w:hAnsi="Figtree"/>
                <w:b w:val="0"/>
                <w:i w:val="0"/>
                <w:sz w:val="22"/>
              </w:rPr>
              <w:t>Compliance module configuration, claim management</w:t>
            </w:r>
          </w:p>
        </w:tc>
        <w:tc>
          <w:tcPr>
            <w:tcW w:type="dxa" w:w="3249"/>
            <w:vAlign w:val="center"/>
          </w:tcPr>
          <w:p>
            <w:r/>
            <w:r>
              <w:rPr>
                <w:rFonts w:ascii="Figtree" w:hAnsi="Figtree"/>
                <w:b w:val="0"/>
                <w:i w:val="0"/>
                <w:sz w:val="22"/>
              </w:rPr>
              <w:t>Configures rules → requires Head of Compliance approval</w:t>
            </w:r>
          </w:p>
        </w:tc>
      </w:tr>
      <w:tr>
        <w:trPr>
          <w:trHeight w:val="454" w:hRule="atLeast"/>
        </w:trPr>
        <w:tc>
          <w:tcPr>
            <w:tcW w:type="dxa" w:w="3249"/>
            <w:vAlign w:val="center"/>
          </w:tcPr>
          <w:p>
            <w:r/>
            <w:r>
              <w:rPr>
                <w:rFonts w:ascii="Figtree" w:hAnsi="Figtree"/>
                <w:b w:val="0"/>
                <w:i w:val="0"/>
                <w:sz w:val="22"/>
              </w:rPr>
              <w:t>Operations Manager</w:t>
            </w:r>
          </w:p>
        </w:tc>
        <w:tc>
          <w:tcPr>
            <w:tcW w:type="dxa" w:w="3249"/>
            <w:vAlign w:val="center"/>
          </w:tcPr>
          <w:p>
            <w:r/>
            <w:r>
              <w:rPr>
                <w:rFonts w:ascii="Figtree" w:hAnsi="Figtree"/>
                <w:b w:val="0"/>
                <w:i w:val="0"/>
                <w:sz w:val="22"/>
              </w:rPr>
              <w:t>Issuance execution, distribution processing</w:t>
            </w:r>
          </w:p>
        </w:tc>
        <w:tc>
          <w:tcPr>
            <w:tcW w:type="dxa" w:w="3249"/>
            <w:vAlign w:val="center"/>
          </w:tcPr>
          <w:p>
            <w:r/>
            <w:r>
              <w:rPr>
                <w:rFonts w:ascii="Figtree" w:hAnsi="Figtree"/>
                <w:b w:val="0"/>
                <w:i w:val="0"/>
                <w:sz w:val="22"/>
              </w:rPr>
              <w:t>Initiates operations → requires Treasury approval</w:t>
            </w:r>
          </w:p>
        </w:tc>
      </w:tr>
      <w:tr>
        <w:trPr>
          <w:trHeight w:val="454" w:hRule="atLeast"/>
        </w:trPr>
        <w:tc>
          <w:tcPr>
            <w:tcW w:type="dxa" w:w="3249"/>
            <w:vAlign w:val="center"/>
          </w:tcPr>
          <w:p>
            <w:r/>
            <w:r>
              <w:rPr>
                <w:rFonts w:ascii="Figtree" w:hAnsi="Figtree"/>
                <w:b w:val="0"/>
                <w:i w:val="0"/>
                <w:sz w:val="22"/>
              </w:rPr>
              <w:t>Sharia Board Representative</w:t>
            </w:r>
          </w:p>
        </w:tc>
        <w:tc>
          <w:tcPr>
            <w:tcW w:type="dxa" w:w="3249"/>
            <w:vAlign w:val="center"/>
          </w:tcPr>
          <w:p>
            <w:r/>
            <w:r>
              <w:rPr>
                <w:rFonts w:ascii="Figtree" w:hAnsi="Figtree"/>
                <w:b w:val="0"/>
                <w:i w:val="0"/>
                <w:sz w:val="22"/>
              </w:rPr>
              <w:t>Product certification, distribution approval</w:t>
            </w:r>
          </w:p>
        </w:tc>
        <w:tc>
          <w:tcPr>
            <w:tcW w:type="dxa" w:w="3249"/>
            <w:vAlign w:val="center"/>
          </w:tcPr>
          <w:p>
            <w:r/>
            <w:r>
              <w:rPr>
                <w:rFonts w:ascii="Figtree" w:hAnsi="Figtree"/>
                <w:b w:val="0"/>
                <w:i w:val="0"/>
                <w:sz w:val="22"/>
              </w:rPr>
              <w:t>Reviews and certifies → recorded on-chain</w:t>
            </w:r>
          </w:p>
        </w:tc>
      </w:tr>
      <w:tr>
        <w:trPr>
          <w:trHeight w:val="454" w:hRule="atLeast"/>
        </w:trPr>
        <w:tc>
          <w:tcPr>
            <w:tcW w:type="dxa" w:w="3249"/>
            <w:vAlign w:val="center"/>
          </w:tcPr>
          <w:p>
            <w:r/>
            <w:r>
              <w:rPr>
                <w:rFonts w:ascii="Figtree" w:hAnsi="Figtree"/>
                <w:b w:val="0"/>
                <w:i w:val="0"/>
                <w:sz w:val="22"/>
              </w:rPr>
              <w:t>Treasury Manager</w:t>
            </w:r>
          </w:p>
        </w:tc>
        <w:tc>
          <w:tcPr>
            <w:tcW w:type="dxa" w:w="3249"/>
            <w:vAlign w:val="center"/>
          </w:tcPr>
          <w:p>
            <w:r/>
            <w:r>
              <w:rPr>
                <w:rFonts w:ascii="Figtree" w:hAnsi="Figtree"/>
                <w:b w:val="0"/>
                <w:i w:val="0"/>
                <w:sz w:val="22"/>
              </w:rPr>
              <w:t>Settlement authorization, reconciliation sign-off</w:t>
            </w:r>
          </w:p>
        </w:tc>
        <w:tc>
          <w:tcPr>
            <w:tcW w:type="dxa" w:w="3249"/>
            <w:vAlign w:val="center"/>
          </w:tcPr>
          <w:p>
            <w:r/>
            <w:r>
              <w:rPr>
                <w:rFonts w:ascii="Figtree" w:hAnsi="Figtree"/>
                <w:b w:val="0"/>
                <w:i w:val="0"/>
                <w:sz w:val="22"/>
              </w:rPr>
              <w:t>Approves settlements → requires dual authorization</w:t>
            </w:r>
          </w:p>
        </w:tc>
      </w:tr>
      <w:tr>
        <w:trPr>
          <w:trHeight w:val="454" w:hRule="atLeast"/>
        </w:trPr>
        <w:tc>
          <w:tcPr>
            <w:tcW w:type="dxa" w:w="3249"/>
            <w:vAlign w:val="center"/>
          </w:tcPr>
          <w:p>
            <w:r/>
            <w:r>
              <w:rPr>
                <w:rFonts w:ascii="Figtree" w:hAnsi="Figtree"/>
                <w:b w:val="0"/>
                <w:i w:val="0"/>
                <w:sz w:val="22"/>
              </w:rPr>
              <w:t>Platform Administrator</w:t>
            </w:r>
          </w:p>
        </w:tc>
        <w:tc>
          <w:tcPr>
            <w:tcW w:type="dxa" w:w="3249"/>
            <w:vAlign w:val="center"/>
          </w:tcPr>
          <w:p>
            <w:r/>
            <w:r>
              <w:rPr>
                <w:rFonts w:ascii="Figtree" w:hAnsi="Figtree"/>
                <w:b w:val="0"/>
                <w:i w:val="0"/>
                <w:sz w:val="22"/>
              </w:rPr>
              <w:t>User management, environment configuration</w:t>
            </w:r>
          </w:p>
        </w:tc>
        <w:tc>
          <w:tcPr>
            <w:tcW w:type="dxa" w:w="3249"/>
            <w:vAlign w:val="center"/>
          </w:tcPr>
          <w:p>
            <w:r/>
            <w:r>
              <w:rPr>
                <w:rFonts w:ascii="Figtree" w:hAnsi="Figtree"/>
                <w:b w:val="0"/>
                <w:i w:val="0"/>
                <w:sz w:val="22"/>
              </w:rPr>
              <w:t>System changes → requires CISO approval</w:t>
            </w:r>
          </w:p>
        </w:tc>
      </w:tr>
      <w:tr>
        <w:trPr>
          <w:trHeight w:val="454" w:hRule="atLeast"/>
        </w:trPr>
        <w:tc>
          <w:tcPr>
            <w:tcW w:type="dxa" w:w="3249"/>
            <w:vAlign w:val="center"/>
          </w:tcPr>
          <w:p>
            <w:r/>
            <w:r>
              <w:rPr>
                <w:rFonts w:ascii="Figtree" w:hAnsi="Figtree"/>
                <w:b w:val="0"/>
                <w:i w:val="0"/>
                <w:sz w:val="22"/>
              </w:rPr>
              <w:t>Auditor (read-only)</w:t>
            </w:r>
          </w:p>
        </w:tc>
        <w:tc>
          <w:tcPr>
            <w:tcW w:type="dxa" w:w="3249"/>
            <w:vAlign w:val="center"/>
          </w:tcPr>
          <w:p>
            <w:r/>
            <w:r>
              <w:rPr>
                <w:rFonts w:ascii="Figtree" w:hAnsi="Figtree"/>
                <w:b w:val="0"/>
                <w:i w:val="0"/>
                <w:sz w:val="22"/>
              </w:rPr>
              <w:t>Full audit trail access, report generation</w:t>
            </w:r>
          </w:p>
        </w:tc>
        <w:tc>
          <w:tcPr>
            <w:tcW w:type="dxa" w:w="3249"/>
            <w:vAlign w:val="center"/>
          </w:tcPr>
          <w:p>
            <w:r/>
            <w:r>
              <w:rPr>
                <w:rFonts w:ascii="Figtree" w:hAnsi="Figtree"/>
                <w:b w:val="0"/>
                <w:i w:val="0"/>
                <w:sz w:val="22"/>
              </w:rPr>
              <w:t>No write access; complete read visibility</w:t>
            </w:r>
          </w:p>
        </w:tc>
      </w:tr>
    </w:tbl>
    <w:p>
      <w:r>
        <w:rPr>
          <w:rFonts w:ascii="Figtree" w:hAnsi="Figtree"/>
          <w:b w:val="0"/>
          <w:i w:val="0"/>
          <w:sz w:val="22"/>
        </w:rPr>
        <w:t>Every action by every role produces an immutable audit log entry containing: user identity, timestamp, action performed, parameters, approval chain, and resulting state change.</w:t>
      </w:r>
    </w:p>
    <w:p>
      <w:pPr>
        <w:pStyle w:val="H3"/>
        <w:numPr>
          <w:ilvl w:val="2"/>
          <w:numId w:val="1"/>
        </w:numPr>
      </w:pPr>
      <w:r>
        <w:t>Compliance Engine: Fail-Closed Design</w:t>
      </w:r>
    </w:p>
    <w:p>
      <w:r>
        <w:rPr>
          <w:rFonts w:ascii="Figtree" w:hAnsi="Figtree"/>
          <w:b w:val="0"/>
          <w:i w:val="0"/>
          <w:sz w:val="22"/>
        </w:rPr>
        <w:t xml:space="preserve">DALP's compliance engine evaluates a configurable set of transfer rules before each transaction. Modules evaluate in sequence, and a single module veto blocks the transfer. This is a </w:t>
      </w:r>
      <w:r>
        <w:rPr>
          <w:rFonts w:ascii="Figtree" w:hAnsi="Figtree"/>
          <w:b/>
          <w:i w:val="0"/>
          <w:sz w:val="22"/>
        </w:rPr>
        <w:t>fail-closed design</w:t>
      </w:r>
      <w:r>
        <w:rPr>
          <w:rFonts w:ascii="Figtree" w:hAnsi="Figtree"/>
          <w:b w:val="0"/>
          <w:i w:val="0"/>
          <w:sz w:val="22"/>
        </w:rPr>
        <w:t>: the default is denial unless all modules explicitly approve.</w:t>
      </w:r>
    </w:p>
    <w:p>
      <w:r>
        <w:rPr>
          <w:rFonts w:ascii="Figtree" w:hAnsi="Figtree"/>
          <w:b w:val="0"/>
          <w:i w:val="0"/>
          <w:sz w:val="22"/>
        </w:rPr>
        <w:t>For Al Rajhi Bank's Sharia-compliant products, the compliance evaluation sequence is:</w:t>
      </w:r>
    </w:p>
    <w:p>
      <w:pPr>
        <w:pStyle w:val="ListParagraph"/>
        <w:numPr>
          <w:ilvl w:val="0"/>
          <w:numId w:val="7"/>
        </w:numPr>
      </w:pPr>
      <w:r>
        <w:rPr>
          <w:rFonts w:ascii="Figtree" w:hAnsi="Figtree"/>
          <w:b/>
          <w:i w:val="0"/>
          <w:sz w:val="22"/>
        </w:rPr>
        <w:t>Identity Verification</w:t>
      </w:r>
      <w:r>
        <w:rPr>
          <w:rFonts w:ascii="Figtree" w:hAnsi="Figtree"/>
          <w:b w:val="0"/>
          <w:i w:val="0"/>
          <w:sz w:val="22"/>
        </w:rPr>
        <w:t xml:space="preserve"> — Does the investor have a verified OnchainID with valid KYC claims?</w:t>
      </w:r>
    </w:p>
    <w:p>
      <w:pPr>
        <w:pStyle w:val="ListParagraph"/>
        <w:numPr>
          <w:ilvl w:val="0"/>
          <w:numId w:val="7"/>
        </w:numPr>
      </w:pPr>
      <w:r>
        <w:rPr>
          <w:rFonts w:ascii="Figtree" w:hAnsi="Figtree"/>
          <w:b/>
          <w:i w:val="0"/>
          <w:sz w:val="22"/>
        </w:rPr>
        <w:t>Country Allow List</w:t>
      </w:r>
      <w:r>
        <w:rPr>
          <w:rFonts w:ascii="Figtree" w:hAnsi="Figtree"/>
          <w:b w:val="0"/>
          <w:i w:val="0"/>
          <w:sz w:val="22"/>
        </w:rPr>
        <w:t xml:space="preserve"> — Is the investor's jurisdiction in the permitted list (KSA, or GCC if configured)?</w:t>
      </w:r>
    </w:p>
    <w:p>
      <w:pPr>
        <w:pStyle w:val="ListParagraph"/>
        <w:numPr>
          <w:ilvl w:val="0"/>
          <w:numId w:val="7"/>
        </w:numPr>
      </w:pPr>
      <w:r>
        <w:rPr>
          <w:rFonts w:ascii="Figtree" w:hAnsi="Figtree"/>
          <w:b/>
          <w:i w:val="0"/>
          <w:sz w:val="22"/>
        </w:rPr>
        <w:t>Investor Accreditation</w:t>
      </w:r>
      <w:r>
        <w:rPr>
          <w:rFonts w:ascii="Figtree" w:hAnsi="Figtree"/>
          <w:b w:val="0"/>
          <w:i w:val="0"/>
          <w:sz w:val="22"/>
        </w:rPr>
        <w:t xml:space="preserve"> — Does the investor meet the accreditation requirements for this product?</w:t>
      </w:r>
    </w:p>
    <w:p>
      <w:pPr>
        <w:pStyle w:val="ListParagraph"/>
        <w:numPr>
          <w:ilvl w:val="0"/>
          <w:numId w:val="7"/>
        </w:numPr>
      </w:pPr>
      <w:r>
        <w:rPr>
          <w:rFonts w:ascii="Figtree" w:hAnsi="Figtree"/>
          <w:b/>
          <w:i w:val="0"/>
          <w:sz w:val="22"/>
        </w:rPr>
        <w:t>Sharia Eligibility</w:t>
      </w:r>
      <w:r>
        <w:rPr>
          <w:rFonts w:ascii="Figtree" w:hAnsi="Figtree"/>
          <w:b w:val="0"/>
          <w:i w:val="0"/>
          <w:sz w:val="22"/>
        </w:rPr>
        <w:t xml:space="preserve"> — Does the investor have a valid Sharia-eligibility claim?</w:t>
      </w:r>
    </w:p>
    <w:p>
      <w:pPr>
        <w:pStyle w:val="ListParagraph"/>
        <w:numPr>
          <w:ilvl w:val="0"/>
          <w:numId w:val="7"/>
        </w:numPr>
      </w:pPr>
      <w:r>
        <w:rPr>
          <w:rFonts w:ascii="Figtree" w:hAnsi="Figtree"/>
          <w:b/>
          <w:i w:val="0"/>
          <w:sz w:val="22"/>
        </w:rPr>
        <w:t>Transfer Approval</w:t>
      </w:r>
      <w:r>
        <w:rPr>
          <w:rFonts w:ascii="Figtree" w:hAnsi="Figtree"/>
          <w:b w:val="0"/>
          <w:i w:val="0"/>
          <w:sz w:val="22"/>
        </w:rPr>
        <w:t xml:space="preserve"> — Has the required approval (Sharia board, compliance, or treasury) been granted?</w:t>
      </w:r>
    </w:p>
    <w:p>
      <w:pPr>
        <w:pStyle w:val="ListParagraph"/>
        <w:numPr>
          <w:ilvl w:val="0"/>
          <w:numId w:val="7"/>
        </w:numPr>
      </w:pPr>
      <w:r>
        <w:rPr>
          <w:rFonts w:ascii="Figtree" w:hAnsi="Figtree"/>
          <w:b/>
          <w:i w:val="0"/>
          <w:sz w:val="22"/>
        </w:rPr>
        <w:t>Holding Period</w:t>
      </w:r>
      <w:r>
        <w:rPr>
          <w:rFonts w:ascii="Figtree" w:hAnsi="Figtree"/>
          <w:b w:val="0"/>
          <w:i w:val="0"/>
          <w:sz w:val="22"/>
        </w:rPr>
        <w:t xml:space="preserve"> — Has the minimum holding period elapsed for FIFO-tracked token batches?</w:t>
      </w:r>
    </w:p>
    <w:p>
      <w:pPr>
        <w:pStyle w:val="ListParagraph"/>
        <w:numPr>
          <w:ilvl w:val="0"/>
          <w:numId w:val="7"/>
        </w:numPr>
      </w:pPr>
      <w:r>
        <w:rPr>
          <w:rFonts w:ascii="Figtree" w:hAnsi="Figtree"/>
          <w:b/>
          <w:i w:val="0"/>
          <w:sz w:val="22"/>
        </w:rPr>
        <w:t>Investor Count Limit</w:t>
      </w:r>
      <w:r>
        <w:rPr>
          <w:rFonts w:ascii="Figtree" w:hAnsi="Figtree"/>
          <w:b w:val="0"/>
          <w:i w:val="0"/>
          <w:sz w:val="22"/>
        </w:rPr>
        <w:t xml:space="preserve"> — Would this transfer exceed the regulatory cap on unique holders?</w:t>
      </w:r>
    </w:p>
    <w:p>
      <w:r>
        <w:rPr>
          <w:rFonts w:ascii="Figtree" w:hAnsi="Figtree"/>
          <w:b w:val="0"/>
          <w:i w:val="0"/>
          <w:sz w:val="22"/>
        </w:rPr>
        <w:t>If any module denies the transfer, the transaction reverts with a specific error code identifying which compliance check failed. This provides Al Rajhi Bank's operations team with immediate visibility into why a transaction was blocked, supporting exception management and regulatory evidence requirements.</w:t>
      </w:r>
    </w:p>
    <w:p>
      <w:r>
        <w:br w:type="page"/>
      </w:r>
    </w:p>
    <w:p>
      <w:pPr>
        <w:pStyle w:val="H2"/>
        <w:numPr>
          <w:ilvl w:val="1"/>
          <w:numId w:val="1"/>
        </w:numPr>
      </w:pPr>
      <w:r>
        <w:t>Settlement, Servicing, and Lifecycle Management</w:t>
      </w:r>
    </w:p>
    <w:p>
      <w:pPr>
        <w:pStyle w:val="H3"/>
        <w:numPr>
          <w:ilvl w:val="2"/>
          <w:numId w:val="1"/>
        </w:numPr>
      </w:pPr>
      <w:r>
        <w:t>Settlement Architecture</w:t>
      </w:r>
    </w:p>
    <w:p>
      <w:r>
        <w:rPr>
          <w:rFonts w:ascii="Figtree" w:hAnsi="Figtree"/>
          <w:b w:val="0"/>
          <w:i w:val="0"/>
          <w:sz w:val="22"/>
        </w:rPr>
        <w:t>DALP supports atomic Delivery versus Payment (DvP) settlement through the XvP Settlement addon, which ensures that asset delivery and payment occur simultaneously or not at all:</w:t>
      </w:r>
    </w:p>
    <w:p>
      <w:pPr>
        <w:jc w:val="center"/>
      </w:pPr>
      <w:r>
        <w:drawing>
          <wp:inline xmlns:a="http://schemas.openxmlformats.org/drawingml/2006/main" xmlns:pic="http://schemas.openxmlformats.org/drawingml/2006/picture">
            <wp:extent cx="5486400" cy="4464698"/>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4464698"/>
                    </a:xfrm>
                    <a:prstGeom prst="rect"/>
                  </pic:spPr>
                </pic:pic>
              </a:graphicData>
            </a:graphic>
          </wp:inline>
        </w:drawing>
      </w:r>
    </w:p>
    <w:p>
      <w:pPr>
        <w:pStyle w:val="H3"/>
        <w:numPr>
          <w:ilvl w:val="2"/>
          <w:numId w:val="1"/>
        </w:numPr>
      </w:pPr>
      <w:r>
        <w:t>Profit Distribution Workflow</w:t>
      </w:r>
    </w:p>
    <w:p>
      <w:r>
        <w:rPr>
          <w:rFonts w:ascii="Figtree" w:hAnsi="Figtree"/>
          <w:b w:val="0"/>
          <w:i w:val="0"/>
          <w:sz w:val="22"/>
        </w:rPr>
        <w:t>For Sharia-compliant products, profit distributions follow a distinct workflow that ensures compliance with AAOIFI standards:</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Distribution Type</w:t>
            </w:r>
          </w:p>
        </w:tc>
        <w:tc>
          <w:tcPr>
            <w:tcW w:type="dxa" w:w="3249"/>
            <w:vAlign w:val="center"/>
            <w:shd w:fill="000099" w:val="clear"/>
          </w:tcPr>
          <w:p>
            <w:r>
              <w:rPr>
                <w:b/>
                <w:color w:val="FFFFFF"/>
              </w:rPr>
            </w:r>
            <w:r>
              <w:rPr>
                <w:rFonts w:ascii="Figtree" w:hAnsi="Figtree"/>
                <w:b/>
                <w:i w:val="0"/>
                <w:color w:val="FFFFFF"/>
                <w:sz w:val="22"/>
              </w:rPr>
              <w:t>Mechanism</w:t>
            </w:r>
          </w:p>
        </w:tc>
        <w:tc>
          <w:tcPr>
            <w:tcW w:type="dxa" w:w="3249"/>
            <w:vAlign w:val="center"/>
            <w:shd w:fill="000099" w:val="clear"/>
          </w:tcPr>
          <w:p>
            <w:r>
              <w:rPr>
                <w:b/>
                <w:color w:val="FFFFFF"/>
              </w:rPr>
            </w:r>
            <w:r>
              <w:rPr>
                <w:rFonts w:ascii="Figtree" w:hAnsi="Figtree"/>
                <w:b/>
                <w:i w:val="0"/>
                <w:color w:val="FFFFFF"/>
                <w:sz w:val="22"/>
              </w:rPr>
              <w:t>Compliance Control</w:t>
            </w:r>
          </w:p>
        </w:tc>
      </w:tr>
      <w:tr>
        <w:trPr>
          <w:trHeight w:val="454" w:hRule="atLeast"/>
        </w:trPr>
        <w:tc>
          <w:tcPr>
            <w:tcW w:type="dxa" w:w="3249"/>
            <w:vAlign w:val="center"/>
          </w:tcPr>
          <w:p>
            <w:r/>
            <w:r>
              <w:rPr>
                <w:rFonts w:ascii="Figtree" w:hAnsi="Figtree"/>
                <w:b w:val="0"/>
                <w:i w:val="0"/>
                <w:sz w:val="22"/>
              </w:rPr>
              <w:t>Mudarabah profit share</w:t>
            </w:r>
          </w:p>
        </w:tc>
        <w:tc>
          <w:tcPr>
            <w:tcW w:type="dxa" w:w="3249"/>
            <w:vAlign w:val="center"/>
          </w:tcPr>
          <w:p>
            <w:r/>
            <w:r>
              <w:rPr>
                <w:rFonts w:ascii="Figtree" w:hAnsi="Figtree"/>
                <w:b w:val="0"/>
                <w:i w:val="0"/>
                <w:sz w:val="22"/>
              </w:rPr>
              <w:t>Calculated from investment pool performance × agreed ratio</w:t>
            </w:r>
          </w:p>
        </w:tc>
        <w:tc>
          <w:tcPr>
            <w:tcW w:type="dxa" w:w="3249"/>
            <w:vAlign w:val="center"/>
          </w:tcPr>
          <w:p>
            <w:r/>
            <w:r>
              <w:rPr>
                <w:rFonts w:ascii="Figtree" w:hAnsi="Figtree"/>
                <w:b w:val="0"/>
                <w:i w:val="0"/>
                <w:sz w:val="22"/>
              </w:rPr>
              <w:t>Enforced at contract level; cannot default to fixed rate</w:t>
            </w:r>
          </w:p>
        </w:tc>
      </w:tr>
      <w:tr>
        <w:trPr>
          <w:trHeight w:val="454" w:hRule="atLeast"/>
        </w:trPr>
        <w:tc>
          <w:tcPr>
            <w:tcW w:type="dxa" w:w="3249"/>
            <w:vAlign w:val="center"/>
          </w:tcPr>
          <w:p>
            <w:r/>
            <w:r>
              <w:rPr>
                <w:rFonts w:ascii="Figtree" w:hAnsi="Figtree"/>
                <w:b w:val="0"/>
                <w:i w:val="0"/>
                <w:sz w:val="22"/>
              </w:rPr>
              <w:t>Murabaha markup payment</w:t>
            </w:r>
          </w:p>
        </w:tc>
        <w:tc>
          <w:tcPr>
            <w:tcW w:type="dxa" w:w="3249"/>
            <w:vAlign w:val="center"/>
          </w:tcPr>
          <w:p>
            <w:r/>
            <w:r>
              <w:rPr>
                <w:rFonts w:ascii="Figtree" w:hAnsi="Figtree"/>
                <w:b w:val="0"/>
                <w:i w:val="0"/>
                <w:sz w:val="22"/>
              </w:rPr>
              <w:t>Scheduled payments per deferred sale agreement</w:t>
            </w:r>
          </w:p>
        </w:tc>
        <w:tc>
          <w:tcPr>
            <w:tcW w:type="dxa" w:w="3249"/>
            <w:vAlign w:val="center"/>
          </w:tcPr>
          <w:p>
            <w:r/>
            <w:r>
              <w:rPr>
                <w:rFonts w:ascii="Figtree" w:hAnsi="Figtree"/>
                <w:b w:val="0"/>
                <w:i w:val="0"/>
                <w:sz w:val="22"/>
              </w:rPr>
              <w:t>Payment schedule locked at issuance; visible in audit trail</w:t>
            </w:r>
          </w:p>
        </w:tc>
      </w:tr>
      <w:tr>
        <w:trPr>
          <w:trHeight w:val="454" w:hRule="atLeast"/>
        </w:trPr>
        <w:tc>
          <w:tcPr>
            <w:tcW w:type="dxa" w:w="3249"/>
            <w:vAlign w:val="center"/>
          </w:tcPr>
          <w:p>
            <w:r/>
            <w:r>
              <w:rPr>
                <w:rFonts w:ascii="Figtree" w:hAnsi="Figtree"/>
                <w:b w:val="0"/>
                <w:i w:val="0"/>
                <w:sz w:val="22"/>
              </w:rPr>
              <w:t>Wakala performance fee</w:t>
            </w:r>
          </w:p>
        </w:tc>
        <w:tc>
          <w:tcPr>
            <w:tcW w:type="dxa" w:w="3249"/>
            <w:vAlign w:val="center"/>
          </w:tcPr>
          <w:p>
            <w:r/>
            <w:r>
              <w:rPr>
                <w:rFonts w:ascii="Figtree" w:hAnsi="Figtree"/>
                <w:b w:val="0"/>
                <w:i w:val="0"/>
                <w:sz w:val="22"/>
              </w:rPr>
              <w:t>Agent fee calculated on actual returns</w:t>
            </w:r>
          </w:p>
        </w:tc>
        <w:tc>
          <w:tcPr>
            <w:tcW w:type="dxa" w:w="3249"/>
            <w:vAlign w:val="center"/>
          </w:tcPr>
          <w:p>
            <w:r/>
            <w:r>
              <w:rPr>
                <w:rFonts w:ascii="Figtree" w:hAnsi="Figtree"/>
                <w:b w:val="0"/>
                <w:i w:val="0"/>
                <w:sz w:val="22"/>
              </w:rPr>
              <w:t>Fee cap enforced at contract level</w:t>
            </w:r>
          </w:p>
        </w:tc>
      </w:tr>
      <w:tr>
        <w:trPr>
          <w:trHeight w:val="454" w:hRule="atLeast"/>
        </w:trPr>
        <w:tc>
          <w:tcPr>
            <w:tcW w:type="dxa" w:w="3249"/>
            <w:vAlign w:val="center"/>
          </w:tcPr>
          <w:p>
            <w:r/>
            <w:r>
              <w:rPr>
                <w:rFonts w:ascii="Figtree" w:hAnsi="Figtree"/>
                <w:b w:val="0"/>
                <w:i w:val="0"/>
                <w:sz w:val="22"/>
              </w:rPr>
              <w:t>Sukuk periodic distribution</w:t>
            </w:r>
          </w:p>
        </w:tc>
        <w:tc>
          <w:tcPr>
            <w:tcW w:type="dxa" w:w="3249"/>
            <w:vAlign w:val="center"/>
          </w:tcPr>
          <w:p>
            <w:r/>
            <w:r>
              <w:rPr>
                <w:rFonts w:ascii="Figtree" w:hAnsi="Figtree"/>
                <w:b w:val="0"/>
                <w:i w:val="0"/>
                <w:sz w:val="22"/>
              </w:rPr>
              <w:t>Rental income or profit from underlying asset</w:t>
            </w:r>
          </w:p>
        </w:tc>
        <w:tc>
          <w:tcPr>
            <w:tcW w:type="dxa" w:w="3249"/>
            <w:vAlign w:val="center"/>
          </w:tcPr>
          <w:p>
            <w:r/>
            <w:r>
              <w:rPr>
                <w:rFonts w:ascii="Figtree" w:hAnsi="Figtree"/>
                <w:b w:val="0"/>
                <w:i w:val="0"/>
                <w:sz w:val="22"/>
              </w:rPr>
              <w:t>Distribution linked to verified asset performance data</w:t>
            </w:r>
          </w:p>
        </w:tc>
      </w:tr>
    </w:tbl>
    <w:p>
      <w:pPr>
        <w:pStyle w:val="H3"/>
        <w:numPr>
          <w:ilvl w:val="2"/>
          <w:numId w:val="1"/>
        </w:numPr>
      </w:pPr>
      <w:r>
        <w:t>Reconciliation Framework (REQ-04)</w:t>
      </w:r>
    </w:p>
    <w:p>
      <w:r>
        <w:rPr>
          <w:rFonts w:ascii="Figtree" w:hAnsi="Figtree"/>
          <w:b w:val="0"/>
          <w:i w:val="0"/>
          <w:sz w:val="22"/>
        </w:rPr>
        <w:t>DALP provides comprehensive reconciliation capabilities between on-chain state and Al Rajhi Bank's books-and-records:</w:t>
      </w:r>
    </w:p>
    <w:p>
      <w:pPr>
        <w:pStyle w:val="ListParagraph"/>
        <w:numPr>
          <w:ilvl w:val="0"/>
          <w:numId w:val="4"/>
        </w:numPr>
      </w:pPr>
      <w:r>
        <w:rPr>
          <w:rFonts w:ascii="Figtree" w:hAnsi="Figtree"/>
          <w:b/>
          <w:i w:val="0"/>
          <w:sz w:val="22"/>
        </w:rPr>
        <w:t>Real-time position sync</w:t>
      </w:r>
      <w:r>
        <w:rPr>
          <w:rFonts w:ascii="Figtree" w:hAnsi="Figtree"/>
          <w:b w:val="0"/>
          <w:i w:val="0"/>
          <w:sz w:val="22"/>
        </w:rPr>
        <w:t xml:space="preserve"> via API — on-chain balances queryable at any point in time using historical balance snapshots</w:t>
      </w:r>
    </w:p>
    <w:p>
      <w:pPr>
        <w:pStyle w:val="ListParagraph"/>
        <w:numPr>
          <w:ilvl w:val="0"/>
          <w:numId w:val="4"/>
        </w:numPr>
      </w:pPr>
      <w:r>
        <w:rPr>
          <w:rFonts w:ascii="Figtree" w:hAnsi="Figtree"/>
          <w:b/>
          <w:i w:val="0"/>
          <w:sz w:val="22"/>
        </w:rPr>
        <w:t>Event-driven notifications</w:t>
      </w:r>
      <w:r>
        <w:rPr>
          <w:rFonts w:ascii="Figtree" w:hAnsi="Figtree"/>
          <w:b w:val="0"/>
          <w:i w:val="0"/>
          <w:sz w:val="22"/>
        </w:rPr>
        <w:t xml:space="preserve"> — every state change (mint, burn, transfer, distribution) triggers webhook events to downstream systems</w:t>
      </w:r>
    </w:p>
    <w:p>
      <w:pPr>
        <w:pStyle w:val="ListParagraph"/>
        <w:numPr>
          <w:ilvl w:val="0"/>
          <w:numId w:val="4"/>
        </w:numPr>
      </w:pPr>
      <w:r>
        <w:rPr>
          <w:rFonts w:ascii="Figtree" w:hAnsi="Figtree"/>
          <w:b/>
          <w:i w:val="0"/>
          <w:sz w:val="22"/>
        </w:rPr>
        <w:t>Reconciliation extracts</w:t>
      </w:r>
      <w:r>
        <w:rPr>
          <w:rFonts w:ascii="Figtree" w:hAnsi="Figtree"/>
          <w:b w:val="0"/>
          <w:i w:val="0"/>
          <w:sz w:val="22"/>
        </w:rPr>
        <w:t xml:space="preserve"> — scheduled API exports in formats compatible with core banking reconciliation tools</w:t>
      </w:r>
    </w:p>
    <w:p>
      <w:pPr>
        <w:pStyle w:val="ListParagraph"/>
        <w:numPr>
          <w:ilvl w:val="0"/>
          <w:numId w:val="4"/>
        </w:numPr>
      </w:pPr>
      <w:r>
        <w:rPr>
          <w:rFonts w:ascii="Figtree" w:hAnsi="Figtree"/>
          <w:b/>
          <w:i w:val="0"/>
          <w:sz w:val="22"/>
        </w:rPr>
        <w:t>Break identification</w:t>
      </w:r>
      <w:r>
        <w:rPr>
          <w:rFonts w:ascii="Figtree" w:hAnsi="Figtree"/>
          <w:b w:val="0"/>
          <w:i w:val="0"/>
          <w:sz w:val="22"/>
        </w:rPr>
        <w:t xml:space="preserve"> — discrepancies between on-chain state and expected positions surface through the observability dashboard</w:t>
      </w:r>
    </w:p>
    <w:p>
      <w:pPr>
        <w:pStyle w:val="ListParagraph"/>
        <w:numPr>
          <w:ilvl w:val="0"/>
          <w:numId w:val="4"/>
        </w:numPr>
      </w:pPr>
      <w:r>
        <w:rPr>
          <w:rFonts w:ascii="Figtree" w:hAnsi="Figtree"/>
          <w:b/>
          <w:i w:val="0"/>
          <w:sz w:val="22"/>
        </w:rPr>
        <w:t>Audit trail correlation</w:t>
      </w:r>
      <w:r>
        <w:rPr>
          <w:rFonts w:ascii="Figtree" w:hAnsi="Figtree"/>
          <w:b w:val="0"/>
          <w:i w:val="0"/>
          <w:sz w:val="22"/>
        </w:rPr>
        <w:t xml:space="preserve"> — every on-chain transaction can be correlated with the initiating API call, approval chain, and downstream booking</w:t>
      </w:r>
    </w:p>
    <w:p>
      <w:r>
        <w:br w:type="page"/>
      </w:r>
    </w:p>
    <w:p>
      <w:pPr>
        <w:pStyle w:val="H2"/>
        <w:numPr>
          <w:ilvl w:val="1"/>
          <w:numId w:val="1"/>
        </w:numPr>
      </w:pPr>
      <w:r>
        <w:t>Security, Resilience, and Operational Assurance</w:t>
      </w:r>
    </w:p>
    <w:p>
      <w:pPr>
        <w:pStyle w:val="H3"/>
        <w:numPr>
          <w:ilvl w:val="2"/>
          <w:numId w:val="1"/>
        </w:numPr>
      </w:pPr>
      <w:r>
        <w:t>Security Architecture Overview</w:t>
      </w:r>
    </w:p>
    <w:p>
      <w:r>
        <w:rPr>
          <w:rFonts w:ascii="Figtree" w:hAnsi="Figtree"/>
          <w:b w:val="0"/>
          <w:i w:val="0"/>
          <w:sz w:val="22"/>
        </w:rPr>
        <w:t>DALP implements defense-in-depth across five independent control layers:</w:t>
      </w:r>
    </w:p>
    <w:p>
      <w:pPr>
        <w:jc w:val="center"/>
      </w:pPr>
      <w:r>
        <w:drawing>
          <wp:inline xmlns:a="http://schemas.openxmlformats.org/drawingml/2006/main" xmlns:pic="http://schemas.openxmlformats.org/drawingml/2006/picture">
            <wp:extent cx="5486400" cy="3918857"/>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3918857"/>
                    </a:xfrm>
                    <a:prstGeom prst="rect"/>
                  </pic:spPr>
                </pic:pic>
              </a:graphicData>
            </a:graphic>
          </wp:inline>
        </w:drawing>
      </w:r>
    </w:p>
    <w:p>
      <w:pPr>
        <w:pStyle w:val="H3"/>
        <w:numPr>
          <w:ilvl w:val="2"/>
          <w:numId w:val="1"/>
        </w:numPr>
      </w:pPr>
      <w:r>
        <w:t>Certifications and Assurance (REQ-06)</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Certification</w:t>
            </w:r>
          </w:p>
        </w:tc>
        <w:tc>
          <w:tcPr>
            <w:tcW w:type="dxa" w:w="3249"/>
            <w:vAlign w:val="center"/>
            <w:shd w:fill="000099" w:val="clear"/>
          </w:tcPr>
          <w:p>
            <w:r>
              <w:rPr>
                <w:b/>
                <w:color w:val="FFFFFF"/>
              </w:rPr>
            </w:r>
            <w:r>
              <w:rPr>
                <w:rFonts w:ascii="Figtree" w:hAnsi="Figtree"/>
                <w:b/>
                <w:i w:val="0"/>
                <w:color w:val="FFFFFF"/>
                <w:sz w:val="22"/>
              </w:rPr>
              <w:t>Status</w:t>
            </w:r>
          </w:p>
        </w:tc>
        <w:tc>
          <w:tcPr>
            <w:tcW w:type="dxa" w:w="3249"/>
            <w:vAlign w:val="center"/>
            <w:shd w:fill="000099" w:val="clear"/>
          </w:tcPr>
          <w:p>
            <w:r>
              <w:rPr>
                <w:b/>
                <w:color w:val="FFFFFF"/>
              </w:rPr>
            </w:r>
            <w:r>
              <w:rPr>
                <w:rFonts w:ascii="Figtree" w:hAnsi="Figtree"/>
                <w:b/>
                <w:i w:val="0"/>
                <w:color w:val="FFFFFF"/>
                <w:sz w:val="22"/>
              </w:rPr>
              <w:t>Relevance</w:t>
            </w:r>
          </w:p>
        </w:tc>
      </w:tr>
      <w:tr>
        <w:trPr>
          <w:trHeight w:val="454" w:hRule="atLeast"/>
        </w:trPr>
        <w:tc>
          <w:tcPr>
            <w:tcW w:type="dxa" w:w="3249"/>
            <w:vAlign w:val="center"/>
          </w:tcPr>
          <w:p>
            <w:r/>
            <w:r>
              <w:rPr>
                <w:rFonts w:ascii="Figtree" w:hAnsi="Figtree"/>
                <w:b w:val="0"/>
                <w:i w:val="0"/>
                <w:sz w:val="22"/>
              </w:rPr>
              <w:t>ISO 27001</w:t>
            </w:r>
          </w:p>
        </w:tc>
        <w:tc>
          <w:tcPr>
            <w:tcW w:type="dxa" w:w="3249"/>
            <w:vAlign w:val="center"/>
          </w:tcPr>
          <w:p>
            <w:r/>
            <w:r>
              <w:rPr>
                <w:rFonts w:ascii="Figtree" w:hAnsi="Figtree"/>
                <w:b w:val="0"/>
                <w:i w:val="0"/>
                <w:sz w:val="22"/>
              </w:rPr>
              <w:t>Current</w:t>
            </w:r>
          </w:p>
        </w:tc>
        <w:tc>
          <w:tcPr>
            <w:tcW w:type="dxa" w:w="3249"/>
            <w:vAlign w:val="center"/>
          </w:tcPr>
          <w:p>
            <w:r/>
            <w:r>
              <w:rPr>
                <w:rFonts w:ascii="Figtree" w:hAnsi="Figtree"/>
                <w:b w:val="0"/>
                <w:i w:val="0"/>
                <w:sz w:val="22"/>
              </w:rPr>
              <w:t>Information security management system</w:t>
            </w:r>
          </w:p>
        </w:tc>
      </w:tr>
      <w:tr>
        <w:trPr>
          <w:trHeight w:val="454" w:hRule="atLeast"/>
        </w:trPr>
        <w:tc>
          <w:tcPr>
            <w:tcW w:type="dxa" w:w="3249"/>
            <w:vAlign w:val="center"/>
          </w:tcPr>
          <w:p>
            <w:r/>
            <w:r>
              <w:rPr>
                <w:rFonts w:ascii="Figtree" w:hAnsi="Figtree"/>
                <w:b w:val="0"/>
                <w:i w:val="0"/>
                <w:sz w:val="22"/>
              </w:rPr>
              <w:t>SOC 2 Type II</w:t>
            </w:r>
          </w:p>
        </w:tc>
        <w:tc>
          <w:tcPr>
            <w:tcW w:type="dxa" w:w="3249"/>
            <w:vAlign w:val="center"/>
          </w:tcPr>
          <w:p>
            <w:r/>
            <w:r>
              <w:rPr>
                <w:rFonts w:ascii="Figtree" w:hAnsi="Figtree"/>
                <w:b w:val="0"/>
                <w:i w:val="0"/>
                <w:sz w:val="22"/>
              </w:rPr>
              <w:t>Current</w:t>
            </w:r>
          </w:p>
        </w:tc>
        <w:tc>
          <w:tcPr>
            <w:tcW w:type="dxa" w:w="3249"/>
            <w:vAlign w:val="center"/>
          </w:tcPr>
          <w:p>
            <w:r/>
            <w:r>
              <w:rPr>
                <w:rFonts w:ascii="Figtree" w:hAnsi="Figtree"/>
                <w:b w:val="0"/>
                <w:i w:val="0"/>
                <w:sz w:val="22"/>
              </w:rPr>
              <w:t>Security, availability, confidentiality controls</w:t>
            </w:r>
          </w:p>
        </w:tc>
      </w:tr>
      <w:tr>
        <w:trPr>
          <w:trHeight w:val="454" w:hRule="atLeast"/>
        </w:trPr>
        <w:tc>
          <w:tcPr>
            <w:tcW w:type="dxa" w:w="3249"/>
            <w:vAlign w:val="center"/>
          </w:tcPr>
          <w:p>
            <w:r/>
            <w:r>
              <w:rPr>
                <w:rFonts w:ascii="Figtree" w:hAnsi="Figtree"/>
                <w:b w:val="0"/>
                <w:i w:val="0"/>
                <w:sz w:val="22"/>
              </w:rPr>
              <w:t>Smart contract audits</w:t>
            </w:r>
          </w:p>
        </w:tc>
        <w:tc>
          <w:tcPr>
            <w:tcW w:type="dxa" w:w="3249"/>
            <w:vAlign w:val="center"/>
          </w:tcPr>
          <w:p>
            <w:r/>
            <w:r>
              <w:rPr>
                <w:rFonts w:ascii="Figtree" w:hAnsi="Figtree"/>
                <w:b w:val="0"/>
                <w:i w:val="0"/>
                <w:sz w:val="22"/>
              </w:rPr>
              <w:t>Completed per release</w:t>
            </w:r>
          </w:p>
        </w:tc>
        <w:tc>
          <w:tcPr>
            <w:tcW w:type="dxa" w:w="3249"/>
            <w:vAlign w:val="center"/>
          </w:tcPr>
          <w:p>
            <w:r/>
            <w:r>
              <w:rPr>
                <w:rFonts w:ascii="Figtree" w:hAnsi="Figtree"/>
                <w:b w:val="0"/>
                <w:i w:val="0"/>
                <w:sz w:val="22"/>
              </w:rPr>
              <w:t>Independent security review of all on-chain code</w:t>
            </w:r>
          </w:p>
        </w:tc>
      </w:tr>
      <w:tr>
        <w:trPr>
          <w:trHeight w:val="454" w:hRule="atLeast"/>
        </w:trPr>
        <w:tc>
          <w:tcPr>
            <w:tcW w:type="dxa" w:w="3249"/>
            <w:vAlign w:val="center"/>
          </w:tcPr>
          <w:p>
            <w:r/>
            <w:r>
              <w:rPr>
                <w:rFonts w:ascii="Figtree" w:hAnsi="Figtree"/>
                <w:b w:val="0"/>
                <w:i w:val="0"/>
                <w:sz w:val="22"/>
              </w:rPr>
              <w:t>Penetration testing</w:t>
            </w:r>
          </w:p>
        </w:tc>
        <w:tc>
          <w:tcPr>
            <w:tcW w:type="dxa" w:w="3249"/>
            <w:vAlign w:val="center"/>
          </w:tcPr>
          <w:p>
            <w:r/>
            <w:r>
              <w:rPr>
                <w:rFonts w:ascii="Figtree" w:hAnsi="Figtree"/>
                <w:b w:val="0"/>
                <w:i w:val="0"/>
                <w:sz w:val="22"/>
              </w:rPr>
              <w:t>Annual + per major release</w:t>
            </w:r>
          </w:p>
        </w:tc>
        <w:tc>
          <w:tcPr>
            <w:tcW w:type="dxa" w:w="3249"/>
            <w:vAlign w:val="center"/>
          </w:tcPr>
          <w:p>
            <w:r/>
            <w:r>
              <w:rPr>
                <w:rFonts w:ascii="Figtree" w:hAnsi="Figtree"/>
                <w:b w:val="0"/>
                <w:i w:val="0"/>
                <w:sz w:val="22"/>
              </w:rPr>
              <w:t>External assessment of platform security posture</w:t>
            </w:r>
          </w:p>
        </w:tc>
      </w:tr>
    </w:tbl>
    <w:p>
      <w:pPr>
        <w:pStyle w:val="H3"/>
        <w:numPr>
          <w:ilvl w:val="2"/>
          <w:numId w:val="1"/>
        </w:numPr>
      </w:pPr>
      <w:r>
        <w:t>Operational Resilience</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Capability</w:t>
            </w:r>
          </w:p>
        </w:tc>
        <w:tc>
          <w:tcPr>
            <w:tcW w:type="dxa" w:w="3249"/>
            <w:vAlign w:val="center"/>
            <w:shd w:fill="000099" w:val="clear"/>
          </w:tcPr>
          <w:p>
            <w:r>
              <w:rPr>
                <w:b/>
                <w:color w:val="FFFFFF"/>
              </w:rPr>
            </w:r>
            <w:r>
              <w:rPr>
                <w:rFonts w:ascii="Figtree" w:hAnsi="Figtree"/>
                <w:b/>
                <w:i w:val="0"/>
                <w:color w:val="FFFFFF"/>
                <w:sz w:val="22"/>
              </w:rPr>
              <w:t>Implementation</w:t>
            </w:r>
          </w:p>
        </w:tc>
        <w:tc>
          <w:tcPr>
            <w:tcW w:type="dxa" w:w="3249"/>
            <w:vAlign w:val="center"/>
            <w:shd w:fill="000099" w:val="clear"/>
          </w:tcPr>
          <w:p>
            <w:r>
              <w:rPr>
                <w:b/>
                <w:color w:val="FFFFFF"/>
              </w:rPr>
            </w:r>
            <w:r>
              <w:rPr>
                <w:rFonts w:ascii="Figtree" w:hAnsi="Figtree"/>
                <w:b/>
                <w:i w:val="0"/>
                <w:color w:val="FFFFFF"/>
                <w:sz w:val="22"/>
              </w:rPr>
              <w:t>Evidence</w:t>
            </w:r>
          </w:p>
        </w:tc>
      </w:tr>
      <w:tr>
        <w:trPr>
          <w:trHeight w:val="454" w:hRule="atLeast"/>
        </w:trPr>
        <w:tc>
          <w:tcPr>
            <w:tcW w:type="dxa" w:w="3249"/>
            <w:vAlign w:val="center"/>
          </w:tcPr>
          <w:p>
            <w:r/>
            <w:r>
              <w:rPr>
                <w:rFonts w:ascii="Figtree" w:hAnsi="Figtree"/>
                <w:b w:val="0"/>
                <w:i w:val="0"/>
                <w:sz w:val="22"/>
              </w:rPr>
              <w:t>Recovery Point Objective (RPO)</w:t>
            </w:r>
          </w:p>
        </w:tc>
        <w:tc>
          <w:tcPr>
            <w:tcW w:type="dxa" w:w="3249"/>
            <w:vAlign w:val="center"/>
          </w:tcPr>
          <w:p>
            <w:r/>
            <w:r>
              <w:rPr>
                <w:rFonts w:ascii="Figtree" w:hAnsi="Figtree"/>
                <w:b w:val="0"/>
                <w:i w:val="0"/>
                <w:sz w:val="22"/>
              </w:rPr>
              <w:t>&lt; 1 hour</w:t>
            </w:r>
          </w:p>
        </w:tc>
        <w:tc>
          <w:tcPr>
            <w:tcW w:type="dxa" w:w="3249"/>
            <w:vAlign w:val="center"/>
          </w:tcPr>
          <w:p>
            <w:r/>
            <w:r>
              <w:rPr>
                <w:rFonts w:ascii="Figtree" w:hAnsi="Figtree"/>
                <w:b w:val="0"/>
                <w:i w:val="0"/>
                <w:sz w:val="22"/>
              </w:rPr>
              <w:t>Continuous database replication, blockchain state is inherently replicated</w:t>
            </w:r>
          </w:p>
        </w:tc>
      </w:tr>
      <w:tr>
        <w:trPr>
          <w:trHeight w:val="454" w:hRule="atLeast"/>
        </w:trPr>
        <w:tc>
          <w:tcPr>
            <w:tcW w:type="dxa" w:w="3249"/>
            <w:vAlign w:val="center"/>
          </w:tcPr>
          <w:p>
            <w:r/>
            <w:r>
              <w:rPr>
                <w:rFonts w:ascii="Figtree" w:hAnsi="Figtree"/>
                <w:b w:val="0"/>
                <w:i w:val="0"/>
                <w:sz w:val="22"/>
              </w:rPr>
              <w:t>Recovery Time Objective (RTO)</w:t>
            </w:r>
          </w:p>
        </w:tc>
        <w:tc>
          <w:tcPr>
            <w:tcW w:type="dxa" w:w="3249"/>
            <w:vAlign w:val="center"/>
          </w:tcPr>
          <w:p>
            <w:r/>
            <w:r>
              <w:rPr>
                <w:rFonts w:ascii="Figtree" w:hAnsi="Figtree"/>
                <w:b w:val="0"/>
                <w:i w:val="0"/>
                <w:sz w:val="22"/>
              </w:rPr>
              <w:t>&lt; 4 hours</w:t>
            </w:r>
          </w:p>
        </w:tc>
        <w:tc>
          <w:tcPr>
            <w:tcW w:type="dxa" w:w="3249"/>
            <w:vAlign w:val="center"/>
          </w:tcPr>
          <w:p>
            <w:r/>
            <w:r>
              <w:rPr>
                <w:rFonts w:ascii="Figtree" w:hAnsi="Figtree"/>
                <w:b w:val="0"/>
                <w:i w:val="0"/>
                <w:sz w:val="22"/>
              </w:rPr>
              <w:t>Automated failover procedures, tested quarterly</w:t>
            </w:r>
          </w:p>
        </w:tc>
      </w:tr>
      <w:tr>
        <w:trPr>
          <w:trHeight w:val="454" w:hRule="atLeast"/>
        </w:trPr>
        <w:tc>
          <w:tcPr>
            <w:tcW w:type="dxa" w:w="3249"/>
            <w:vAlign w:val="center"/>
          </w:tcPr>
          <w:p>
            <w:r/>
            <w:r>
              <w:rPr>
                <w:rFonts w:ascii="Figtree" w:hAnsi="Figtree"/>
                <w:b w:val="0"/>
                <w:i w:val="0"/>
                <w:sz w:val="22"/>
              </w:rPr>
              <w:t>Backup integrity</w:t>
            </w:r>
          </w:p>
        </w:tc>
        <w:tc>
          <w:tcPr>
            <w:tcW w:type="dxa" w:w="3249"/>
            <w:vAlign w:val="center"/>
          </w:tcPr>
          <w:p>
            <w:r/>
            <w:r>
              <w:rPr>
                <w:rFonts w:ascii="Figtree" w:hAnsi="Figtree"/>
                <w:b w:val="0"/>
                <w:i w:val="0"/>
                <w:sz w:val="22"/>
              </w:rPr>
              <w:t>Daily automated backups with integrity verification</w:t>
            </w:r>
          </w:p>
        </w:tc>
        <w:tc>
          <w:tcPr>
            <w:tcW w:type="dxa" w:w="3249"/>
            <w:vAlign w:val="center"/>
          </w:tcPr>
          <w:p>
            <w:r/>
            <w:r>
              <w:rPr>
                <w:rFonts w:ascii="Figtree" w:hAnsi="Figtree"/>
                <w:b w:val="0"/>
                <w:i w:val="0"/>
                <w:sz w:val="22"/>
              </w:rPr>
              <w:t>Tested restore procedures documented</w:t>
            </w:r>
          </w:p>
        </w:tc>
      </w:tr>
      <w:tr>
        <w:trPr>
          <w:trHeight w:val="454" w:hRule="atLeast"/>
        </w:trPr>
        <w:tc>
          <w:tcPr>
            <w:tcW w:type="dxa" w:w="3249"/>
            <w:vAlign w:val="center"/>
          </w:tcPr>
          <w:p>
            <w:r/>
            <w:r>
              <w:rPr>
                <w:rFonts w:ascii="Figtree" w:hAnsi="Figtree"/>
                <w:b w:val="0"/>
                <w:i w:val="0"/>
                <w:sz w:val="22"/>
              </w:rPr>
              <w:t>Incident management</w:t>
            </w:r>
          </w:p>
        </w:tc>
        <w:tc>
          <w:tcPr>
            <w:tcW w:type="dxa" w:w="3249"/>
            <w:vAlign w:val="center"/>
          </w:tcPr>
          <w:p>
            <w:r/>
            <w:r>
              <w:rPr>
                <w:rFonts w:ascii="Figtree" w:hAnsi="Figtree"/>
                <w:b w:val="0"/>
                <w:i w:val="0"/>
                <w:sz w:val="22"/>
              </w:rPr>
              <w:t>Structured escalation with defined severity levels</w:t>
            </w:r>
          </w:p>
        </w:tc>
        <w:tc>
          <w:tcPr>
            <w:tcW w:type="dxa" w:w="3249"/>
            <w:vAlign w:val="center"/>
          </w:tcPr>
          <w:p>
            <w:r/>
            <w:r>
              <w:rPr>
                <w:rFonts w:ascii="Figtree" w:hAnsi="Figtree"/>
                <w:b w:val="0"/>
                <w:i w:val="0"/>
                <w:sz w:val="22"/>
              </w:rPr>
              <w:t>SLA-bound response times per severity</w:t>
            </w:r>
          </w:p>
        </w:tc>
      </w:tr>
      <w:tr>
        <w:trPr>
          <w:trHeight w:val="454" w:hRule="atLeast"/>
        </w:trPr>
        <w:tc>
          <w:tcPr>
            <w:tcW w:type="dxa" w:w="3249"/>
            <w:vAlign w:val="center"/>
          </w:tcPr>
          <w:p>
            <w:r/>
            <w:r>
              <w:rPr>
                <w:rFonts w:ascii="Figtree" w:hAnsi="Figtree"/>
                <w:b w:val="0"/>
                <w:i w:val="0"/>
                <w:sz w:val="22"/>
              </w:rPr>
              <w:t>Monitoring</w:t>
            </w:r>
          </w:p>
        </w:tc>
        <w:tc>
          <w:tcPr>
            <w:tcW w:type="dxa" w:w="3249"/>
            <w:vAlign w:val="center"/>
          </w:tcPr>
          <w:p>
            <w:r/>
            <w:r>
              <w:rPr>
                <w:rFonts w:ascii="Figtree" w:hAnsi="Figtree"/>
                <w:b w:val="0"/>
                <w:i w:val="0"/>
                <w:sz w:val="22"/>
              </w:rPr>
              <w:t>Three-pillar observability (metrics, logs, traces)</w:t>
            </w:r>
          </w:p>
        </w:tc>
        <w:tc>
          <w:tcPr>
            <w:tcW w:type="dxa" w:w="3249"/>
            <w:vAlign w:val="center"/>
          </w:tcPr>
          <w:p>
            <w:r/>
            <w:r>
              <w:rPr>
                <w:rFonts w:ascii="Figtree" w:hAnsi="Figtree"/>
                <w:b w:val="0"/>
                <w:i w:val="0"/>
                <w:sz w:val="22"/>
              </w:rPr>
              <w:t>Pre-built Grafana dashboards, automated alerting</w:t>
            </w:r>
          </w:p>
        </w:tc>
      </w:tr>
    </w:tbl>
    <w:p>
      <w:r>
        <w:br w:type="page"/>
      </w:r>
    </w:p>
    <w:p>
      <w:pPr>
        <w:pStyle w:val="H2"/>
        <w:numPr>
          <w:ilvl w:val="1"/>
          <w:numId w:val="1"/>
        </w:numPr>
      </w:pPr>
      <w:r>
        <w:t>Implementation Approach and Delivery Phases</w:t>
      </w:r>
    </w:p>
    <w:p>
      <w:pPr>
        <w:pStyle w:val="H3"/>
        <w:numPr>
          <w:ilvl w:val="2"/>
          <w:numId w:val="1"/>
        </w:numPr>
      </w:pPr>
      <w:r>
        <w:t>19-Week Implementation Plan</w:t>
      </w:r>
    </w:p>
    <w:p>
      <w:pPr>
        <w:jc w:val="center"/>
      </w:pPr>
      <w:r>
        <w:drawing>
          <wp:inline xmlns:a="http://schemas.openxmlformats.org/drawingml/2006/main" xmlns:pic="http://schemas.openxmlformats.org/drawingml/2006/picture">
            <wp:extent cx="5486400" cy="2379306"/>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2379306"/>
                    </a:xfrm>
                    <a:prstGeom prst="rect"/>
                  </pic:spPr>
                </pic:pic>
              </a:graphicData>
            </a:graphic>
          </wp:inline>
        </w:drawing>
      </w:r>
    </w:p>
    <w:p>
      <w:pPr>
        <w:pStyle w:val="H3"/>
        <w:numPr>
          <w:ilvl w:val="2"/>
          <w:numId w:val="1"/>
        </w:numPr>
      </w:pPr>
      <w:r>
        <w:t>Phase-by-Phase Detail</w:t>
      </w:r>
    </w:p>
    <w:p>
      <w:r>
        <w:rPr>
          <w:rFonts w:ascii="Figtree" w:hAnsi="Figtree"/>
          <w:b/>
          <w:i w:val="0"/>
          <w:sz w:val="22"/>
        </w:rPr>
        <w:t>Phase 1: Discovery and Requirements (Weeks 1–2)</w:t>
      </w:r>
    </w:p>
    <w:p>
      <w:pPr>
        <w:pStyle w:val="ListParagraph"/>
        <w:numPr>
          <w:ilvl w:val="0"/>
          <w:numId w:val="4"/>
        </w:numPr>
      </w:pPr>
      <w:r>
        <w:rPr>
          <w:rFonts w:ascii="Figtree" w:hAnsi="Figtree"/>
          <w:b w:val="0"/>
          <w:i w:val="0"/>
          <w:sz w:val="22"/>
        </w:rPr>
        <w:t>Stakeholder interviews with business, technology, compliance, risk, Sharia board, and operations</w:t>
      </w:r>
    </w:p>
    <w:p>
      <w:pPr>
        <w:pStyle w:val="ListParagraph"/>
        <w:numPr>
          <w:ilvl w:val="0"/>
          <w:numId w:val="4"/>
        </w:numPr>
      </w:pPr>
      <w:r>
        <w:rPr>
          <w:rFonts w:ascii="Figtree" w:hAnsi="Figtree"/>
          <w:b w:val="0"/>
          <w:i w:val="0"/>
          <w:sz w:val="22"/>
        </w:rPr>
        <w:t>Regulatory mapping: SAMA, CMA, AAOIFI standards to specific DALP compliance modules</w:t>
      </w:r>
    </w:p>
    <w:p>
      <w:pPr>
        <w:pStyle w:val="ListParagraph"/>
        <w:numPr>
          <w:ilvl w:val="0"/>
          <w:numId w:val="4"/>
        </w:numPr>
      </w:pPr>
      <w:r>
        <w:rPr>
          <w:rFonts w:ascii="Figtree" w:hAnsi="Figtree"/>
          <w:b w:val="0"/>
          <w:i w:val="0"/>
          <w:sz w:val="22"/>
        </w:rPr>
        <w:t>Current-state assessment of core banking, identity, and compliance systems</w:t>
      </w:r>
    </w:p>
    <w:p>
      <w:pPr>
        <w:pStyle w:val="ListParagraph"/>
        <w:numPr>
          <w:ilvl w:val="0"/>
          <w:numId w:val="4"/>
        </w:numPr>
      </w:pPr>
      <w:r>
        <w:rPr>
          <w:rFonts w:ascii="Figtree" w:hAnsi="Figtree"/>
          <w:b w:val="0"/>
          <w:i w:val="0"/>
          <w:sz w:val="22"/>
        </w:rPr>
        <w:t>Architecture design for KSA-resident deployment</w:t>
      </w:r>
    </w:p>
    <w:p>
      <w:pPr>
        <w:pStyle w:val="ListParagraph"/>
        <w:numPr>
          <w:ilvl w:val="0"/>
          <w:numId w:val="4"/>
        </w:numPr>
      </w:pPr>
      <w:r>
        <w:rPr>
          <w:rFonts w:ascii="Figtree" w:hAnsi="Figtree"/>
          <w:b/>
          <w:i w:val="0"/>
          <w:sz w:val="22"/>
        </w:rPr>
        <w:t>Gate deliverable:</w:t>
      </w:r>
      <w:r>
        <w:rPr>
          <w:rFonts w:ascii="Figtree" w:hAnsi="Figtree"/>
          <w:b w:val="0"/>
          <w:i w:val="0"/>
          <w:sz w:val="22"/>
        </w:rPr>
        <w:t xml:space="preserve"> Validated requirements document, target architecture, implementation roadmap</w:t>
      </w:r>
    </w:p>
    <w:p>
      <w:r>
        <w:rPr>
          <w:rFonts w:ascii="Figtree" w:hAnsi="Figtree"/>
          <w:b/>
          <w:i w:val="0"/>
          <w:sz w:val="22"/>
        </w:rPr>
        <w:t>Phase 2: Foundation and Setup (Weeks 3–5)</w:t>
      </w:r>
    </w:p>
    <w:p>
      <w:pPr>
        <w:pStyle w:val="ListParagraph"/>
        <w:numPr>
          <w:ilvl w:val="0"/>
          <w:numId w:val="4"/>
        </w:numPr>
      </w:pPr>
      <w:r>
        <w:rPr>
          <w:rFonts w:ascii="Figtree" w:hAnsi="Figtree"/>
          <w:b w:val="0"/>
          <w:i w:val="0"/>
          <w:sz w:val="22"/>
        </w:rPr>
        <w:t>Environment provisioning: Dev, UAT, DR, and Production environments within KSA</w:t>
      </w:r>
    </w:p>
    <w:p>
      <w:pPr>
        <w:pStyle w:val="ListParagraph"/>
        <w:numPr>
          <w:ilvl w:val="0"/>
          <w:numId w:val="4"/>
        </w:numPr>
      </w:pPr>
      <w:r>
        <w:rPr>
          <w:rFonts w:ascii="Figtree" w:hAnsi="Figtree"/>
          <w:b w:val="0"/>
          <w:i w:val="0"/>
          <w:sz w:val="22"/>
        </w:rPr>
        <w:t>Blockchain network setup (permissioned Hyperledger Besu recommended for regulatory control)</w:t>
      </w:r>
    </w:p>
    <w:p>
      <w:pPr>
        <w:pStyle w:val="ListParagraph"/>
        <w:numPr>
          <w:ilvl w:val="0"/>
          <w:numId w:val="4"/>
        </w:numPr>
      </w:pPr>
      <w:r>
        <w:rPr>
          <w:rFonts w:ascii="Figtree" w:hAnsi="Figtree"/>
          <w:b w:val="0"/>
          <w:i w:val="0"/>
          <w:sz w:val="22"/>
        </w:rPr>
        <w:t>Identity framework deployment and Yakeen integration design</w:t>
      </w:r>
    </w:p>
    <w:p>
      <w:pPr>
        <w:pStyle w:val="ListParagraph"/>
        <w:numPr>
          <w:ilvl w:val="0"/>
          <w:numId w:val="4"/>
        </w:numPr>
      </w:pPr>
      <w:r>
        <w:rPr>
          <w:rFonts w:ascii="Figtree" w:hAnsi="Figtree"/>
          <w:b w:val="0"/>
          <w:i w:val="0"/>
          <w:sz w:val="22"/>
        </w:rPr>
        <w:t>Custody integration model selection (DFNS or Fireblocks)</w:t>
      </w:r>
    </w:p>
    <w:p>
      <w:pPr>
        <w:pStyle w:val="ListParagraph"/>
        <w:numPr>
          <w:ilvl w:val="0"/>
          <w:numId w:val="4"/>
        </w:numPr>
      </w:pPr>
      <w:r>
        <w:rPr>
          <w:rFonts w:ascii="Figtree" w:hAnsi="Figtree"/>
          <w:b/>
          <w:i w:val="0"/>
          <w:sz w:val="22"/>
        </w:rPr>
        <w:t>Gate deliverable:</w:t>
      </w:r>
      <w:r>
        <w:rPr>
          <w:rFonts w:ascii="Figtree" w:hAnsi="Figtree"/>
          <w:b w:val="0"/>
          <w:i w:val="0"/>
          <w:sz w:val="22"/>
        </w:rPr>
        <w:t xml:space="preserve"> Functional platform environments ready for configuration</w:t>
      </w:r>
    </w:p>
    <w:p>
      <w:r>
        <w:rPr>
          <w:rFonts w:ascii="Figtree" w:hAnsi="Figtree"/>
          <w:b/>
          <w:i w:val="0"/>
          <w:sz w:val="22"/>
        </w:rPr>
        <w:t>Phase 3: Configuration and Compliance (Weeks 6–9)</w:t>
      </w:r>
    </w:p>
    <w:p>
      <w:pPr>
        <w:pStyle w:val="ListParagraph"/>
        <w:numPr>
          <w:ilvl w:val="0"/>
          <w:numId w:val="4"/>
        </w:numPr>
      </w:pPr>
      <w:r>
        <w:rPr>
          <w:rFonts w:ascii="Figtree" w:hAnsi="Figtree"/>
          <w:b w:val="0"/>
          <w:i w:val="0"/>
          <w:sz w:val="22"/>
        </w:rPr>
        <w:t>Sharia product configuration: Mudarabah, Murabaha, Sukuk product templates</w:t>
      </w:r>
    </w:p>
    <w:p>
      <w:pPr>
        <w:pStyle w:val="ListParagraph"/>
        <w:numPr>
          <w:ilvl w:val="0"/>
          <w:numId w:val="4"/>
        </w:numPr>
      </w:pPr>
      <w:r>
        <w:rPr>
          <w:rFonts w:ascii="Figtree" w:hAnsi="Figtree"/>
          <w:b w:val="0"/>
          <w:i w:val="0"/>
          <w:sz w:val="22"/>
        </w:rPr>
        <w:t>Compliance module binding per product type (identity, jurisdiction, holding periods, approvals)</w:t>
      </w:r>
    </w:p>
    <w:p>
      <w:pPr>
        <w:pStyle w:val="ListParagraph"/>
        <w:numPr>
          <w:ilvl w:val="0"/>
          <w:numId w:val="4"/>
        </w:numPr>
      </w:pPr>
      <w:r>
        <w:rPr>
          <w:rFonts w:ascii="Figtree" w:hAnsi="Figtree"/>
          <w:b w:val="0"/>
          <w:i w:val="0"/>
          <w:sz w:val="22"/>
        </w:rPr>
        <w:t>Profit distribution schedule configuration</w:t>
      </w:r>
    </w:p>
    <w:p>
      <w:pPr>
        <w:pStyle w:val="ListParagraph"/>
        <w:numPr>
          <w:ilvl w:val="0"/>
          <w:numId w:val="4"/>
        </w:numPr>
      </w:pPr>
      <w:r>
        <w:rPr>
          <w:rFonts w:ascii="Figtree" w:hAnsi="Figtree"/>
          <w:b w:val="0"/>
          <w:i w:val="0"/>
          <w:sz w:val="22"/>
        </w:rPr>
        <w:t>Sharia board approval workflow setup</w:t>
      </w:r>
    </w:p>
    <w:p>
      <w:pPr>
        <w:pStyle w:val="ListParagraph"/>
        <w:numPr>
          <w:ilvl w:val="0"/>
          <w:numId w:val="4"/>
        </w:numPr>
      </w:pPr>
      <w:r>
        <w:rPr>
          <w:rFonts w:ascii="Figtree" w:hAnsi="Figtree"/>
          <w:b/>
          <w:i w:val="0"/>
          <w:sz w:val="22"/>
        </w:rPr>
        <w:t>Gate deliverable:</w:t>
      </w:r>
      <w:r>
        <w:rPr>
          <w:rFonts w:ascii="Figtree" w:hAnsi="Figtree"/>
          <w:b w:val="0"/>
          <w:i w:val="0"/>
          <w:sz w:val="22"/>
        </w:rPr>
        <w:t xml:space="preserve"> Configured platform matching business and Sharia governance requirements</w:t>
      </w:r>
    </w:p>
    <w:p>
      <w:r>
        <w:rPr>
          <w:rFonts w:ascii="Figtree" w:hAnsi="Figtree"/>
          <w:b/>
          <w:i w:val="0"/>
          <w:sz w:val="22"/>
        </w:rPr>
        <w:t>Phase 4: Integration and Testing (Weeks 10–13)</w:t>
      </w:r>
    </w:p>
    <w:p>
      <w:pPr>
        <w:pStyle w:val="ListParagraph"/>
        <w:numPr>
          <w:ilvl w:val="0"/>
          <w:numId w:val="4"/>
        </w:numPr>
      </w:pPr>
      <w:r>
        <w:rPr>
          <w:rFonts w:ascii="Figtree" w:hAnsi="Figtree"/>
          <w:b w:val="0"/>
          <w:i w:val="0"/>
          <w:sz w:val="22"/>
        </w:rPr>
        <w:t>Core banking integration (position sync, settlement booking)</w:t>
      </w:r>
    </w:p>
    <w:p>
      <w:pPr>
        <w:pStyle w:val="ListParagraph"/>
        <w:numPr>
          <w:ilvl w:val="0"/>
          <w:numId w:val="4"/>
        </w:numPr>
      </w:pPr>
      <w:r>
        <w:rPr>
          <w:rFonts w:ascii="Figtree" w:hAnsi="Figtree"/>
          <w:b w:val="0"/>
          <w:i w:val="0"/>
          <w:sz w:val="22"/>
        </w:rPr>
        <w:t>AML/CFT system integration (transaction monitoring, alert routing)</w:t>
      </w:r>
    </w:p>
    <w:p>
      <w:pPr>
        <w:pStyle w:val="ListParagraph"/>
        <w:numPr>
          <w:ilvl w:val="0"/>
          <w:numId w:val="4"/>
        </w:numPr>
      </w:pPr>
      <w:r>
        <w:rPr>
          <w:rFonts w:ascii="Figtree" w:hAnsi="Figtree"/>
          <w:b w:val="0"/>
          <w:i w:val="0"/>
          <w:sz w:val="22"/>
        </w:rPr>
        <w:t>Functional testing, security testing, performance testing, UAT</w:t>
      </w:r>
    </w:p>
    <w:p>
      <w:pPr>
        <w:pStyle w:val="ListParagraph"/>
        <w:numPr>
          <w:ilvl w:val="0"/>
          <w:numId w:val="4"/>
        </w:numPr>
      </w:pPr>
      <w:r>
        <w:rPr>
          <w:rFonts w:ascii="Figtree" w:hAnsi="Figtree"/>
          <w:b w:val="0"/>
          <w:i w:val="0"/>
          <w:sz w:val="22"/>
        </w:rPr>
        <w:t>Regulatory reporting validation</w:t>
      </w:r>
    </w:p>
    <w:p>
      <w:pPr>
        <w:pStyle w:val="ListParagraph"/>
        <w:numPr>
          <w:ilvl w:val="0"/>
          <w:numId w:val="4"/>
        </w:numPr>
      </w:pPr>
      <w:r>
        <w:rPr>
          <w:rFonts w:ascii="Figtree" w:hAnsi="Figtree"/>
          <w:b/>
          <w:i w:val="0"/>
          <w:sz w:val="22"/>
        </w:rPr>
        <w:t>Gate deliverable:</w:t>
      </w:r>
      <w:r>
        <w:rPr>
          <w:rFonts w:ascii="Figtree" w:hAnsi="Figtree"/>
          <w:b w:val="0"/>
          <w:i w:val="0"/>
          <w:sz w:val="22"/>
        </w:rPr>
        <w:t xml:space="preserve"> Validated, integrated system with formal go-live readiness</w:t>
      </w:r>
    </w:p>
    <w:p>
      <w:r>
        <w:rPr>
          <w:rFonts w:ascii="Figtree" w:hAnsi="Figtree"/>
          <w:b/>
          <w:i w:val="0"/>
          <w:sz w:val="22"/>
        </w:rPr>
        <w:t>Phase 5: Go-Live and Hypercare (Weeks 14–19)</w:t>
      </w:r>
    </w:p>
    <w:p>
      <w:pPr>
        <w:pStyle w:val="ListParagraph"/>
        <w:numPr>
          <w:ilvl w:val="0"/>
          <w:numId w:val="4"/>
        </w:numPr>
      </w:pPr>
      <w:r>
        <w:rPr>
          <w:rFonts w:ascii="Figtree" w:hAnsi="Figtree"/>
          <w:b w:val="0"/>
          <w:i w:val="0"/>
          <w:sz w:val="22"/>
        </w:rPr>
        <w:t>Production deployment (2 weeks)</w:t>
      </w:r>
    </w:p>
    <w:p>
      <w:pPr>
        <w:pStyle w:val="ListParagraph"/>
        <w:numPr>
          <w:ilvl w:val="0"/>
          <w:numId w:val="4"/>
        </w:numPr>
      </w:pPr>
      <w:r>
        <w:rPr>
          <w:rFonts w:ascii="Figtree" w:hAnsi="Figtree"/>
          <w:b w:val="0"/>
          <w:i w:val="0"/>
          <w:sz w:val="22"/>
        </w:rPr>
        <w:t>Knowledge transfer to operations team</w:t>
      </w:r>
    </w:p>
    <w:p>
      <w:pPr>
        <w:pStyle w:val="ListParagraph"/>
        <w:numPr>
          <w:ilvl w:val="0"/>
          <w:numId w:val="4"/>
        </w:numPr>
      </w:pPr>
      <w:r>
        <w:rPr>
          <w:rFonts w:ascii="Figtree" w:hAnsi="Figtree"/>
          <w:b w:val="0"/>
          <w:i w:val="0"/>
          <w:sz w:val="22"/>
        </w:rPr>
        <w:t>Hypercare: intensive post-go-live support (4 weeks)</w:t>
      </w:r>
    </w:p>
    <w:p>
      <w:pPr>
        <w:pStyle w:val="ListParagraph"/>
        <w:numPr>
          <w:ilvl w:val="0"/>
          <w:numId w:val="4"/>
        </w:numPr>
      </w:pPr>
      <w:r>
        <w:rPr>
          <w:rFonts w:ascii="Figtree" w:hAnsi="Figtree"/>
          <w:b w:val="0"/>
          <w:i w:val="0"/>
          <w:sz w:val="22"/>
        </w:rPr>
        <w:t>Service desk handoff and SLA activation</w:t>
      </w:r>
    </w:p>
    <w:p>
      <w:pPr>
        <w:pStyle w:val="ListParagraph"/>
        <w:numPr>
          <w:ilvl w:val="0"/>
          <w:numId w:val="4"/>
        </w:numPr>
      </w:pPr>
      <w:r>
        <w:rPr>
          <w:rFonts w:ascii="Figtree" w:hAnsi="Figtree"/>
          <w:b/>
          <w:i w:val="0"/>
          <w:sz w:val="22"/>
        </w:rPr>
        <w:t>Gate deliverable:</w:t>
      </w:r>
      <w:r>
        <w:rPr>
          <w:rFonts w:ascii="Figtree" w:hAnsi="Figtree"/>
          <w:b w:val="0"/>
          <w:i w:val="0"/>
          <w:sz w:val="22"/>
        </w:rPr>
        <w:t xml:space="preserve"> Production system with operational readiness confirmed</w:t>
      </w:r>
    </w:p>
    <w:p>
      <w:pPr>
        <w:pStyle w:val="H3"/>
        <w:numPr>
          <w:ilvl w:val="2"/>
          <w:numId w:val="1"/>
        </w:numPr>
      </w:pPr>
      <w:r>
        <w:t>Client Responsibilities</w:t>
      </w:r>
    </w:p>
    <w:p>
      <w:r>
        <w:rPr>
          <w:rFonts w:ascii="Figtree" w:hAnsi="Figtree"/>
          <w:b w:val="0"/>
          <w:i w:val="0"/>
          <w:sz w:val="22"/>
        </w:rPr>
        <w:t>Al Rajhi Bank's responsibilities during implementation include:</w:t>
      </w:r>
    </w:p>
    <w:p>
      <w:pPr>
        <w:pStyle w:val="ListParagraph"/>
        <w:numPr>
          <w:ilvl w:val="0"/>
          <w:numId w:val="4"/>
        </w:numPr>
      </w:pPr>
      <w:r>
        <w:rPr>
          <w:rFonts w:ascii="Figtree" w:hAnsi="Figtree"/>
          <w:b w:val="0"/>
          <w:i w:val="0"/>
          <w:sz w:val="22"/>
        </w:rPr>
        <w:t>Steering committee and design authority participation</w:t>
      </w:r>
    </w:p>
    <w:p>
      <w:pPr>
        <w:pStyle w:val="ListParagraph"/>
        <w:numPr>
          <w:ilvl w:val="0"/>
          <w:numId w:val="4"/>
        </w:numPr>
      </w:pPr>
      <w:r>
        <w:rPr>
          <w:rFonts w:ascii="Figtree" w:hAnsi="Figtree"/>
          <w:b w:val="0"/>
          <w:i w:val="0"/>
          <w:sz w:val="22"/>
        </w:rPr>
        <w:t>Sharia board availability for product certification</w:t>
      </w:r>
    </w:p>
    <w:p>
      <w:pPr>
        <w:pStyle w:val="ListParagraph"/>
        <w:numPr>
          <w:ilvl w:val="0"/>
          <w:numId w:val="4"/>
        </w:numPr>
      </w:pPr>
      <w:r>
        <w:rPr>
          <w:rFonts w:ascii="Figtree" w:hAnsi="Figtree"/>
          <w:b w:val="0"/>
          <w:i w:val="0"/>
          <w:sz w:val="22"/>
        </w:rPr>
        <w:t>Core banking and identity system API readiness</w:t>
      </w:r>
    </w:p>
    <w:p>
      <w:pPr>
        <w:pStyle w:val="ListParagraph"/>
        <w:numPr>
          <w:ilvl w:val="0"/>
          <w:numId w:val="4"/>
        </w:numPr>
      </w:pPr>
      <w:r>
        <w:rPr>
          <w:rFonts w:ascii="Figtree" w:hAnsi="Figtree"/>
          <w:b w:val="0"/>
          <w:i w:val="0"/>
          <w:sz w:val="22"/>
        </w:rPr>
        <w:t>UAT execution and business acceptance</w:t>
      </w:r>
    </w:p>
    <w:p>
      <w:pPr>
        <w:pStyle w:val="ListParagraph"/>
        <w:numPr>
          <w:ilvl w:val="0"/>
          <w:numId w:val="4"/>
        </w:numPr>
      </w:pPr>
      <w:r>
        <w:rPr>
          <w:rFonts w:ascii="Figtree" w:hAnsi="Figtree"/>
          <w:b w:val="0"/>
          <w:i w:val="0"/>
          <w:sz w:val="22"/>
        </w:rPr>
        <w:t>Operational staffing for post-go-live service desk</w:t>
      </w:r>
    </w:p>
    <w:p>
      <w:pPr>
        <w:pStyle w:val="ListParagraph"/>
        <w:numPr>
          <w:ilvl w:val="0"/>
          <w:numId w:val="4"/>
        </w:numPr>
      </w:pPr>
      <w:r>
        <w:rPr>
          <w:rFonts w:ascii="Figtree" w:hAnsi="Figtree"/>
          <w:b w:val="0"/>
          <w:i w:val="0"/>
          <w:sz w:val="22"/>
        </w:rPr>
        <w:t>Network and infrastructure provisioning (if on-premises deployment selected)</w:t>
      </w:r>
    </w:p>
    <w:p>
      <w:r>
        <w:br w:type="page"/>
      </w:r>
    </w:p>
    <w:p>
      <w:pPr>
        <w:pStyle w:val="H2"/>
        <w:numPr>
          <w:ilvl w:val="1"/>
          <w:numId w:val="1"/>
        </w:numPr>
      </w:pPr>
      <w:r>
        <w:t>Current Coverage, Dependencies, and Qualified Gaps</w:t>
      </w:r>
    </w:p>
    <w:p>
      <w:pPr>
        <w:pStyle w:val="H3"/>
        <w:numPr>
          <w:ilvl w:val="2"/>
          <w:numId w:val="1"/>
        </w:numPr>
      </w:pPr>
      <w:r>
        <w:t>Requirements Coverage Matrix</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Req ID</w:t>
            </w:r>
          </w:p>
        </w:tc>
        <w:tc>
          <w:tcPr>
            <w:tcW w:type="dxa" w:w="2436"/>
            <w:vAlign w:val="center"/>
            <w:shd w:fill="000099" w:val="clear"/>
          </w:tcPr>
          <w:p>
            <w:r>
              <w:rPr>
                <w:b/>
                <w:color w:val="FFFFFF"/>
              </w:rPr>
            </w:r>
            <w:r>
              <w:rPr>
                <w:rFonts w:ascii="Figtree" w:hAnsi="Figtree"/>
                <w:b/>
                <w:i w:val="0"/>
                <w:color w:val="FFFFFF"/>
                <w:sz w:val="22"/>
              </w:rPr>
              <w:t>Requirement</w:t>
            </w:r>
          </w:p>
        </w:tc>
        <w:tc>
          <w:tcPr>
            <w:tcW w:type="dxa" w:w="2436"/>
            <w:vAlign w:val="center"/>
            <w:shd w:fill="000099" w:val="clear"/>
          </w:tcPr>
          <w:p>
            <w:r>
              <w:rPr>
                <w:b/>
                <w:color w:val="FFFFFF"/>
              </w:rPr>
            </w:r>
            <w:r>
              <w:rPr>
                <w:rFonts w:ascii="Figtree" w:hAnsi="Figtree"/>
                <w:b/>
                <w:i w:val="0"/>
                <w:color w:val="FFFFFF"/>
                <w:sz w:val="22"/>
              </w:rPr>
              <w:t>Status</w:t>
            </w:r>
          </w:p>
        </w:tc>
        <w:tc>
          <w:tcPr>
            <w:tcW w:type="dxa" w:w="2436"/>
            <w:vAlign w:val="center"/>
            <w:shd w:fill="000099" w:val="clear"/>
          </w:tcPr>
          <w:p>
            <w:r>
              <w:rPr>
                <w:b/>
                <w:color w:val="FFFFFF"/>
              </w:rPr>
            </w:r>
            <w:r>
              <w:rPr>
                <w:rFonts w:ascii="Figtree" w:hAnsi="Figtree"/>
                <w:b/>
                <w:i w:val="0"/>
                <w:color w:val="FFFFFF"/>
                <w:sz w:val="22"/>
              </w:rPr>
              <w:t>Evidence Reference</w:t>
            </w:r>
          </w:p>
        </w:tc>
      </w:tr>
      <w:tr>
        <w:trPr>
          <w:trHeight w:val="454" w:hRule="atLeast"/>
        </w:trPr>
        <w:tc>
          <w:tcPr>
            <w:tcW w:type="dxa" w:w="2436"/>
            <w:vAlign w:val="center"/>
          </w:tcPr>
          <w:p>
            <w:r/>
            <w:r>
              <w:rPr>
                <w:rFonts w:ascii="Figtree" w:hAnsi="Figtree"/>
                <w:b w:val="0"/>
                <w:i w:val="0"/>
                <w:sz w:val="22"/>
              </w:rPr>
              <w:t>REQ-01</w:t>
            </w:r>
          </w:p>
        </w:tc>
        <w:tc>
          <w:tcPr>
            <w:tcW w:type="dxa" w:w="2436"/>
            <w:vAlign w:val="center"/>
          </w:tcPr>
          <w:p>
            <w:r/>
            <w:r>
              <w:rPr>
                <w:rFonts w:ascii="Figtree" w:hAnsi="Figtree"/>
                <w:b w:val="0"/>
                <w:i w:val="0"/>
                <w:sz w:val="22"/>
              </w:rPr>
              <w:t>Segregated environments</w:t>
            </w:r>
          </w:p>
        </w:tc>
        <w:tc>
          <w:tcPr>
            <w:tcW w:type="dxa" w:w="2436"/>
            <w:vAlign w:val="center"/>
          </w:tcPr>
          <w:p>
            <w:r/>
            <w:r>
              <w:rPr>
                <w:rFonts w:ascii="Figtree" w:hAnsi="Figtree"/>
                <w:b/>
                <w:i w:val="0"/>
                <w:sz w:val="22"/>
              </w:rPr>
              <w:t>Full</w:t>
            </w:r>
          </w:p>
        </w:tc>
        <w:tc>
          <w:tcPr>
            <w:tcW w:type="dxa" w:w="2436"/>
            <w:vAlign w:val="center"/>
          </w:tcPr>
          <w:p>
            <w:r/>
            <w:r>
              <w:rPr>
                <w:rFonts w:ascii="Figtree" w:hAnsi="Figtree"/>
                <w:b w:val="0"/>
                <w:i w:val="0"/>
                <w:sz w:val="22"/>
              </w:rPr>
              <w:t>Section: Deployment Architecture</w:t>
            </w:r>
          </w:p>
        </w:tc>
      </w:tr>
      <w:tr>
        <w:trPr>
          <w:trHeight w:val="454" w:hRule="atLeast"/>
        </w:trPr>
        <w:tc>
          <w:tcPr>
            <w:tcW w:type="dxa" w:w="2436"/>
            <w:vAlign w:val="center"/>
          </w:tcPr>
          <w:p>
            <w:r/>
            <w:r>
              <w:rPr>
                <w:rFonts w:ascii="Figtree" w:hAnsi="Figtree"/>
                <w:b w:val="0"/>
                <w:i w:val="0"/>
                <w:sz w:val="22"/>
              </w:rPr>
              <w:t>REQ-02</w:t>
            </w:r>
          </w:p>
        </w:tc>
        <w:tc>
          <w:tcPr>
            <w:tcW w:type="dxa" w:w="2436"/>
            <w:vAlign w:val="center"/>
          </w:tcPr>
          <w:p>
            <w:r/>
            <w:r>
              <w:rPr>
                <w:rFonts w:ascii="Figtree" w:hAnsi="Figtree"/>
                <w:b w:val="0"/>
                <w:i w:val="0"/>
                <w:sz w:val="22"/>
              </w:rPr>
              <w:t>API-first interfaces, eventing, version governance</w:t>
            </w:r>
          </w:p>
        </w:tc>
        <w:tc>
          <w:tcPr>
            <w:tcW w:type="dxa" w:w="2436"/>
            <w:vAlign w:val="center"/>
          </w:tcPr>
          <w:p>
            <w:r/>
            <w:r>
              <w:rPr>
                <w:rFonts w:ascii="Figtree" w:hAnsi="Figtree"/>
                <w:b/>
                <w:i w:val="0"/>
                <w:sz w:val="22"/>
              </w:rPr>
              <w:t>Full</w:t>
            </w:r>
          </w:p>
        </w:tc>
        <w:tc>
          <w:tcPr>
            <w:tcW w:type="dxa" w:w="2436"/>
            <w:vAlign w:val="center"/>
          </w:tcPr>
          <w:p>
            <w:r/>
            <w:r>
              <w:rPr>
                <w:rFonts w:ascii="Figtree" w:hAnsi="Figtree"/>
                <w:b w:val="0"/>
                <w:i w:val="0"/>
                <w:sz w:val="22"/>
              </w:rPr>
              <w:t>Section: Technical Architecture</w:t>
            </w:r>
          </w:p>
        </w:tc>
      </w:tr>
      <w:tr>
        <w:trPr>
          <w:trHeight w:val="454" w:hRule="atLeast"/>
        </w:trPr>
        <w:tc>
          <w:tcPr>
            <w:tcW w:type="dxa" w:w="2436"/>
            <w:vAlign w:val="center"/>
          </w:tcPr>
          <w:p>
            <w:r/>
            <w:r>
              <w:rPr>
                <w:rFonts w:ascii="Figtree" w:hAnsi="Figtree"/>
                <w:b w:val="0"/>
                <w:i w:val="0"/>
                <w:sz w:val="22"/>
              </w:rPr>
              <w:t>REQ-03</w:t>
            </w:r>
          </w:p>
        </w:tc>
        <w:tc>
          <w:tcPr>
            <w:tcW w:type="dxa" w:w="2436"/>
            <w:vAlign w:val="center"/>
          </w:tcPr>
          <w:p>
            <w:r/>
            <w:r>
              <w:rPr>
                <w:rFonts w:ascii="Figtree" w:hAnsi="Figtree"/>
                <w:b w:val="0"/>
                <w:i w:val="0"/>
                <w:sz w:val="22"/>
              </w:rPr>
              <w:t>RBAC, segregation of duties, maker-checker, audit logs</w:t>
            </w:r>
          </w:p>
        </w:tc>
        <w:tc>
          <w:tcPr>
            <w:tcW w:type="dxa" w:w="2436"/>
            <w:vAlign w:val="center"/>
          </w:tcPr>
          <w:p>
            <w:r/>
            <w:r>
              <w:rPr>
                <w:rFonts w:ascii="Figtree" w:hAnsi="Figtree"/>
                <w:b/>
                <w:i w:val="0"/>
                <w:sz w:val="22"/>
              </w:rPr>
              <w:t>Full</w:t>
            </w:r>
          </w:p>
        </w:tc>
        <w:tc>
          <w:tcPr>
            <w:tcW w:type="dxa" w:w="2436"/>
            <w:vAlign w:val="center"/>
          </w:tcPr>
          <w:p>
            <w:r/>
            <w:r>
              <w:rPr>
                <w:rFonts w:ascii="Figtree" w:hAnsi="Figtree"/>
                <w:b w:val="0"/>
                <w:i w:val="0"/>
                <w:sz w:val="22"/>
              </w:rPr>
              <w:t>Section: Identity, Compliance, and Sharia Governance</w:t>
            </w:r>
          </w:p>
        </w:tc>
      </w:tr>
      <w:tr>
        <w:trPr>
          <w:trHeight w:val="454" w:hRule="atLeast"/>
        </w:trPr>
        <w:tc>
          <w:tcPr>
            <w:tcW w:type="dxa" w:w="2436"/>
            <w:vAlign w:val="center"/>
          </w:tcPr>
          <w:p>
            <w:r/>
            <w:r>
              <w:rPr>
                <w:rFonts w:ascii="Figtree" w:hAnsi="Figtree"/>
                <w:b w:val="0"/>
                <w:i w:val="0"/>
                <w:sz w:val="22"/>
              </w:rPr>
              <w:t>REQ-04</w:t>
            </w:r>
          </w:p>
        </w:tc>
        <w:tc>
          <w:tcPr>
            <w:tcW w:type="dxa" w:w="2436"/>
            <w:vAlign w:val="center"/>
          </w:tcPr>
          <w:p>
            <w:r/>
            <w:r>
              <w:rPr>
                <w:rFonts w:ascii="Figtree" w:hAnsi="Figtree"/>
                <w:b w:val="0"/>
                <w:i w:val="0"/>
                <w:sz w:val="22"/>
              </w:rPr>
              <w:t>Configurable lifecycle states, policy controls, limits, reconciliation</w:t>
            </w:r>
          </w:p>
        </w:tc>
        <w:tc>
          <w:tcPr>
            <w:tcW w:type="dxa" w:w="2436"/>
            <w:vAlign w:val="center"/>
          </w:tcPr>
          <w:p>
            <w:r/>
            <w:r>
              <w:rPr>
                <w:rFonts w:ascii="Figtree" w:hAnsi="Figtree"/>
                <w:b/>
                <w:i w:val="0"/>
                <w:sz w:val="22"/>
              </w:rPr>
              <w:t>Full</w:t>
            </w:r>
          </w:p>
        </w:tc>
        <w:tc>
          <w:tcPr>
            <w:tcW w:type="dxa" w:w="2436"/>
            <w:vAlign w:val="center"/>
          </w:tcPr>
          <w:p>
            <w:r/>
            <w:r>
              <w:rPr>
                <w:rFonts w:ascii="Figtree" w:hAnsi="Figtree"/>
                <w:b w:val="0"/>
                <w:i w:val="0"/>
                <w:sz w:val="22"/>
              </w:rPr>
              <w:t>Section: Settlement, Servicing, and Lifecycle Management</w:t>
            </w:r>
          </w:p>
        </w:tc>
      </w:tr>
      <w:tr>
        <w:trPr>
          <w:trHeight w:val="454" w:hRule="atLeast"/>
        </w:trPr>
        <w:tc>
          <w:tcPr>
            <w:tcW w:type="dxa" w:w="2436"/>
            <w:vAlign w:val="center"/>
          </w:tcPr>
          <w:p>
            <w:r/>
            <w:r>
              <w:rPr>
                <w:rFonts w:ascii="Figtree" w:hAnsi="Figtree"/>
                <w:b w:val="0"/>
                <w:i w:val="0"/>
                <w:sz w:val="22"/>
              </w:rPr>
              <w:t>REQ-05</w:t>
            </w:r>
          </w:p>
        </w:tc>
        <w:tc>
          <w:tcPr>
            <w:tcW w:type="dxa" w:w="2436"/>
            <w:vAlign w:val="center"/>
          </w:tcPr>
          <w:p>
            <w:r/>
            <w:r>
              <w:rPr>
                <w:rFonts w:ascii="Figtree" w:hAnsi="Figtree"/>
                <w:b w:val="0"/>
                <w:i w:val="0"/>
                <w:sz w:val="22"/>
              </w:rPr>
              <w:t>Third-party dependency disclosure</w:t>
            </w:r>
          </w:p>
        </w:tc>
        <w:tc>
          <w:tcPr>
            <w:tcW w:type="dxa" w:w="2436"/>
            <w:vAlign w:val="center"/>
          </w:tcPr>
          <w:p>
            <w:r/>
            <w:r>
              <w:rPr>
                <w:rFonts w:ascii="Figtree" w:hAnsi="Figtree"/>
                <w:b/>
                <w:i w:val="0"/>
                <w:sz w:val="22"/>
              </w:rPr>
              <w:t>Full</w:t>
            </w:r>
          </w:p>
        </w:tc>
        <w:tc>
          <w:tcPr>
            <w:tcW w:type="dxa" w:w="2436"/>
            <w:vAlign w:val="center"/>
          </w:tcPr>
          <w:p>
            <w:r/>
            <w:r>
              <w:rPr>
                <w:rFonts w:ascii="Figtree" w:hAnsi="Figtree"/>
                <w:b w:val="0"/>
                <w:i w:val="0"/>
                <w:sz w:val="22"/>
              </w:rPr>
              <w:t>See Dependency Register below</w:t>
            </w:r>
          </w:p>
        </w:tc>
      </w:tr>
      <w:tr>
        <w:trPr>
          <w:trHeight w:val="454" w:hRule="atLeast"/>
        </w:trPr>
        <w:tc>
          <w:tcPr>
            <w:tcW w:type="dxa" w:w="2436"/>
            <w:vAlign w:val="center"/>
          </w:tcPr>
          <w:p>
            <w:r/>
            <w:r>
              <w:rPr>
                <w:rFonts w:ascii="Figtree" w:hAnsi="Figtree"/>
                <w:b w:val="0"/>
                <w:i w:val="0"/>
                <w:sz w:val="22"/>
              </w:rPr>
              <w:t>REQ-06</w:t>
            </w:r>
          </w:p>
        </w:tc>
        <w:tc>
          <w:tcPr>
            <w:tcW w:type="dxa" w:w="2436"/>
            <w:vAlign w:val="center"/>
          </w:tcPr>
          <w:p>
            <w:r/>
            <w:r>
              <w:rPr>
                <w:rFonts w:ascii="Figtree" w:hAnsi="Figtree"/>
                <w:b w:val="0"/>
                <w:i w:val="0"/>
                <w:sz w:val="22"/>
              </w:rPr>
              <w:t>Resilience, recovery, monitoring, incident management</w:t>
            </w:r>
          </w:p>
        </w:tc>
        <w:tc>
          <w:tcPr>
            <w:tcW w:type="dxa" w:w="2436"/>
            <w:vAlign w:val="center"/>
          </w:tcPr>
          <w:p>
            <w:r/>
            <w:r>
              <w:rPr>
                <w:rFonts w:ascii="Figtree" w:hAnsi="Figtree"/>
                <w:b/>
                <w:i w:val="0"/>
                <w:sz w:val="22"/>
              </w:rPr>
              <w:t>Full</w:t>
            </w:r>
          </w:p>
        </w:tc>
        <w:tc>
          <w:tcPr>
            <w:tcW w:type="dxa" w:w="2436"/>
            <w:vAlign w:val="center"/>
          </w:tcPr>
          <w:p>
            <w:r/>
            <w:r>
              <w:rPr>
                <w:rFonts w:ascii="Figtree" w:hAnsi="Figtree"/>
                <w:b w:val="0"/>
                <w:i w:val="0"/>
                <w:sz w:val="22"/>
              </w:rPr>
              <w:t>Section: Security, Resilience, and Operational Assurance</w:t>
            </w:r>
          </w:p>
        </w:tc>
      </w:tr>
      <w:tr>
        <w:trPr>
          <w:trHeight w:val="454" w:hRule="atLeast"/>
        </w:trPr>
        <w:tc>
          <w:tcPr>
            <w:tcW w:type="dxa" w:w="2436"/>
            <w:vAlign w:val="center"/>
          </w:tcPr>
          <w:p>
            <w:r/>
            <w:r>
              <w:rPr>
                <w:rFonts w:ascii="Figtree" w:hAnsi="Figtree"/>
                <w:b w:val="0"/>
                <w:i w:val="0"/>
                <w:sz w:val="22"/>
              </w:rPr>
              <w:t>REQ-07</w:t>
            </w:r>
          </w:p>
        </w:tc>
        <w:tc>
          <w:tcPr>
            <w:tcW w:type="dxa" w:w="2436"/>
            <w:vAlign w:val="center"/>
          </w:tcPr>
          <w:p>
            <w:r/>
            <w:r>
              <w:rPr>
                <w:rFonts w:ascii="Figtree" w:hAnsi="Figtree"/>
                <w:b w:val="0"/>
                <w:i w:val="0"/>
                <w:sz w:val="22"/>
              </w:rPr>
              <w:t>Delivery method, client effort, phased plan</w:t>
            </w:r>
          </w:p>
        </w:tc>
        <w:tc>
          <w:tcPr>
            <w:tcW w:type="dxa" w:w="2436"/>
            <w:vAlign w:val="center"/>
          </w:tcPr>
          <w:p>
            <w:r/>
            <w:r>
              <w:rPr>
                <w:rFonts w:ascii="Figtree" w:hAnsi="Figtree"/>
                <w:b/>
                <w:i w:val="0"/>
                <w:sz w:val="22"/>
              </w:rPr>
              <w:t>Full</w:t>
            </w:r>
          </w:p>
        </w:tc>
        <w:tc>
          <w:tcPr>
            <w:tcW w:type="dxa" w:w="2436"/>
            <w:vAlign w:val="center"/>
          </w:tcPr>
          <w:p>
            <w:r/>
            <w:r>
              <w:rPr>
                <w:rFonts w:ascii="Figtree" w:hAnsi="Figtree"/>
                <w:b w:val="0"/>
                <w:i w:val="0"/>
                <w:sz w:val="22"/>
              </w:rPr>
              <w:t>Section: Implementation Approach</w:t>
            </w:r>
          </w:p>
        </w:tc>
      </w:tr>
      <w:tr>
        <w:trPr>
          <w:trHeight w:val="454" w:hRule="atLeast"/>
        </w:trPr>
        <w:tc>
          <w:tcPr>
            <w:tcW w:type="dxa" w:w="2436"/>
            <w:vAlign w:val="center"/>
          </w:tcPr>
          <w:p>
            <w:r/>
            <w:r>
              <w:rPr>
                <w:rFonts w:ascii="Figtree" w:hAnsi="Figtree"/>
                <w:b w:val="0"/>
                <w:i w:val="0"/>
                <w:sz w:val="22"/>
              </w:rPr>
              <w:t>REQ-08</w:t>
            </w:r>
          </w:p>
        </w:tc>
        <w:tc>
          <w:tcPr>
            <w:tcW w:type="dxa" w:w="2436"/>
            <w:vAlign w:val="center"/>
          </w:tcPr>
          <w:p>
            <w:r/>
            <w:r>
              <w:rPr>
                <w:rFonts w:ascii="Figtree" w:hAnsi="Figtree"/>
                <w:b w:val="0"/>
                <w:i w:val="0"/>
                <w:sz w:val="22"/>
              </w:rPr>
              <w:t>Audit evidence extraction, supervisory review, board reporting</w:t>
            </w:r>
          </w:p>
        </w:tc>
        <w:tc>
          <w:tcPr>
            <w:tcW w:type="dxa" w:w="2436"/>
            <w:vAlign w:val="center"/>
          </w:tcPr>
          <w:p>
            <w:r/>
            <w:r>
              <w:rPr>
                <w:rFonts w:ascii="Figtree" w:hAnsi="Figtree"/>
                <w:b/>
                <w:i w:val="0"/>
                <w:sz w:val="22"/>
              </w:rPr>
              <w:t>Full</w:t>
            </w:r>
          </w:p>
        </w:tc>
        <w:tc>
          <w:tcPr>
            <w:tcW w:type="dxa" w:w="2436"/>
            <w:vAlign w:val="center"/>
          </w:tcPr>
          <w:p>
            <w:r/>
            <w:r>
              <w:rPr>
                <w:rFonts w:ascii="Figtree" w:hAnsi="Figtree"/>
                <w:b w:val="0"/>
                <w:i w:val="0"/>
                <w:sz w:val="22"/>
              </w:rPr>
              <w:t>Section: Identity, Compliance, and Sharia Governance</w:t>
            </w:r>
          </w:p>
        </w:tc>
      </w:tr>
      <w:tr>
        <w:trPr>
          <w:trHeight w:val="454" w:hRule="atLeast"/>
        </w:trPr>
        <w:tc>
          <w:tcPr>
            <w:tcW w:type="dxa" w:w="2436"/>
            <w:vAlign w:val="center"/>
          </w:tcPr>
          <w:p>
            <w:r/>
            <w:r>
              <w:rPr>
                <w:rFonts w:ascii="Figtree" w:hAnsi="Figtree"/>
                <w:b w:val="0"/>
                <w:i w:val="0"/>
                <w:sz w:val="22"/>
              </w:rPr>
              <w:t>REQ-12</w:t>
            </w:r>
          </w:p>
        </w:tc>
        <w:tc>
          <w:tcPr>
            <w:tcW w:type="dxa" w:w="2436"/>
            <w:vAlign w:val="center"/>
          </w:tcPr>
          <w:p>
            <w:r/>
            <w:r>
              <w:rPr>
                <w:rFonts w:ascii="Figtree" w:hAnsi="Figtree"/>
                <w:b w:val="0"/>
                <w:i w:val="0"/>
                <w:sz w:val="22"/>
              </w:rPr>
              <w:t>Sharia board workflows, fatwa references, AAOIFI documentation</w:t>
            </w:r>
          </w:p>
        </w:tc>
        <w:tc>
          <w:tcPr>
            <w:tcW w:type="dxa" w:w="2436"/>
            <w:vAlign w:val="center"/>
          </w:tcPr>
          <w:p>
            <w:r/>
            <w:r>
              <w:rPr>
                <w:rFonts w:ascii="Figtree" w:hAnsi="Figtree"/>
                <w:b/>
                <w:i w:val="0"/>
                <w:sz w:val="22"/>
              </w:rPr>
              <w:t>Partial</w:t>
            </w:r>
          </w:p>
        </w:tc>
        <w:tc>
          <w:tcPr>
            <w:tcW w:type="dxa" w:w="2436"/>
            <w:vAlign w:val="center"/>
          </w:tcPr>
          <w:p>
            <w:r/>
            <w:r>
              <w:rPr>
                <w:rFonts w:ascii="Figtree" w:hAnsi="Figtree"/>
                <w:b w:val="0"/>
                <w:i w:val="0"/>
                <w:sz w:val="22"/>
              </w:rPr>
              <w:t>Section: Smart Contract Architecture for Islamic Finance</w:t>
            </w:r>
          </w:p>
        </w:tc>
      </w:tr>
      <w:tr>
        <w:trPr>
          <w:trHeight w:val="454" w:hRule="atLeast"/>
        </w:trPr>
        <w:tc>
          <w:tcPr>
            <w:tcW w:type="dxa" w:w="2436"/>
            <w:vAlign w:val="center"/>
          </w:tcPr>
          <w:p>
            <w:r/>
            <w:r>
              <w:rPr>
                <w:rFonts w:ascii="Figtree" w:hAnsi="Figtree"/>
                <w:b w:val="0"/>
                <w:i w:val="0"/>
                <w:sz w:val="22"/>
              </w:rPr>
              <w:t>REQ-13</w:t>
            </w:r>
          </w:p>
        </w:tc>
        <w:tc>
          <w:tcPr>
            <w:tcW w:type="dxa" w:w="2436"/>
            <w:vAlign w:val="center"/>
          </w:tcPr>
          <w:p>
            <w:r/>
            <w:r>
              <w:rPr>
                <w:rFonts w:ascii="Figtree" w:hAnsi="Figtree"/>
                <w:b w:val="0"/>
                <w:i w:val="0"/>
                <w:sz w:val="22"/>
              </w:rPr>
              <w:t>Profit vs. interest segregation</w:t>
            </w:r>
          </w:p>
        </w:tc>
        <w:tc>
          <w:tcPr>
            <w:tcW w:type="dxa" w:w="2436"/>
            <w:vAlign w:val="center"/>
          </w:tcPr>
          <w:p>
            <w:r/>
            <w:r>
              <w:rPr>
                <w:rFonts w:ascii="Figtree" w:hAnsi="Figtree"/>
                <w:b/>
                <w:i w:val="0"/>
                <w:sz w:val="22"/>
              </w:rPr>
              <w:t>Full</w:t>
            </w:r>
          </w:p>
        </w:tc>
        <w:tc>
          <w:tcPr>
            <w:tcW w:type="dxa" w:w="2436"/>
            <w:vAlign w:val="center"/>
          </w:tcPr>
          <w:p>
            <w:r/>
            <w:r>
              <w:rPr>
                <w:rFonts w:ascii="Figtree" w:hAnsi="Figtree"/>
                <w:b w:val="0"/>
                <w:i w:val="0"/>
                <w:sz w:val="22"/>
              </w:rPr>
              <w:t>Section: Smart Contract Architecture for Islamic Finance</w:t>
            </w:r>
          </w:p>
        </w:tc>
      </w:tr>
    </w:tbl>
    <w:p>
      <w:pPr>
        <w:pStyle w:val="H3"/>
        <w:numPr>
          <w:ilvl w:val="2"/>
          <w:numId w:val="1"/>
        </w:numPr>
      </w:pPr>
      <w:r>
        <w:t>Qualified Gaps and Mitigations</w:t>
      </w:r>
    </w:p>
    <w:p>
      <w:r>
        <w:rPr>
          <w:rFonts w:ascii="Figtree" w:hAnsi="Figtree"/>
          <w:b/>
          <w:i w:val="0"/>
          <w:sz w:val="22"/>
        </w:rPr>
        <w:t>REQ-12: Sharia board workflows — Partial.</w:t>
      </w:r>
    </w:p>
    <w:p>
      <w:r>
        <w:rPr>
          <w:rFonts w:ascii="Figtree" w:hAnsi="Figtree"/>
          <w:b w:val="0"/>
          <w:i w:val="0"/>
          <w:sz w:val="22"/>
        </w:rPr>
        <w:t>DALP's Transfer Approval compliance module supports multi-level approval workflows that can be configured for Sharia board sign-off requirements. Fatwa references can be stored as metadata attached to product configurations and are included in audit trail extracts.</w:t>
      </w:r>
    </w:p>
    <w:p>
      <w:r>
        <w:rPr>
          <w:rFonts w:ascii="Figtree" w:hAnsi="Figtree"/>
          <w:b w:val="0"/>
          <w:i w:val="0"/>
          <w:sz w:val="22"/>
        </w:rPr>
        <w:t>However, DALP does not currently provide a dedicated Sharia board portal with specialized UI for fatwa management, board resolution tracking, or AAOIFI standard compliance dashboards. These capabilities are achievable through:</w:t>
      </w:r>
    </w:p>
    <w:p>
      <w:pPr>
        <w:pStyle w:val="ListParagraph"/>
        <w:numPr>
          <w:ilvl w:val="0"/>
          <w:numId w:val="8"/>
        </w:numPr>
      </w:pPr>
      <w:r>
        <w:rPr>
          <w:rFonts w:ascii="Figtree" w:hAnsi="Figtree"/>
          <w:b/>
          <w:i w:val="0"/>
          <w:sz w:val="22"/>
        </w:rPr>
        <w:t>Configuration of existing approval workflows</w:t>
      </w:r>
      <w:r>
        <w:rPr>
          <w:rFonts w:ascii="Figtree" w:hAnsi="Figtree"/>
          <w:b w:val="0"/>
          <w:i w:val="0"/>
          <w:sz w:val="22"/>
        </w:rPr>
        <w:t xml:space="preserve"> (available now) — Sharia board representatives are assigned the GOVERNANCE_ROLE with approval permissions on product configuration and distribution events</w:t>
      </w:r>
    </w:p>
    <w:p>
      <w:pPr>
        <w:pStyle w:val="ListParagraph"/>
        <w:numPr>
          <w:ilvl w:val="0"/>
          <w:numId w:val="8"/>
        </w:numPr>
      </w:pPr>
      <w:r>
        <w:rPr>
          <w:rFonts w:ascii="Figtree" w:hAnsi="Figtree"/>
          <w:b/>
          <w:i w:val="0"/>
          <w:sz w:val="22"/>
        </w:rPr>
        <w:t>Custom dashboard development</w:t>
      </w:r>
      <w:r>
        <w:rPr>
          <w:rFonts w:ascii="Figtree" w:hAnsi="Figtree"/>
          <w:b w:val="0"/>
          <w:i w:val="0"/>
          <w:sz w:val="22"/>
        </w:rPr>
        <w:t xml:space="preserve"> (implementation phase, estimated 2 weeks additional effort) — A dedicated Sharia governance view can be built using DALP's API and the existing observability stack</w:t>
      </w:r>
    </w:p>
    <w:p>
      <w:pPr>
        <w:pStyle w:val="ListParagraph"/>
        <w:numPr>
          <w:ilvl w:val="0"/>
          <w:numId w:val="8"/>
        </w:numPr>
      </w:pPr>
      <w:r>
        <w:rPr>
          <w:rFonts w:ascii="Figtree" w:hAnsi="Figtree"/>
          <w:b/>
          <w:i w:val="0"/>
          <w:sz w:val="22"/>
        </w:rPr>
        <w:t>AAOIFI reporting templates</w:t>
      </w:r>
      <w:r>
        <w:rPr>
          <w:rFonts w:ascii="Figtree" w:hAnsi="Figtree"/>
          <w:b w:val="0"/>
          <w:i w:val="0"/>
          <w:sz w:val="22"/>
        </w:rPr>
        <w:t xml:space="preserve"> (Q3 2026 roadmap) — Structured reporting templates aligned to specific AAOIFI Financial Accounting Standards are in development</w:t>
      </w:r>
    </w:p>
    <w:p>
      <w:r>
        <w:rPr>
          <w:rFonts w:ascii="Figtree" w:hAnsi="Figtree"/>
          <w:b/>
          <w:i w:val="0"/>
          <w:sz w:val="22"/>
        </w:rPr>
        <w:t>Mitigation timeline:</w:t>
      </w:r>
      <w:r>
        <w:rPr>
          <w:rFonts w:ascii="Figtree" w:hAnsi="Figtree"/>
          <w:b w:val="0"/>
          <w:i w:val="0"/>
          <w:sz w:val="22"/>
        </w:rPr>
        <w:t xml:space="preserve"> Core Sharia governance workflows are functional from day one through existing approval mechanisms. The dedicated Sharia board dashboard is deliverable during the implementation phase. AAOIFI reporting templates are targeted for Q3 2026 and will be delivered as a platform update within the license term.</w:t>
      </w:r>
    </w:p>
    <w:p>
      <w:pPr>
        <w:pStyle w:val="H3"/>
        <w:numPr>
          <w:ilvl w:val="2"/>
          <w:numId w:val="1"/>
        </w:numPr>
      </w:pPr>
      <w:r>
        <w:t>Dependency Register</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Dependency</w:t>
            </w:r>
          </w:p>
        </w:tc>
        <w:tc>
          <w:tcPr>
            <w:tcW w:type="dxa" w:w="2436"/>
            <w:vAlign w:val="center"/>
            <w:shd w:fill="000099" w:val="clear"/>
          </w:tcPr>
          <w:p>
            <w:r>
              <w:rPr>
                <w:b/>
                <w:color w:val="FFFFFF"/>
              </w:rPr>
            </w:r>
            <w:r>
              <w:rPr>
                <w:rFonts w:ascii="Figtree" w:hAnsi="Figtree"/>
                <w:b/>
                <w:i w:val="0"/>
                <w:color w:val="FFFFFF"/>
                <w:sz w:val="22"/>
              </w:rPr>
              <w:t>Type</w:t>
            </w:r>
          </w:p>
        </w:tc>
        <w:tc>
          <w:tcPr>
            <w:tcW w:type="dxa" w:w="2436"/>
            <w:vAlign w:val="center"/>
            <w:shd w:fill="000099" w:val="clear"/>
          </w:tcPr>
          <w:p>
            <w:r>
              <w:rPr>
                <w:b/>
                <w:color w:val="FFFFFF"/>
              </w:rPr>
            </w:r>
            <w:r>
              <w:rPr>
                <w:rFonts w:ascii="Figtree" w:hAnsi="Figtree"/>
                <w:b/>
                <w:i w:val="0"/>
                <w:color w:val="FFFFFF"/>
                <w:sz w:val="22"/>
              </w:rPr>
              <w:t>Owner</w:t>
            </w:r>
          </w:p>
        </w:tc>
        <w:tc>
          <w:tcPr>
            <w:tcW w:type="dxa" w:w="2436"/>
            <w:vAlign w:val="center"/>
            <w:shd w:fill="000099" w:val="clear"/>
          </w:tcPr>
          <w:p>
            <w:r>
              <w:rPr>
                <w:b/>
                <w:color w:val="FFFFFF"/>
              </w:rPr>
            </w:r>
            <w:r>
              <w:rPr>
                <w:rFonts w:ascii="Figtree" w:hAnsi="Figtree"/>
                <w:b/>
                <w:i w:val="0"/>
                <w:color w:val="FFFFFF"/>
                <w:sz w:val="22"/>
              </w:rPr>
              <w:t>Risk</w:t>
            </w:r>
          </w:p>
        </w:tc>
      </w:tr>
      <w:tr>
        <w:trPr>
          <w:trHeight w:val="454" w:hRule="atLeast"/>
        </w:trPr>
        <w:tc>
          <w:tcPr>
            <w:tcW w:type="dxa" w:w="2436"/>
            <w:vAlign w:val="center"/>
          </w:tcPr>
          <w:p>
            <w:r/>
            <w:r>
              <w:rPr>
                <w:rFonts w:ascii="Figtree" w:hAnsi="Figtree"/>
                <w:b w:val="0"/>
                <w:i w:val="0"/>
                <w:sz w:val="22"/>
              </w:rPr>
              <w:t>KSA-resident cloud infrastructure</w:t>
            </w:r>
          </w:p>
        </w:tc>
        <w:tc>
          <w:tcPr>
            <w:tcW w:type="dxa" w:w="2436"/>
            <w:vAlign w:val="center"/>
          </w:tcPr>
          <w:p>
            <w:r/>
            <w:r>
              <w:rPr>
                <w:rFonts w:ascii="Figtree" w:hAnsi="Figtree"/>
                <w:b w:val="0"/>
                <w:i w:val="0"/>
                <w:sz w:val="22"/>
              </w:rPr>
              <w:t>Infrastructure</w:t>
            </w:r>
          </w:p>
        </w:tc>
        <w:tc>
          <w:tcPr>
            <w:tcW w:type="dxa" w:w="2436"/>
            <w:vAlign w:val="center"/>
          </w:tcPr>
          <w:p>
            <w:r/>
            <w:r>
              <w:rPr>
                <w:rFonts w:ascii="Figtree" w:hAnsi="Figtree"/>
                <w:b w:val="0"/>
                <w:i w:val="0"/>
                <w:sz w:val="22"/>
              </w:rPr>
              <w:t>Al Rajhi Bank / Cloud provider</w:t>
            </w:r>
          </w:p>
        </w:tc>
        <w:tc>
          <w:tcPr>
            <w:tcW w:type="dxa" w:w="2436"/>
            <w:vAlign w:val="center"/>
          </w:tcPr>
          <w:p>
            <w:r/>
            <w:r>
              <w:rPr>
                <w:rFonts w:ascii="Figtree" w:hAnsi="Figtree"/>
                <w:b w:val="0"/>
                <w:i w:val="0"/>
                <w:sz w:val="22"/>
              </w:rPr>
              <w:t>Medium — requires provisioning lead time</w:t>
            </w:r>
          </w:p>
        </w:tc>
      </w:tr>
      <w:tr>
        <w:trPr>
          <w:trHeight w:val="454" w:hRule="atLeast"/>
        </w:trPr>
        <w:tc>
          <w:tcPr>
            <w:tcW w:type="dxa" w:w="2436"/>
            <w:vAlign w:val="center"/>
          </w:tcPr>
          <w:p>
            <w:r/>
            <w:r>
              <w:rPr>
                <w:rFonts w:ascii="Figtree" w:hAnsi="Figtree"/>
                <w:b w:val="0"/>
                <w:i w:val="0"/>
                <w:sz w:val="22"/>
              </w:rPr>
              <w:t>Core banking API readiness</w:t>
            </w:r>
          </w:p>
        </w:tc>
        <w:tc>
          <w:tcPr>
            <w:tcW w:type="dxa" w:w="2436"/>
            <w:vAlign w:val="center"/>
          </w:tcPr>
          <w:p>
            <w:r/>
            <w:r>
              <w:rPr>
                <w:rFonts w:ascii="Figtree" w:hAnsi="Figtree"/>
                <w:b w:val="0"/>
                <w:i w:val="0"/>
                <w:sz w:val="22"/>
              </w:rPr>
              <w:t>Integration</w:t>
            </w:r>
          </w:p>
        </w:tc>
        <w:tc>
          <w:tcPr>
            <w:tcW w:type="dxa" w:w="2436"/>
            <w:vAlign w:val="center"/>
          </w:tcPr>
          <w:p>
            <w:r/>
            <w:r>
              <w:rPr>
                <w:rFonts w:ascii="Figtree" w:hAnsi="Figtree"/>
                <w:b w:val="0"/>
                <w:i w:val="0"/>
                <w:sz w:val="22"/>
              </w:rPr>
              <w:t>Al Rajhi Bank</w:t>
            </w:r>
          </w:p>
        </w:tc>
        <w:tc>
          <w:tcPr>
            <w:tcW w:type="dxa" w:w="2436"/>
            <w:vAlign w:val="center"/>
          </w:tcPr>
          <w:p>
            <w:r/>
            <w:r>
              <w:rPr>
                <w:rFonts w:ascii="Figtree" w:hAnsi="Figtree"/>
                <w:b w:val="0"/>
                <w:i w:val="0"/>
                <w:sz w:val="22"/>
              </w:rPr>
              <w:t>High — critical path for settlement booking</w:t>
            </w:r>
          </w:p>
        </w:tc>
      </w:tr>
      <w:tr>
        <w:trPr>
          <w:trHeight w:val="454" w:hRule="atLeast"/>
        </w:trPr>
        <w:tc>
          <w:tcPr>
            <w:tcW w:type="dxa" w:w="2436"/>
            <w:vAlign w:val="center"/>
          </w:tcPr>
          <w:p>
            <w:r/>
            <w:r>
              <w:rPr>
                <w:rFonts w:ascii="Figtree" w:hAnsi="Figtree"/>
                <w:b w:val="0"/>
                <w:i w:val="0"/>
                <w:sz w:val="22"/>
              </w:rPr>
              <w:t>Yakeen national identity integration</w:t>
            </w:r>
          </w:p>
        </w:tc>
        <w:tc>
          <w:tcPr>
            <w:tcW w:type="dxa" w:w="2436"/>
            <w:vAlign w:val="center"/>
          </w:tcPr>
          <w:p>
            <w:r/>
            <w:r>
              <w:rPr>
                <w:rFonts w:ascii="Figtree" w:hAnsi="Figtree"/>
                <w:b w:val="0"/>
                <w:i w:val="0"/>
                <w:sz w:val="22"/>
              </w:rPr>
              <w:t>Integration</w:t>
            </w:r>
          </w:p>
        </w:tc>
        <w:tc>
          <w:tcPr>
            <w:tcW w:type="dxa" w:w="2436"/>
            <w:vAlign w:val="center"/>
          </w:tcPr>
          <w:p>
            <w:r/>
            <w:r>
              <w:rPr>
                <w:rFonts w:ascii="Figtree" w:hAnsi="Figtree"/>
                <w:b w:val="0"/>
                <w:i w:val="0"/>
                <w:sz w:val="22"/>
              </w:rPr>
              <w:t>Al Rajhi Bank / NIC</w:t>
            </w:r>
          </w:p>
        </w:tc>
        <w:tc>
          <w:tcPr>
            <w:tcW w:type="dxa" w:w="2436"/>
            <w:vAlign w:val="center"/>
          </w:tcPr>
          <w:p>
            <w:r/>
            <w:r>
              <w:rPr>
                <w:rFonts w:ascii="Figtree" w:hAnsi="Figtree"/>
                <w:b w:val="0"/>
                <w:i w:val="0"/>
                <w:sz w:val="22"/>
              </w:rPr>
              <w:t>Medium — required for investor onboarding</w:t>
            </w:r>
          </w:p>
        </w:tc>
      </w:tr>
      <w:tr>
        <w:trPr>
          <w:trHeight w:val="454" w:hRule="atLeast"/>
        </w:trPr>
        <w:tc>
          <w:tcPr>
            <w:tcW w:type="dxa" w:w="2436"/>
            <w:vAlign w:val="center"/>
          </w:tcPr>
          <w:p>
            <w:r/>
            <w:r>
              <w:rPr>
                <w:rFonts w:ascii="Figtree" w:hAnsi="Figtree"/>
                <w:b w:val="0"/>
                <w:i w:val="0"/>
                <w:sz w:val="22"/>
              </w:rPr>
              <w:t>Sharia board availability</w:t>
            </w:r>
          </w:p>
        </w:tc>
        <w:tc>
          <w:tcPr>
            <w:tcW w:type="dxa" w:w="2436"/>
            <w:vAlign w:val="center"/>
          </w:tcPr>
          <w:p>
            <w:r/>
            <w:r>
              <w:rPr>
                <w:rFonts w:ascii="Figtree" w:hAnsi="Figtree"/>
                <w:b w:val="0"/>
                <w:i w:val="0"/>
                <w:sz w:val="22"/>
              </w:rPr>
              <w:t>Business</w:t>
            </w:r>
          </w:p>
        </w:tc>
        <w:tc>
          <w:tcPr>
            <w:tcW w:type="dxa" w:w="2436"/>
            <w:vAlign w:val="center"/>
          </w:tcPr>
          <w:p>
            <w:r/>
            <w:r>
              <w:rPr>
                <w:rFonts w:ascii="Figtree" w:hAnsi="Figtree"/>
                <w:b w:val="0"/>
                <w:i w:val="0"/>
                <w:sz w:val="22"/>
              </w:rPr>
              <w:t>Al Rajhi Bank</w:t>
            </w:r>
          </w:p>
        </w:tc>
        <w:tc>
          <w:tcPr>
            <w:tcW w:type="dxa" w:w="2436"/>
            <w:vAlign w:val="center"/>
          </w:tcPr>
          <w:p>
            <w:r/>
            <w:r>
              <w:rPr>
                <w:rFonts w:ascii="Figtree" w:hAnsi="Figtree"/>
                <w:b w:val="0"/>
                <w:i w:val="0"/>
                <w:sz w:val="22"/>
              </w:rPr>
              <w:t>Medium — required for product certification gates</w:t>
            </w:r>
          </w:p>
        </w:tc>
      </w:tr>
      <w:tr>
        <w:trPr>
          <w:trHeight w:val="454" w:hRule="atLeast"/>
        </w:trPr>
        <w:tc>
          <w:tcPr>
            <w:tcW w:type="dxa" w:w="2436"/>
            <w:vAlign w:val="center"/>
          </w:tcPr>
          <w:p>
            <w:r/>
            <w:r>
              <w:rPr>
                <w:rFonts w:ascii="Figtree" w:hAnsi="Figtree"/>
                <w:b w:val="0"/>
                <w:i w:val="0"/>
                <w:sz w:val="22"/>
              </w:rPr>
              <w:t>SAMA regulatory guidance on tokenized products</w:t>
            </w:r>
          </w:p>
        </w:tc>
        <w:tc>
          <w:tcPr>
            <w:tcW w:type="dxa" w:w="2436"/>
            <w:vAlign w:val="center"/>
          </w:tcPr>
          <w:p>
            <w:r/>
            <w:r>
              <w:rPr>
                <w:rFonts w:ascii="Figtree" w:hAnsi="Figtree"/>
                <w:b w:val="0"/>
                <w:i w:val="0"/>
                <w:sz w:val="22"/>
              </w:rPr>
              <w:t>Regulatory</w:t>
            </w:r>
          </w:p>
        </w:tc>
        <w:tc>
          <w:tcPr>
            <w:tcW w:type="dxa" w:w="2436"/>
            <w:vAlign w:val="center"/>
          </w:tcPr>
          <w:p>
            <w:r/>
            <w:r>
              <w:rPr>
                <w:rFonts w:ascii="Figtree" w:hAnsi="Figtree"/>
                <w:b w:val="0"/>
                <w:i w:val="0"/>
                <w:sz w:val="22"/>
              </w:rPr>
              <w:t>SAMA</w:t>
            </w:r>
          </w:p>
        </w:tc>
        <w:tc>
          <w:tcPr>
            <w:tcW w:type="dxa" w:w="2436"/>
            <w:vAlign w:val="center"/>
          </w:tcPr>
          <w:p>
            <w:r/>
            <w:r>
              <w:rPr>
                <w:rFonts w:ascii="Figtree" w:hAnsi="Figtree"/>
                <w:b w:val="0"/>
                <w:i w:val="0"/>
                <w:sz w:val="22"/>
              </w:rPr>
              <w:t>Low — current framework sufficient for initial scope</w:t>
            </w:r>
          </w:p>
        </w:tc>
      </w:tr>
      <w:tr>
        <w:trPr>
          <w:trHeight w:val="454" w:hRule="atLeast"/>
        </w:trPr>
        <w:tc>
          <w:tcPr>
            <w:tcW w:type="dxa" w:w="2436"/>
            <w:vAlign w:val="center"/>
          </w:tcPr>
          <w:p>
            <w:r/>
            <w:r>
              <w:rPr>
                <w:rFonts w:ascii="Figtree" w:hAnsi="Figtree"/>
                <w:b w:val="0"/>
                <w:i w:val="0"/>
                <w:sz w:val="22"/>
              </w:rPr>
              <w:t>Custody provider selection</w:t>
            </w:r>
          </w:p>
        </w:tc>
        <w:tc>
          <w:tcPr>
            <w:tcW w:type="dxa" w:w="2436"/>
            <w:vAlign w:val="center"/>
          </w:tcPr>
          <w:p>
            <w:r/>
            <w:r>
              <w:rPr>
                <w:rFonts w:ascii="Figtree" w:hAnsi="Figtree"/>
                <w:b w:val="0"/>
                <w:i w:val="0"/>
                <w:sz w:val="22"/>
              </w:rPr>
              <w:t>Technical</w:t>
            </w:r>
          </w:p>
        </w:tc>
        <w:tc>
          <w:tcPr>
            <w:tcW w:type="dxa" w:w="2436"/>
            <w:vAlign w:val="center"/>
          </w:tcPr>
          <w:p>
            <w:r/>
            <w:r>
              <w:rPr>
                <w:rFonts w:ascii="Figtree" w:hAnsi="Figtree"/>
                <w:b w:val="0"/>
                <w:i w:val="0"/>
                <w:sz w:val="22"/>
              </w:rPr>
              <w:t>Joint decision</w:t>
            </w:r>
          </w:p>
        </w:tc>
        <w:tc>
          <w:tcPr>
            <w:tcW w:type="dxa" w:w="2436"/>
            <w:vAlign w:val="center"/>
          </w:tcPr>
          <w:p>
            <w:r/>
            <w:r>
              <w:rPr>
                <w:rFonts w:ascii="Figtree" w:hAnsi="Figtree"/>
                <w:b w:val="0"/>
                <w:i w:val="0"/>
                <w:sz w:val="22"/>
              </w:rPr>
              <w:t>Medium — affects key management architecture</w:t>
            </w:r>
          </w:p>
        </w:tc>
      </w:tr>
    </w:tbl>
    <w:p>
      <w:r>
        <w:br w:type="page"/>
      </w:r>
    </w:p>
    <w:p>
      <w:pPr>
        <w:pStyle w:val="H2"/>
        <w:numPr>
          <w:ilvl w:val="1"/>
          <w:numId w:val="1"/>
        </w:numPr>
      </w:pPr>
      <w:r>
        <w:t>Relevant Delivery Evidence</w:t>
      </w:r>
    </w:p>
    <w:p>
      <w:pPr>
        <w:pStyle w:val="H3"/>
        <w:numPr>
          <w:ilvl w:val="2"/>
          <w:numId w:val="1"/>
        </w:numPr>
      </w:pPr>
      <w:r>
        <w:t>Reference Deployments</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Client</w:t>
            </w:r>
          </w:p>
        </w:tc>
        <w:tc>
          <w:tcPr>
            <w:tcW w:type="dxa" w:w="2436"/>
            <w:vAlign w:val="center"/>
            <w:shd w:fill="000099" w:val="clear"/>
          </w:tcPr>
          <w:p>
            <w:r>
              <w:rPr>
                <w:b/>
                <w:color w:val="FFFFFF"/>
              </w:rPr>
            </w:r>
            <w:r>
              <w:rPr>
                <w:rFonts w:ascii="Figtree" w:hAnsi="Figtree"/>
                <w:b/>
                <w:i w:val="0"/>
                <w:color w:val="FFFFFF"/>
                <w:sz w:val="22"/>
              </w:rPr>
              <w:t>Region</w:t>
            </w:r>
          </w:p>
        </w:tc>
        <w:tc>
          <w:tcPr>
            <w:tcW w:type="dxa" w:w="2436"/>
            <w:vAlign w:val="center"/>
            <w:shd w:fill="000099" w:val="clear"/>
          </w:tcPr>
          <w:p>
            <w:r>
              <w:rPr>
                <w:b/>
                <w:color w:val="FFFFFF"/>
              </w:rPr>
            </w:r>
            <w:r>
              <w:rPr>
                <w:rFonts w:ascii="Figtree" w:hAnsi="Figtree"/>
                <w:b/>
                <w:i w:val="0"/>
                <w:color w:val="FFFFFF"/>
                <w:sz w:val="22"/>
              </w:rPr>
              <w:t>Asset Class</w:t>
            </w:r>
          </w:p>
        </w:tc>
        <w:tc>
          <w:tcPr>
            <w:tcW w:type="dxa" w:w="2436"/>
            <w:vAlign w:val="center"/>
            <w:shd w:fill="000099" w:val="clear"/>
          </w:tcPr>
          <w:p>
            <w:r>
              <w:rPr>
                <w:b/>
                <w:color w:val="FFFFFF"/>
              </w:rPr>
            </w:r>
            <w:r>
              <w:rPr>
                <w:rFonts w:ascii="Figtree" w:hAnsi="Figtree"/>
                <w:b/>
                <w:i w:val="0"/>
                <w:color w:val="FFFFFF"/>
                <w:sz w:val="22"/>
              </w:rPr>
              <w:t>Relevance to Al Rajhi Bank</w:t>
            </w:r>
          </w:p>
        </w:tc>
      </w:tr>
      <w:tr>
        <w:trPr>
          <w:trHeight w:val="454" w:hRule="atLeast"/>
        </w:trPr>
        <w:tc>
          <w:tcPr>
            <w:tcW w:type="dxa" w:w="2436"/>
            <w:vAlign w:val="center"/>
          </w:tcPr>
          <w:p>
            <w:r/>
            <w:r>
              <w:rPr>
                <w:rFonts w:ascii="Figtree" w:hAnsi="Figtree"/>
                <w:b w:val="0"/>
                <w:i w:val="0"/>
                <w:sz w:val="22"/>
              </w:rPr>
              <w:t>Islamic Development Bank</w:t>
            </w:r>
          </w:p>
        </w:tc>
        <w:tc>
          <w:tcPr>
            <w:tcW w:type="dxa" w:w="2436"/>
            <w:vAlign w:val="center"/>
          </w:tcPr>
          <w:p>
            <w:r/>
            <w:r>
              <w:rPr>
                <w:rFonts w:ascii="Figtree" w:hAnsi="Figtree"/>
                <w:b w:val="0"/>
                <w:i w:val="0"/>
                <w:sz w:val="22"/>
              </w:rPr>
              <w:t>Multi-region (57 countries)</w:t>
            </w:r>
          </w:p>
        </w:tc>
        <w:tc>
          <w:tcPr>
            <w:tcW w:type="dxa" w:w="2436"/>
            <w:vAlign w:val="center"/>
          </w:tcPr>
          <w:p>
            <w:r/>
            <w:r>
              <w:rPr>
                <w:rFonts w:ascii="Figtree" w:hAnsi="Figtree"/>
                <w:b w:val="0"/>
                <w:i w:val="0"/>
                <w:sz w:val="22"/>
              </w:rPr>
              <w:t>Subsidy tokens, Sharia-compliant</w:t>
            </w:r>
          </w:p>
        </w:tc>
        <w:tc>
          <w:tcPr>
            <w:tcW w:type="dxa" w:w="2436"/>
            <w:vAlign w:val="center"/>
          </w:tcPr>
          <w:p>
            <w:r/>
            <w:r>
              <w:rPr>
                <w:rFonts w:ascii="Figtree" w:hAnsi="Figtree"/>
                <w:b w:val="0"/>
                <w:i w:val="0"/>
                <w:sz w:val="22"/>
              </w:rPr>
              <w:t>Direct — Sharia-compliant tokenization at sovereign scale</w:t>
            </w:r>
          </w:p>
        </w:tc>
      </w:tr>
      <w:tr>
        <w:trPr>
          <w:trHeight w:val="454" w:hRule="atLeast"/>
        </w:trPr>
        <w:tc>
          <w:tcPr>
            <w:tcW w:type="dxa" w:w="2436"/>
            <w:vAlign w:val="center"/>
          </w:tcPr>
          <w:p>
            <w:r/>
            <w:r>
              <w:rPr>
                <w:rFonts w:ascii="Figtree" w:hAnsi="Figtree"/>
                <w:b w:val="0"/>
                <w:i w:val="0"/>
                <w:sz w:val="22"/>
              </w:rPr>
              <w:t>Saudi Arabia RER</w:t>
            </w:r>
          </w:p>
        </w:tc>
        <w:tc>
          <w:tcPr>
            <w:tcW w:type="dxa" w:w="2436"/>
            <w:vAlign w:val="center"/>
          </w:tcPr>
          <w:p>
            <w:r/>
            <w:r>
              <w:rPr>
                <w:rFonts w:ascii="Figtree" w:hAnsi="Figtree"/>
                <w:b w:val="0"/>
                <w:i w:val="0"/>
                <w:sz w:val="22"/>
              </w:rPr>
              <w:t>KSA</w:t>
            </w:r>
          </w:p>
        </w:tc>
        <w:tc>
          <w:tcPr>
            <w:tcW w:type="dxa" w:w="2436"/>
            <w:vAlign w:val="center"/>
          </w:tcPr>
          <w:p>
            <w:r/>
            <w:r>
              <w:rPr>
                <w:rFonts w:ascii="Figtree" w:hAnsi="Figtree"/>
                <w:b w:val="0"/>
                <w:i w:val="0"/>
                <w:sz w:val="22"/>
              </w:rPr>
              <w:t>Real estate</w:t>
            </w:r>
          </w:p>
        </w:tc>
        <w:tc>
          <w:tcPr>
            <w:tcW w:type="dxa" w:w="2436"/>
            <w:vAlign w:val="center"/>
          </w:tcPr>
          <w:p>
            <w:r/>
            <w:r>
              <w:rPr>
                <w:rFonts w:ascii="Figtree" w:hAnsi="Figtree"/>
                <w:b w:val="0"/>
                <w:i w:val="0"/>
                <w:sz w:val="22"/>
              </w:rPr>
              <w:t>Direct — KSA production deployment, national-scale</w:t>
            </w:r>
          </w:p>
        </w:tc>
      </w:tr>
      <w:tr>
        <w:trPr>
          <w:trHeight w:val="454" w:hRule="atLeast"/>
        </w:trPr>
        <w:tc>
          <w:tcPr>
            <w:tcW w:type="dxa" w:w="2436"/>
            <w:vAlign w:val="center"/>
          </w:tcPr>
          <w:p>
            <w:r/>
            <w:r>
              <w:rPr>
                <w:rFonts w:ascii="Figtree" w:hAnsi="Figtree"/>
                <w:b w:val="0"/>
                <w:i w:val="0"/>
                <w:sz w:val="22"/>
              </w:rPr>
              <w:t>Standard Chartered Bank</w:t>
            </w:r>
          </w:p>
        </w:tc>
        <w:tc>
          <w:tcPr>
            <w:tcW w:type="dxa" w:w="2436"/>
            <w:vAlign w:val="center"/>
          </w:tcPr>
          <w:p>
            <w:r/>
            <w:r>
              <w:rPr>
                <w:rFonts w:ascii="Figtree" w:hAnsi="Figtree"/>
                <w:b w:val="0"/>
                <w:i w:val="0"/>
                <w:sz w:val="22"/>
              </w:rPr>
              <w:t>Asia, Africa, Middle East</w:t>
            </w:r>
          </w:p>
        </w:tc>
        <w:tc>
          <w:tcPr>
            <w:tcW w:type="dxa" w:w="2436"/>
            <w:vAlign w:val="center"/>
          </w:tcPr>
          <w:p>
            <w:r/>
            <w:r>
              <w:rPr>
                <w:rFonts w:ascii="Figtree" w:hAnsi="Figtree"/>
                <w:b w:val="0"/>
                <w:i w:val="0"/>
                <w:sz w:val="22"/>
              </w:rPr>
              <w:t>Securities</w:t>
            </w:r>
          </w:p>
        </w:tc>
        <w:tc>
          <w:tcPr>
            <w:tcW w:type="dxa" w:w="2436"/>
            <w:vAlign w:val="center"/>
          </w:tcPr>
          <w:p>
            <w:r/>
            <w:r>
              <w:rPr>
                <w:rFonts w:ascii="Figtree" w:hAnsi="Figtree"/>
                <w:b w:val="0"/>
                <w:i w:val="0"/>
                <w:sz w:val="22"/>
              </w:rPr>
              <w:t>Direct — multi-jurisdiction bank deployment</w:t>
            </w:r>
          </w:p>
        </w:tc>
      </w:tr>
      <w:tr>
        <w:trPr>
          <w:trHeight w:val="454" w:hRule="atLeast"/>
        </w:trPr>
        <w:tc>
          <w:tcPr>
            <w:tcW w:type="dxa" w:w="2436"/>
            <w:vAlign w:val="center"/>
          </w:tcPr>
          <w:p>
            <w:r/>
            <w:r>
              <w:rPr>
                <w:rFonts w:ascii="Figtree" w:hAnsi="Figtree"/>
                <w:b w:val="0"/>
                <w:i w:val="0"/>
                <w:sz w:val="22"/>
              </w:rPr>
              <w:t>State Bank of India</w:t>
            </w:r>
          </w:p>
        </w:tc>
        <w:tc>
          <w:tcPr>
            <w:tcW w:type="dxa" w:w="2436"/>
            <w:vAlign w:val="center"/>
          </w:tcPr>
          <w:p>
            <w:r/>
            <w:r>
              <w:rPr>
                <w:rFonts w:ascii="Figtree" w:hAnsi="Figtree"/>
                <w:b w:val="0"/>
                <w:i w:val="0"/>
                <w:sz w:val="22"/>
              </w:rPr>
              <w:t>South Asia</w:t>
            </w:r>
          </w:p>
        </w:tc>
        <w:tc>
          <w:tcPr>
            <w:tcW w:type="dxa" w:w="2436"/>
            <w:vAlign w:val="center"/>
          </w:tcPr>
          <w:p>
            <w:r/>
            <w:r>
              <w:rPr>
                <w:rFonts w:ascii="Figtree" w:hAnsi="Figtree"/>
                <w:b w:val="0"/>
                <w:i w:val="0"/>
                <w:sz w:val="22"/>
              </w:rPr>
              <w:t>CBDC</w:t>
            </w:r>
          </w:p>
        </w:tc>
        <w:tc>
          <w:tcPr>
            <w:tcW w:type="dxa" w:w="2436"/>
            <w:vAlign w:val="center"/>
          </w:tcPr>
          <w:p>
            <w:r/>
            <w:r>
              <w:rPr>
                <w:rFonts w:ascii="Figtree" w:hAnsi="Figtree"/>
                <w:b w:val="0"/>
                <w:i w:val="0"/>
                <w:sz w:val="22"/>
              </w:rPr>
              <w:t>Relevant — national-scale institutional deployment</w:t>
            </w:r>
          </w:p>
        </w:tc>
      </w:tr>
      <w:tr>
        <w:trPr>
          <w:trHeight w:val="454" w:hRule="atLeast"/>
        </w:trPr>
        <w:tc>
          <w:tcPr>
            <w:tcW w:type="dxa" w:w="2436"/>
            <w:vAlign w:val="center"/>
          </w:tcPr>
          <w:p>
            <w:r/>
            <w:r>
              <w:rPr>
                <w:rFonts w:ascii="Figtree" w:hAnsi="Figtree"/>
                <w:b w:val="0"/>
                <w:i w:val="0"/>
                <w:sz w:val="22"/>
              </w:rPr>
              <w:t>OCBC Bank</w:t>
            </w:r>
          </w:p>
        </w:tc>
        <w:tc>
          <w:tcPr>
            <w:tcW w:type="dxa" w:w="2436"/>
            <w:vAlign w:val="center"/>
          </w:tcPr>
          <w:p>
            <w:r/>
            <w:r>
              <w:rPr>
                <w:rFonts w:ascii="Figtree" w:hAnsi="Figtree"/>
                <w:b w:val="0"/>
                <w:i w:val="0"/>
                <w:sz w:val="22"/>
              </w:rPr>
              <w:t>Southeast Asia</w:t>
            </w:r>
          </w:p>
        </w:tc>
        <w:tc>
          <w:tcPr>
            <w:tcW w:type="dxa" w:w="2436"/>
            <w:vAlign w:val="center"/>
          </w:tcPr>
          <w:p>
            <w:r/>
            <w:r>
              <w:rPr>
                <w:rFonts w:ascii="Figtree" w:hAnsi="Figtree"/>
                <w:b w:val="0"/>
                <w:i w:val="0"/>
                <w:sz w:val="22"/>
              </w:rPr>
              <w:t>Securities, bonds, real estate</w:t>
            </w:r>
          </w:p>
        </w:tc>
        <w:tc>
          <w:tcPr>
            <w:tcW w:type="dxa" w:w="2436"/>
            <w:vAlign w:val="center"/>
          </w:tcPr>
          <w:p>
            <w:r/>
            <w:r>
              <w:rPr>
                <w:rFonts w:ascii="Figtree" w:hAnsi="Figtree"/>
                <w:b w:val="0"/>
                <w:i w:val="0"/>
                <w:sz w:val="22"/>
              </w:rPr>
              <w:t>Relevant — regulated bank, multi-asset</w:t>
            </w:r>
          </w:p>
        </w:tc>
      </w:tr>
      <w:tr>
        <w:trPr>
          <w:trHeight w:val="454" w:hRule="atLeast"/>
        </w:trPr>
        <w:tc>
          <w:tcPr>
            <w:tcW w:type="dxa" w:w="2436"/>
            <w:vAlign w:val="center"/>
          </w:tcPr>
          <w:p>
            <w:r/>
            <w:r>
              <w:rPr>
                <w:rFonts w:ascii="Figtree" w:hAnsi="Figtree"/>
                <w:b w:val="0"/>
                <w:i w:val="0"/>
                <w:sz w:val="22"/>
              </w:rPr>
              <w:t>Commerzbank</w:t>
            </w:r>
          </w:p>
        </w:tc>
        <w:tc>
          <w:tcPr>
            <w:tcW w:type="dxa" w:w="2436"/>
            <w:vAlign w:val="center"/>
          </w:tcPr>
          <w:p>
            <w:r/>
            <w:r>
              <w:rPr>
                <w:rFonts w:ascii="Figtree" w:hAnsi="Figtree"/>
                <w:b w:val="0"/>
                <w:i w:val="0"/>
                <w:sz w:val="22"/>
              </w:rPr>
              <w:t>Europe</w:t>
            </w:r>
          </w:p>
        </w:tc>
        <w:tc>
          <w:tcPr>
            <w:tcW w:type="dxa" w:w="2436"/>
            <w:vAlign w:val="center"/>
          </w:tcPr>
          <w:p>
            <w:r/>
            <w:r>
              <w:rPr>
                <w:rFonts w:ascii="Figtree" w:hAnsi="Figtree"/>
                <w:b w:val="0"/>
                <w:i w:val="0"/>
                <w:sz w:val="22"/>
              </w:rPr>
              <w:t>Exchange-traded products</w:t>
            </w:r>
          </w:p>
        </w:tc>
        <w:tc>
          <w:tcPr>
            <w:tcW w:type="dxa" w:w="2436"/>
            <w:vAlign w:val="center"/>
          </w:tcPr>
          <w:p>
            <w:r/>
            <w:r>
              <w:rPr>
                <w:rFonts w:ascii="Figtree" w:hAnsi="Figtree"/>
                <w:b w:val="0"/>
                <w:i w:val="0"/>
                <w:sz w:val="22"/>
              </w:rPr>
              <w:t>Relevant — hybrid on/off-chain, regulated exchange</w:t>
            </w:r>
          </w:p>
        </w:tc>
      </w:tr>
    </w:tbl>
    <w:p>
      <w:pPr>
        <w:pStyle w:val="H3"/>
        <w:numPr>
          <w:ilvl w:val="2"/>
          <w:numId w:val="1"/>
        </w:numPr>
      </w:pPr>
      <w:r>
        <w:t>Islamic Development Bank — Sharia-Compliant at Sovereign Scale</w:t>
      </w:r>
    </w:p>
    <w:p>
      <w:r>
        <w:rPr>
          <w:rFonts w:ascii="Figtree" w:hAnsi="Figtree"/>
          <w:b w:val="0"/>
          <w:i w:val="0"/>
          <w:sz w:val="22"/>
        </w:rPr>
        <w:t>The Islamic Development Bank engagement is the most directly relevant reference for Al Rajhi Bank. SettleMint delivered a Sharia-compliant blockchain-based subsidy distribution system serving 57 member countries and 1.7 billion people. The system:</w:t>
      </w:r>
    </w:p>
    <w:p>
      <w:pPr>
        <w:pStyle w:val="ListParagraph"/>
        <w:numPr>
          <w:ilvl w:val="0"/>
          <w:numId w:val="4"/>
        </w:numPr>
      </w:pPr>
      <w:r>
        <w:rPr>
          <w:rFonts w:ascii="Figtree" w:hAnsi="Figtree"/>
          <w:b w:val="0"/>
          <w:i w:val="0"/>
          <w:sz w:val="22"/>
        </w:rPr>
        <w:t>Operates under Islamic finance principles with peer-to-peer fund delivery</w:t>
      </w:r>
    </w:p>
    <w:p>
      <w:pPr>
        <w:pStyle w:val="ListParagraph"/>
        <w:numPr>
          <w:ilvl w:val="0"/>
          <w:numId w:val="4"/>
        </w:numPr>
      </w:pPr>
      <w:r>
        <w:rPr>
          <w:rFonts w:ascii="Figtree" w:hAnsi="Figtree"/>
          <w:b w:val="0"/>
          <w:i w:val="0"/>
          <w:sz w:val="22"/>
        </w:rPr>
        <w:t>Handles multi-country distribution with jurisdiction-specific compliance rules</w:t>
      </w:r>
    </w:p>
    <w:p>
      <w:pPr>
        <w:pStyle w:val="ListParagraph"/>
        <w:numPr>
          <w:ilvl w:val="0"/>
          <w:numId w:val="4"/>
        </w:numPr>
      </w:pPr>
      <w:r>
        <w:rPr>
          <w:rFonts w:ascii="Figtree" w:hAnsi="Figtree"/>
          <w:b w:val="0"/>
          <w:i w:val="0"/>
          <w:sz w:val="22"/>
        </w:rPr>
        <w:t>Provides complete audit trails for Sharia governance review</w:t>
      </w:r>
    </w:p>
    <w:p>
      <w:pPr>
        <w:pStyle w:val="ListParagraph"/>
        <w:numPr>
          <w:ilvl w:val="0"/>
          <w:numId w:val="4"/>
        </w:numPr>
      </w:pPr>
      <w:r>
        <w:rPr>
          <w:rFonts w:ascii="Figtree" w:hAnsi="Figtree"/>
          <w:b w:val="0"/>
          <w:i w:val="0"/>
          <w:sz w:val="22"/>
        </w:rPr>
        <w:t>Demonstrates DALP's capability to operate at sovereign scale within Islamic finance frameworks</w:t>
      </w:r>
    </w:p>
    <w:p>
      <w:pPr>
        <w:pStyle w:val="H3"/>
        <w:numPr>
          <w:ilvl w:val="2"/>
          <w:numId w:val="1"/>
        </w:numPr>
      </w:pPr>
      <w:r>
        <w:t>Saudi Arabia RER — Production in KSA</w:t>
      </w:r>
    </w:p>
    <w:p>
      <w:r>
        <w:rPr>
          <w:rFonts w:ascii="Figtree" w:hAnsi="Figtree"/>
          <w:b w:val="0"/>
          <w:i w:val="0"/>
          <w:sz w:val="22"/>
        </w:rPr>
        <w:t>SettleMint serves as the delivery partner for Saudi Arabia's national-scale Real Estate Registry blockchain. This project demonstrates:</w:t>
      </w:r>
    </w:p>
    <w:p>
      <w:pPr>
        <w:pStyle w:val="ListParagraph"/>
        <w:numPr>
          <w:ilvl w:val="0"/>
          <w:numId w:val="4"/>
        </w:numPr>
      </w:pPr>
      <w:r>
        <w:rPr>
          <w:rFonts w:ascii="Figtree" w:hAnsi="Figtree"/>
          <w:b w:val="0"/>
          <w:i w:val="0"/>
          <w:sz w:val="22"/>
        </w:rPr>
        <w:t>Production deployment within KSA</w:t>
      </w:r>
    </w:p>
    <w:p>
      <w:pPr>
        <w:pStyle w:val="ListParagraph"/>
        <w:numPr>
          <w:ilvl w:val="0"/>
          <w:numId w:val="4"/>
        </w:numPr>
      </w:pPr>
      <w:r>
        <w:rPr>
          <w:rFonts w:ascii="Figtree" w:hAnsi="Figtree"/>
          <w:b w:val="0"/>
          <w:i w:val="0"/>
          <w:sz w:val="22"/>
        </w:rPr>
        <w:t>Integration with national identity (Yakeen) and payment rails (Sadad)</w:t>
      </w:r>
    </w:p>
    <w:p>
      <w:pPr>
        <w:pStyle w:val="ListParagraph"/>
        <w:numPr>
          <w:ilvl w:val="0"/>
          <w:numId w:val="4"/>
        </w:numPr>
      </w:pPr>
      <w:r>
        <w:rPr>
          <w:rFonts w:ascii="Figtree" w:hAnsi="Figtree"/>
          <w:b w:val="0"/>
          <w:i w:val="0"/>
          <w:sz w:val="22"/>
        </w:rPr>
        <w:t>Multi-stakeholder governance (PropTechs, banks, government agencies)</w:t>
      </w:r>
    </w:p>
    <w:p>
      <w:pPr>
        <w:pStyle w:val="ListParagraph"/>
        <w:numPr>
          <w:ilvl w:val="0"/>
          <w:numId w:val="4"/>
        </w:numPr>
      </w:pPr>
      <w:r>
        <w:rPr>
          <w:rFonts w:ascii="Figtree" w:hAnsi="Figtree"/>
          <w:b w:val="0"/>
          <w:i w:val="0"/>
          <w:sz w:val="22"/>
        </w:rPr>
        <w:t>Live production transactions since January 2026</w:t>
      </w:r>
    </w:p>
    <w:p>
      <w:r>
        <w:br w:type="page"/>
      </w:r>
    </w:p>
    <w:p>
      <w:pPr>
        <w:pStyle w:val="H2"/>
        <w:numPr>
          <w:ilvl w:val="1"/>
          <w:numId w:val="1"/>
        </w:numPr>
      </w:pPr>
      <w:r>
        <w:t>Appendices</w:t>
      </w:r>
    </w:p>
    <w:p>
      <w:pPr>
        <w:pStyle w:val="H3"/>
        <w:numPr>
          <w:ilvl w:val="2"/>
          <w:numId w:val="1"/>
        </w:numPr>
      </w:pPr>
      <w:r>
        <w:t>Appendix A: Response Matrix</w:t>
      </w:r>
    </w:p>
    <w:p>
      <w:r>
        <w:rPr>
          <w:rFonts w:ascii="Figtree" w:hAnsi="Figtree"/>
          <w:b w:val="0"/>
          <w:i w:val="0"/>
          <w:sz w:val="22"/>
        </w:rPr>
        <w:t>A detailed response matrix mapping every RFP requirement (REQ-01 through REQ-13, RC-01 through RC-06) to specific proposal sections, compliance status, and evidence references is provided as a separate document.</w:t>
      </w:r>
    </w:p>
    <w:p>
      <w:pPr>
        <w:pStyle w:val="H3"/>
        <w:numPr>
          <w:ilvl w:val="2"/>
          <w:numId w:val="1"/>
        </w:numPr>
      </w:pPr>
      <w:r>
        <w:t>Appendix B: Glossary</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Term</w:t>
            </w:r>
          </w:p>
        </w:tc>
        <w:tc>
          <w:tcPr>
            <w:tcW w:type="dxa" w:w="4873"/>
            <w:vAlign w:val="center"/>
            <w:shd w:fill="000099" w:val="clear"/>
          </w:tcPr>
          <w:p>
            <w:r>
              <w:rPr>
                <w:b/>
                <w:color w:val="FFFFFF"/>
              </w:rPr>
            </w:r>
            <w:r>
              <w:rPr>
                <w:rFonts w:ascii="Figtree" w:hAnsi="Figtree"/>
                <w:b/>
                <w:i w:val="0"/>
                <w:color w:val="FFFFFF"/>
                <w:sz w:val="22"/>
              </w:rPr>
              <w:t>Definition</w:t>
            </w:r>
          </w:p>
        </w:tc>
      </w:tr>
      <w:tr>
        <w:trPr>
          <w:trHeight w:val="454" w:hRule="atLeast"/>
        </w:trPr>
        <w:tc>
          <w:tcPr>
            <w:tcW w:type="dxa" w:w="4873"/>
            <w:vAlign w:val="center"/>
          </w:tcPr>
          <w:p>
            <w:r/>
            <w:r>
              <w:rPr>
                <w:rFonts w:ascii="Figtree" w:hAnsi="Figtree"/>
                <w:b w:val="0"/>
                <w:i w:val="0"/>
                <w:sz w:val="22"/>
              </w:rPr>
              <w:t>DALP</w:t>
            </w:r>
          </w:p>
        </w:tc>
        <w:tc>
          <w:tcPr>
            <w:tcW w:type="dxa" w:w="4873"/>
            <w:vAlign w:val="center"/>
          </w:tcPr>
          <w:p>
            <w:r/>
            <w:r>
              <w:rPr>
                <w:rFonts w:ascii="Figtree" w:hAnsi="Figtree"/>
                <w:b w:val="0"/>
                <w:i w:val="0"/>
                <w:sz w:val="22"/>
              </w:rPr>
              <w:t>Digital Asset Lifecycle Platform — SettleMint's production-grade tokenization platform</w:t>
            </w:r>
          </w:p>
        </w:tc>
      </w:tr>
      <w:tr>
        <w:trPr>
          <w:trHeight w:val="454" w:hRule="atLeast"/>
        </w:trPr>
        <w:tc>
          <w:tcPr>
            <w:tcW w:type="dxa" w:w="4873"/>
            <w:vAlign w:val="center"/>
          </w:tcPr>
          <w:p>
            <w:r/>
            <w:r>
              <w:rPr>
                <w:rFonts w:ascii="Figtree" w:hAnsi="Figtree"/>
                <w:b w:val="0"/>
                <w:i w:val="0"/>
                <w:sz w:val="22"/>
              </w:rPr>
              <w:t>SMART Protocol</w:t>
            </w:r>
          </w:p>
        </w:tc>
        <w:tc>
          <w:tcPr>
            <w:tcW w:type="dxa" w:w="4873"/>
            <w:vAlign w:val="center"/>
          </w:tcPr>
          <w:p>
            <w:r/>
            <w:r>
              <w:rPr>
                <w:rFonts w:ascii="Figtree" w:hAnsi="Figtree"/>
                <w:b w:val="0"/>
                <w:i w:val="0"/>
                <w:sz w:val="22"/>
              </w:rPr>
              <w:t>SettleMint Adaptable Regulated Token — ERC-3643 implementation for compliant security tokens</w:t>
            </w:r>
          </w:p>
        </w:tc>
      </w:tr>
      <w:tr>
        <w:trPr>
          <w:trHeight w:val="454" w:hRule="atLeast"/>
        </w:trPr>
        <w:tc>
          <w:tcPr>
            <w:tcW w:type="dxa" w:w="4873"/>
            <w:vAlign w:val="center"/>
          </w:tcPr>
          <w:p>
            <w:r/>
            <w:r>
              <w:rPr>
                <w:rFonts w:ascii="Figtree" w:hAnsi="Figtree"/>
                <w:b w:val="0"/>
                <w:i w:val="0"/>
                <w:sz w:val="22"/>
              </w:rPr>
              <w:t>DALPAsset</w:t>
            </w:r>
          </w:p>
        </w:tc>
        <w:tc>
          <w:tcPr>
            <w:tcW w:type="dxa" w:w="4873"/>
            <w:vAlign w:val="center"/>
          </w:tcPr>
          <w:p>
            <w:r/>
            <w:r>
              <w:rPr>
                <w:rFonts w:ascii="Figtree" w:hAnsi="Figtree"/>
                <w:b w:val="0"/>
                <w:i w:val="0"/>
                <w:sz w:val="22"/>
              </w:rPr>
              <w:t>Configurable token contract supporting runtime feature and compliance module composition</w:t>
            </w:r>
          </w:p>
        </w:tc>
      </w:tr>
      <w:tr>
        <w:trPr>
          <w:trHeight w:val="454" w:hRule="atLeast"/>
        </w:trPr>
        <w:tc>
          <w:tcPr>
            <w:tcW w:type="dxa" w:w="4873"/>
            <w:vAlign w:val="center"/>
          </w:tcPr>
          <w:p>
            <w:r/>
            <w:r>
              <w:rPr>
                <w:rFonts w:ascii="Figtree" w:hAnsi="Figtree"/>
                <w:b w:val="0"/>
                <w:i w:val="0"/>
                <w:sz w:val="22"/>
              </w:rPr>
              <w:t>OnchainID</w:t>
            </w:r>
          </w:p>
        </w:tc>
        <w:tc>
          <w:tcPr>
            <w:tcW w:type="dxa" w:w="4873"/>
            <w:vAlign w:val="center"/>
          </w:tcPr>
          <w:p>
            <w:r/>
            <w:r>
              <w:rPr>
                <w:rFonts w:ascii="Figtree" w:hAnsi="Figtree"/>
                <w:b w:val="0"/>
                <w:i w:val="0"/>
                <w:sz w:val="22"/>
              </w:rPr>
              <w:t>On-chain identity standard (ERC-734/735) for verifiable KYC/AML claims</w:t>
            </w:r>
          </w:p>
        </w:tc>
      </w:tr>
      <w:tr>
        <w:trPr>
          <w:trHeight w:val="454" w:hRule="atLeast"/>
        </w:trPr>
        <w:tc>
          <w:tcPr>
            <w:tcW w:type="dxa" w:w="4873"/>
            <w:vAlign w:val="center"/>
          </w:tcPr>
          <w:p>
            <w:r/>
            <w:r>
              <w:rPr>
                <w:rFonts w:ascii="Figtree" w:hAnsi="Figtree"/>
                <w:b w:val="0"/>
                <w:i w:val="0"/>
                <w:sz w:val="22"/>
              </w:rPr>
              <w:t>XvP Settlement</w:t>
            </w:r>
          </w:p>
        </w:tc>
        <w:tc>
          <w:tcPr>
            <w:tcW w:type="dxa" w:w="4873"/>
            <w:vAlign w:val="center"/>
          </w:tcPr>
          <w:p>
            <w:r/>
            <w:r>
              <w:rPr>
                <w:rFonts w:ascii="Figtree" w:hAnsi="Figtree"/>
                <w:b w:val="0"/>
                <w:i w:val="0"/>
                <w:sz w:val="22"/>
              </w:rPr>
              <w:t>Exchange versus Payment — atomic settlement ensuring simultaneous asset and payment transfer</w:t>
            </w:r>
          </w:p>
        </w:tc>
      </w:tr>
      <w:tr>
        <w:trPr>
          <w:trHeight w:val="454" w:hRule="atLeast"/>
        </w:trPr>
        <w:tc>
          <w:tcPr>
            <w:tcW w:type="dxa" w:w="4873"/>
            <w:vAlign w:val="center"/>
          </w:tcPr>
          <w:p>
            <w:r/>
            <w:r>
              <w:rPr>
                <w:rFonts w:ascii="Figtree" w:hAnsi="Figtree"/>
                <w:b w:val="0"/>
                <w:i w:val="0"/>
                <w:sz w:val="22"/>
              </w:rPr>
              <w:t>AAOIFI</w:t>
            </w:r>
          </w:p>
        </w:tc>
        <w:tc>
          <w:tcPr>
            <w:tcW w:type="dxa" w:w="4873"/>
            <w:vAlign w:val="center"/>
          </w:tcPr>
          <w:p>
            <w:r/>
            <w:r>
              <w:rPr>
                <w:rFonts w:ascii="Figtree" w:hAnsi="Figtree"/>
                <w:b w:val="0"/>
                <w:i w:val="0"/>
                <w:sz w:val="22"/>
              </w:rPr>
              <w:t>Accounting and Auditing Organization for Islamic Financial Institutions</w:t>
            </w:r>
          </w:p>
        </w:tc>
      </w:tr>
      <w:tr>
        <w:trPr>
          <w:trHeight w:val="454" w:hRule="atLeast"/>
        </w:trPr>
        <w:tc>
          <w:tcPr>
            <w:tcW w:type="dxa" w:w="4873"/>
            <w:vAlign w:val="center"/>
          </w:tcPr>
          <w:p>
            <w:r/>
            <w:r>
              <w:rPr>
                <w:rFonts w:ascii="Figtree" w:hAnsi="Figtree"/>
                <w:b w:val="0"/>
                <w:i w:val="0"/>
                <w:sz w:val="22"/>
              </w:rPr>
              <w:t>Mudarabah</w:t>
            </w:r>
          </w:p>
        </w:tc>
        <w:tc>
          <w:tcPr>
            <w:tcW w:type="dxa" w:w="4873"/>
            <w:vAlign w:val="center"/>
          </w:tcPr>
          <w:p>
            <w:r/>
            <w:r>
              <w:rPr>
                <w:rFonts w:ascii="Figtree" w:hAnsi="Figtree"/>
                <w:b w:val="0"/>
                <w:i w:val="0"/>
                <w:sz w:val="22"/>
              </w:rPr>
              <w:t>Islamic profit-sharing partnership where one party provides capital, the other provides management</w:t>
            </w:r>
          </w:p>
        </w:tc>
      </w:tr>
      <w:tr>
        <w:trPr>
          <w:trHeight w:val="454" w:hRule="atLeast"/>
        </w:trPr>
        <w:tc>
          <w:tcPr>
            <w:tcW w:type="dxa" w:w="4873"/>
            <w:vAlign w:val="center"/>
          </w:tcPr>
          <w:p>
            <w:r/>
            <w:r>
              <w:rPr>
                <w:rFonts w:ascii="Figtree" w:hAnsi="Figtree"/>
                <w:b w:val="0"/>
                <w:i w:val="0"/>
                <w:sz w:val="22"/>
              </w:rPr>
              <w:t>Murabaha</w:t>
            </w:r>
          </w:p>
        </w:tc>
        <w:tc>
          <w:tcPr>
            <w:tcW w:type="dxa" w:w="4873"/>
            <w:vAlign w:val="center"/>
          </w:tcPr>
          <w:p>
            <w:r/>
            <w:r>
              <w:rPr>
                <w:rFonts w:ascii="Figtree" w:hAnsi="Figtree"/>
                <w:b w:val="0"/>
                <w:i w:val="0"/>
                <w:sz w:val="22"/>
              </w:rPr>
              <w:t>Islamic cost-plus financing where the bank purchases an asset and resells at an agreed markup</w:t>
            </w:r>
          </w:p>
        </w:tc>
      </w:tr>
      <w:tr>
        <w:trPr>
          <w:trHeight w:val="454" w:hRule="atLeast"/>
        </w:trPr>
        <w:tc>
          <w:tcPr>
            <w:tcW w:type="dxa" w:w="4873"/>
            <w:vAlign w:val="center"/>
          </w:tcPr>
          <w:p>
            <w:r/>
            <w:r>
              <w:rPr>
                <w:rFonts w:ascii="Figtree" w:hAnsi="Figtree"/>
                <w:b w:val="0"/>
                <w:i w:val="0"/>
                <w:sz w:val="22"/>
              </w:rPr>
              <w:t>Wakala</w:t>
            </w:r>
          </w:p>
        </w:tc>
        <w:tc>
          <w:tcPr>
            <w:tcW w:type="dxa" w:w="4873"/>
            <w:vAlign w:val="center"/>
          </w:tcPr>
          <w:p>
            <w:r/>
            <w:r>
              <w:rPr>
                <w:rFonts w:ascii="Figtree" w:hAnsi="Figtree"/>
                <w:b w:val="0"/>
                <w:i w:val="0"/>
                <w:sz w:val="22"/>
              </w:rPr>
              <w:t>Islamic agency contract where one party acts as agent for investment on behalf of the principal</w:t>
            </w:r>
          </w:p>
        </w:tc>
      </w:tr>
      <w:tr>
        <w:trPr>
          <w:trHeight w:val="454" w:hRule="atLeast"/>
        </w:trPr>
        <w:tc>
          <w:tcPr>
            <w:tcW w:type="dxa" w:w="4873"/>
            <w:vAlign w:val="center"/>
          </w:tcPr>
          <w:p>
            <w:r/>
            <w:r>
              <w:rPr>
                <w:rFonts w:ascii="Figtree" w:hAnsi="Figtree"/>
                <w:b w:val="0"/>
                <w:i w:val="0"/>
                <w:sz w:val="22"/>
              </w:rPr>
              <w:t>Sukuk</w:t>
            </w:r>
          </w:p>
        </w:tc>
        <w:tc>
          <w:tcPr>
            <w:tcW w:type="dxa" w:w="4873"/>
            <w:vAlign w:val="center"/>
          </w:tcPr>
          <w:p>
            <w:r/>
            <w:r>
              <w:rPr>
                <w:rFonts w:ascii="Figtree" w:hAnsi="Figtree"/>
                <w:b w:val="0"/>
                <w:i w:val="0"/>
                <w:sz w:val="22"/>
              </w:rPr>
              <w:t>Islamic equivalent of bonds — certificates representing ownership in an underlying asset</w:t>
            </w:r>
          </w:p>
        </w:tc>
      </w:tr>
      <w:tr>
        <w:trPr>
          <w:trHeight w:val="454" w:hRule="atLeast"/>
        </w:trPr>
        <w:tc>
          <w:tcPr>
            <w:tcW w:type="dxa" w:w="4873"/>
            <w:vAlign w:val="center"/>
          </w:tcPr>
          <w:p>
            <w:r/>
            <w:r>
              <w:rPr>
                <w:rFonts w:ascii="Figtree" w:hAnsi="Figtree"/>
                <w:b w:val="0"/>
                <w:i w:val="0"/>
                <w:sz w:val="22"/>
              </w:rPr>
              <w:t>SAMA</w:t>
            </w:r>
          </w:p>
        </w:tc>
        <w:tc>
          <w:tcPr>
            <w:tcW w:type="dxa" w:w="4873"/>
            <w:vAlign w:val="center"/>
          </w:tcPr>
          <w:p>
            <w:r/>
            <w:r>
              <w:rPr>
                <w:rFonts w:ascii="Figtree" w:hAnsi="Figtree"/>
                <w:b w:val="0"/>
                <w:i w:val="0"/>
                <w:sz w:val="22"/>
              </w:rPr>
              <w:t>Saudi Arabian Monetary Authority (now Saudi Central Bank)</w:t>
            </w:r>
          </w:p>
        </w:tc>
      </w:tr>
      <w:tr>
        <w:trPr>
          <w:trHeight w:val="454" w:hRule="atLeast"/>
        </w:trPr>
        <w:tc>
          <w:tcPr>
            <w:tcW w:type="dxa" w:w="4873"/>
            <w:vAlign w:val="center"/>
          </w:tcPr>
          <w:p>
            <w:r/>
            <w:r>
              <w:rPr>
                <w:rFonts w:ascii="Figtree" w:hAnsi="Figtree"/>
                <w:b w:val="0"/>
                <w:i w:val="0"/>
                <w:sz w:val="22"/>
              </w:rPr>
              <w:t>CMA</w:t>
            </w:r>
          </w:p>
        </w:tc>
        <w:tc>
          <w:tcPr>
            <w:tcW w:type="dxa" w:w="4873"/>
            <w:vAlign w:val="center"/>
          </w:tcPr>
          <w:p>
            <w:r/>
            <w:r>
              <w:rPr>
                <w:rFonts w:ascii="Figtree" w:hAnsi="Figtree"/>
                <w:b w:val="0"/>
                <w:i w:val="0"/>
                <w:sz w:val="22"/>
              </w:rPr>
              <w:t>Capital Market Authority of Saudi Arabia</w:t>
            </w:r>
          </w:p>
        </w:tc>
      </w:tr>
    </w:tbl>
    <w:p>
      <w:pPr>
        <w:pStyle w:val="H3"/>
        <w:numPr>
          <w:ilvl w:val="2"/>
          <w:numId w:val="1"/>
        </w:numPr>
      </w:pPr>
      <w:r>
        <w:t>Appendix C: IP and Confidentiality Statement</w:t>
      </w:r>
    </w:p>
    <w:p>
      <w:r>
        <w:rPr>
          <w:rFonts w:ascii="Figtree" w:hAnsi="Figtree"/>
          <w:b w:val="0"/>
          <w:i w:val="0"/>
          <w:sz w:val="22"/>
        </w:rPr>
        <w:t>This proposal contains no internal tool names, code snippets, file paths, or internal project references. All technical descriptions use client-facing terminology appropriate for external communication. Document metadata has been reviewed to ensure no internal information leakage.</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