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BNP Paribas's Programme Objectives</w:t>
            <w:rPr>
              <w:sz w:val="22"/>
              <w:rFonts w:ascii="Figtree" w:hAnsi="Figtree"/>
            </w:rPr>
          </w:r>
        </w:p>
        <w:p>
          <w:pPr>
            <w:ind w:left="1440"/>
          </w:pPr>
          <w:r>
            <w:t xml:space="preserve">The Fund Distribution Challenge</w:t>
            <w:rPr>
              <w:sz w:val="22"/>
              <w:rFonts w:ascii="Figtree" w:hAnsi="Figtree"/>
            </w:rPr>
          </w:r>
        </w:p>
        <w:p>
          <w:pPr>
            <w:ind w:left="720"/>
          </w:pPr>
          <w:r>
            <w:t xml:space="preserve">Proposed DALP Operating Model for Tokenized Funds</w:t>
            <w:rPr>
              <w:sz w:val="22"/>
              <w:rFonts w:ascii="Figtree" w:hAnsi="Figtree"/>
            </w:rPr>
          </w:r>
        </w:p>
        <w:p>
          <w:pPr>
            <w:ind w:left="1440"/>
          </w:pPr>
          <w:r>
            <w:t xml:space="preserve">Fund Lifecycle Coverage</w:t>
            <w:rPr>
              <w:sz w:val="22"/>
              <w:rFonts w:ascii="Figtree" w:hAnsi="Figtree"/>
            </w:rPr>
          </w:r>
        </w:p>
        <w:p>
          <w:pPr>
            <w:ind w:left="1440"/>
          </w:pPr>
          <w:r>
            <w:t xml:space="preserve">Fund Configuration Parameters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Enterprise Integration for BNP Paribas</w:t>
            <w:rPr>
              <w:sz w:val="22"/>
              <w:rFonts w:ascii="Figtree" w:hAnsi="Figtree"/>
            </w:rPr>
          </w:r>
        </w:p>
        <w:p>
          <w:pPr>
            <w:ind w:left="1440"/>
          </w:pPr>
          <w:r>
            <w:t xml:space="preserve">NAV Feed Integration</w:t>
            <w:rPr>
              <w:sz w:val="22"/>
              <w:rFonts w:ascii="Figtree" w:hAnsi="Figtree"/>
            </w:rPr>
          </w:r>
        </w:p>
        <w:p>
          <w:pPr>
            <w:ind w:left="720"/>
          </w:pPr>
          <w:r>
            <w:t xml:space="preserve">Identity, Compliance, and MiCA/UCITS Controls</w:t>
            <w:rPr>
              <w:sz w:val="22"/>
              <w:rFonts w:ascii="Figtree" w:hAnsi="Figtree"/>
            </w:rPr>
          </w:r>
        </w:p>
        <w:p>
          <w:pPr>
            <w:ind w:left="1440"/>
          </w:pPr>
          <w:r>
            <w:t xml:space="preserve">Multi-Jurisdiction Fund Compliance</w:t>
            <w:rPr>
              <w:sz w:val="22"/>
              <w:rFonts w:ascii="Figtree" w:hAnsi="Figtree"/>
            </w:rPr>
          </w:r>
        </w:p>
        <w:p>
          <w:pPr>
            <w:ind w:left="1440"/>
          </w:pPr>
          <w:r>
            <w:t xml:space="preserve">Investor Classification</w:t>
            <w:rPr>
              <w:sz w:val="22"/>
              <w:rFonts w:ascii="Figtree" w:hAnsi="Figtree"/>
            </w:rPr>
          </w:r>
        </w:p>
        <w:p>
          <w:pPr>
            <w:ind w:left="720"/>
          </w:pPr>
          <w:r>
            <w:t xml:space="preserve">Distribution, NAV Processing, and Lifecycle Management</w:t>
            <w:rPr>
              <w:sz w:val="22"/>
              <w:rFonts w:ascii="Figtree" w:hAnsi="Figtree"/>
            </w:rPr>
          </w:r>
        </w:p>
        <w:p>
          <w:pPr>
            <w:ind w:left="1440"/>
          </w:pPr>
          <w:r>
            <w:t xml:space="preserve">Subscription and Redemption Workflow</w:t>
            <w:rPr>
              <w:sz w:val="22"/>
              <w:rFonts w:ascii="Figtree" w:hAnsi="Figtree"/>
            </w:rPr>
          </w:r>
        </w:p>
        <w:p>
          <w:pPr>
            <w:ind w:left="1440"/>
          </w:pPr>
          <w:r>
            <w:t xml:space="preserve">Distribution Processing</w:t>
            <w:rPr>
              <w:sz w:val="22"/>
              <w:rFonts w:ascii="Figtree" w:hAnsi="Figtree"/>
            </w:rPr>
          </w:r>
        </w:p>
        <w:p>
          <w:pPr>
            <w:ind w:left="720"/>
          </w:pPr>
          <w:r>
            <w:t xml:space="preserve">Security, Resilience, and Operational Assurance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w:t>
            <w:rPr>
              <w:sz w:val="22"/>
              <w:rFonts w:ascii="Figtree" w:hAnsi="Figtree"/>
            </w:rPr>
          </w:r>
        </w:p>
        <w:p>
          <w:pPr>
            <w:ind w:left="720"/>
          </w:pPr>
          <w:r>
            <w:t xml:space="preserve">Current Coverage, Dependencies, and Qualified Gaps</w:t>
            <w:rPr>
              <w:sz w:val="22"/>
              <w:rFonts w:ascii="Figtree" w:hAnsi="Figtree"/>
            </w:rPr>
          </w:r>
        </w:p>
        <w:p>
          <w:pPr>
            <w:ind w:left="1440"/>
          </w:pPr>
          <w:r>
            <w:t xml:space="preserve">Coverage Summary</w:t>
            <w:rPr>
              <w:sz w:val="22"/>
              <w:rFonts w:ascii="Figtree" w:hAnsi="Figtree"/>
            </w:rPr>
          </w:r>
        </w:p>
        <w:p>
          <w:pPr>
            <w:ind w:left="1440"/>
          </w:pPr>
          <w:r>
            <w:t xml:space="preserve">Qualified Gaps</w:t>
            <w:rPr>
              <w:sz w:val="22"/>
              <w:rFonts w:ascii="Figtree" w:hAnsi="Figtree"/>
            </w:rPr>
          </w:r>
        </w:p>
        <w:p>
          <w:pPr>
            <w:ind w:left="720"/>
          </w:pPr>
          <w:r>
            <w:t xml:space="preserve">Relevant Delivery Evidence</w:t>
            <w:rPr>
              <w:sz w:val="22"/>
              <w:rFonts w:ascii="Figtree" w:hAnsi="Figtree"/>
            </w:rPr>
          </w:r>
        </w:p>
        <w:p>
          <w:pPr>
            <w:ind w:left="1440"/>
          </w:pPr>
          <w:r>
            <w:t xml:space="preserve">KBC Securities — Fund-Like Operations</w:t>
            <w:rPr>
              <w:sz w:val="22"/>
              <w:rFonts w:ascii="Figtree" w:hAnsi="Figtree"/>
            </w:rPr>
          </w:r>
        </w:p>
        <w:p>
          <w:pPr>
            <w:ind w:left="720"/>
          </w:pPr>
          <w:r>
            <w:t xml:space="preserve">Appendices</w:t>
            <w:rPr>
              <w:sz w:val="22"/>
              <w:rFonts w:ascii="Figtree" w:hAnsi="Figtree"/>
            </w:rPr>
          </w:r>
        </w:p>
        <w:p>
          <w:pPr>
            <w:ind w:left="1440"/>
          </w:pPr>
          <w:r>
            <w:t xml:space="preserve">Appendix A: 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Funds Distribution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BNP Paribas</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BNP-PARIBAS-RFP-TOKENIZED-FUNDS-202603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BNP Paribas's Programme Objectives</w:t>
      </w:r>
    </w:p>
    <w:p>
      <w:pPr>
        <w:pStyle w:val="ListParagraph"/>
        <w:numPr>
          <w:ilvl w:val="0"/>
          <w:numId w:val="4"/>
        </w:numPr>
      </w:pPr>
      <w:r>
        <w:rPr>
          <w:rFonts w:ascii="Figtree" w:hAnsi="Figtree"/>
          <w:b w:val="0"/>
          <w:i w:val="0"/>
          <w:sz w:val="22"/>
        </w:rPr>
        <w:t>Proposed DALP Operating Model for Tokenized Funds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Fund-Specific Smart Contract Architecture</w:t>
      </w:r>
    </w:p>
    <w:p>
      <w:pPr>
        <w:pStyle w:val="ListParagraph"/>
        <w:numPr>
          <w:ilvl w:val="0"/>
          <w:numId w:val="4"/>
        </w:numPr>
      </w:pPr>
      <w:r>
        <w:rPr>
          <w:rFonts w:ascii="Figtree" w:hAnsi="Figtree"/>
          <w:b w:val="0"/>
          <w:i w:val="0"/>
          <w:sz w:val="22"/>
        </w:rPr>
        <w:t>Identity, Compliance, and MiCA/UCITS Controls</w:t>
      </w:r>
    </w:p>
    <w:p>
      <w:pPr>
        <w:pStyle w:val="ListParagraph"/>
        <w:numPr>
          <w:ilvl w:val="0"/>
          <w:numId w:val="4"/>
        </w:numPr>
      </w:pPr>
      <w:r>
        <w:rPr>
          <w:rFonts w:ascii="Figtree" w:hAnsi="Figtree"/>
          <w:b w:val="0"/>
          <w:i w:val="0"/>
          <w:sz w:val="22"/>
        </w:rPr>
        <w:t>Distribution, NAV Processing, and Lifecycle Management</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BNP Paribas has identified tokenized fund distribution as a strategic capability for transforming its asset servicing and fund administration operations. As the world's largest custodian by assets under custody and a leading fund administrator, BNP Paribas is uniquely positioned to define how tokenized funds are distributed, settled, and serviced across European and global markets.</w:t>
      </w:r>
    </w:p>
    <w:p>
      <w:r>
        <w:rPr>
          <w:rFonts w:ascii="Figtree" w:hAnsi="Figtree"/>
          <w:b w:val="0"/>
          <w:i w:val="0"/>
          <w:sz w:val="22"/>
        </w:rPr>
        <w:t>SettleMint's Digital Asset Lifecycle Platform (DALP) provides the infrastructure for the complete fund tokenization lifecycle — from fund unit creation and distribution through NAV-based subscription and redemption, transfer agent automation, and regulatory reporting — with MiCA compliance and UCITS/AIFMD fund governance controls embedded at the smart contract level.</w:t>
      </w:r>
    </w:p>
    <w:p>
      <w:r>
        <w:rPr>
          <w:rFonts w:ascii="Figtree" w:hAnsi="Figtree"/>
          <w:b/>
          <w:i w:val="0"/>
          <w:sz w:val="22"/>
        </w:rPr>
        <w:t>Why DALP fits BNP Paribas's requirements:</w:t>
      </w:r>
    </w:p>
    <w:p>
      <w:pPr>
        <w:pStyle w:val="ListParagraph"/>
        <w:numPr>
          <w:ilvl w:val="0"/>
          <w:numId w:val="4"/>
        </w:numPr>
      </w:pPr>
      <w:r>
        <w:rPr>
          <w:rFonts w:ascii="Figtree" w:hAnsi="Figtree"/>
          <w:b/>
          <w:i w:val="0"/>
          <w:sz w:val="22"/>
        </w:rPr>
        <w:t>Full fund lifecycle coverage.</w:t>
      </w:r>
      <w:r>
        <w:rPr>
          <w:rFonts w:ascii="Figtree" w:hAnsi="Figtree"/>
          <w:b w:val="0"/>
          <w:i w:val="0"/>
          <w:sz w:val="22"/>
        </w:rPr>
        <w:t xml:space="preserve"> DALP manages fund unit issuance, subscription processing, redemption handling, distribution payments, corporate actions, and fund closure through configurable smart contracts. The Fund asset class in DALPAsset supports NAV-based pricing, subscription windows, redemption queues, and transfer restrictions — all configurable without custom development.</w:t>
      </w:r>
    </w:p>
    <w:p>
      <w:pPr>
        <w:pStyle w:val="ListParagraph"/>
        <w:numPr>
          <w:ilvl w:val="0"/>
          <w:numId w:val="4"/>
        </w:numPr>
      </w:pPr>
      <w:r>
        <w:rPr>
          <w:rFonts w:ascii="Figtree" w:hAnsi="Figtree"/>
          <w:b/>
          <w:i w:val="0"/>
          <w:sz w:val="22"/>
        </w:rPr>
        <w:t>Transfer agent automation.</w:t>
      </w:r>
      <w:r>
        <w:rPr>
          <w:rFonts w:ascii="Figtree" w:hAnsi="Figtree"/>
          <w:b w:val="0"/>
          <w:i w:val="0"/>
          <w:sz w:val="22"/>
        </w:rPr>
        <w:t xml:space="preserve"> DALP's configurable compliance modules and approval workflows can automate core transfer agent functions: investor eligibility verification, subscription/redemption processing, register maintenance, and distribution calculations. This reduces manual processing while maintaining the audit trails required by fund administrators.</w:t>
      </w:r>
    </w:p>
    <w:p>
      <w:pPr>
        <w:pStyle w:val="ListParagraph"/>
        <w:numPr>
          <w:ilvl w:val="0"/>
          <w:numId w:val="4"/>
        </w:numPr>
      </w:pPr>
      <w:r>
        <w:rPr>
          <w:rFonts w:ascii="Figtree" w:hAnsi="Figtree"/>
          <w:b/>
          <w:i w:val="0"/>
          <w:sz w:val="22"/>
        </w:rPr>
        <w:t>MiCA and UCITS compliance.</w:t>
      </w:r>
      <w:r>
        <w:rPr>
          <w:rFonts w:ascii="Figtree" w:hAnsi="Figtree"/>
          <w:b w:val="0"/>
          <w:i w:val="0"/>
          <w:sz w:val="22"/>
        </w:rPr>
        <w:t xml:space="preserve"> DALP's compliance engine supports MiCA token classification, UCITS distribution rules, AIFMD investor eligibility restrictions, and cross-border fund passport requirements. Compliance modules enforce these rules at the smart contract level, ensuring that every fund unit transfer complies with the applicable regulatory framework.</w:t>
      </w:r>
    </w:p>
    <w:p>
      <w:pPr>
        <w:pStyle w:val="ListParagraph"/>
        <w:numPr>
          <w:ilvl w:val="0"/>
          <w:numId w:val="4"/>
        </w:numPr>
      </w:pPr>
      <w:r>
        <w:rPr>
          <w:rFonts w:ascii="Figtree" w:hAnsi="Figtree"/>
          <w:b/>
          <w:i w:val="0"/>
          <w:sz w:val="22"/>
        </w:rPr>
        <w:t>Production reference in fund operations.</w:t>
      </w:r>
      <w:r>
        <w:rPr>
          <w:rFonts w:ascii="Figtree" w:hAnsi="Figtree"/>
          <w:b w:val="0"/>
          <w:i w:val="0"/>
          <w:sz w:val="22"/>
        </w:rPr>
        <w:t xml:space="preserve"> KBC Securities (Bolero Crowdfunding) deployed DALP for equity crowdfunding with corporate actions, lifecycle events, and fiat-backed token settlement — demonstrating DALP's capability to handle fund-like operations including subscription, distribution, and redemption workflows.</w:t>
      </w:r>
    </w:p>
    <w:p>
      <w:pPr>
        <w:jc w:val="center"/>
      </w:pPr>
      <w:r>
        <w:drawing>
          <wp:inline xmlns:a="http://schemas.openxmlformats.org/drawingml/2006/main" xmlns:pic="http://schemas.openxmlformats.org/drawingml/2006/picture">
            <wp:extent cx="5486400" cy="17564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56488"/>
                    </a:xfrm>
                    <a:prstGeom prst="rect"/>
                  </pic:spPr>
                </pic:pic>
              </a:graphicData>
            </a:graphic>
          </wp:inline>
        </w:drawing>
      </w:r>
    </w:p>
    <w:p>
      <w:r>
        <w:br w:type="page"/>
      </w:r>
    </w:p>
    <w:p>
      <w:pPr>
        <w:pStyle w:val="H2"/>
        <w:numPr>
          <w:ilvl w:val="1"/>
          <w:numId w:val="1"/>
        </w:numPr>
      </w:pPr>
      <w:r>
        <w:t>Understanding BNP Paribas's Programme Objectives</w:t>
      </w:r>
    </w:p>
    <w:p>
      <w:pPr>
        <w:pStyle w:val="H3"/>
        <w:numPr>
          <w:ilvl w:val="2"/>
          <w:numId w:val="1"/>
        </w:numPr>
      </w:pPr>
      <w:r>
        <w:t>The Fund Distribution Challenge</w:t>
      </w:r>
    </w:p>
    <w:p>
      <w:r>
        <w:rPr>
          <w:rFonts w:ascii="Figtree" w:hAnsi="Figtree"/>
          <w:b w:val="0"/>
          <w:i w:val="0"/>
          <w:sz w:val="22"/>
        </w:rPr>
        <w:t>Traditional fund distribution involves multiple intermediaries — transfer agents, fund administrators, distributors, custodians, and settlement systems — each maintaining separate records that require constant reconciliation. A single subscription or redemption can take T+1 to T+3 to settle, with manual processing at multiple points in the chain.</w:t>
      </w:r>
    </w:p>
    <w:p>
      <w:r>
        <w:rPr>
          <w:rFonts w:ascii="Figtree" w:hAnsi="Figtree"/>
          <w:b w:val="0"/>
          <w:i w:val="0"/>
          <w:sz w:val="22"/>
        </w:rPr>
        <w:t>Tokenized fund distribution collapses this intermediary chain. Fund units represented as tokens on a single ledger eliminate the reconciliation burden, enable T+0 or T+1 settlement, and provide real-time visibility into the investor register for all authorized parties.</w:t>
      </w:r>
    </w:p>
    <w:p>
      <w:r>
        <w:rPr>
          <w:rFonts w:ascii="Figtree" w:hAnsi="Figtree"/>
          <w:b w:val="0"/>
          <w:i w:val="0"/>
          <w:sz w:val="22"/>
        </w:rPr>
        <w:t>BNP Paribas's programme objectives:</w:t>
      </w:r>
    </w:p>
    <w:p>
      <w:r>
        <w:rPr>
          <w:rFonts w:ascii="Figtree" w:hAnsi="Figtree"/>
          <w:b/>
          <w:i w:val="0"/>
          <w:sz w:val="22"/>
        </w:rPr>
        <w:t>First, distribution efficiency.</w:t>
      </w:r>
      <w:r>
        <w:rPr>
          <w:rFonts w:ascii="Figtree" w:hAnsi="Figtree"/>
          <w:b w:val="0"/>
          <w:i w:val="0"/>
          <w:sz w:val="22"/>
        </w:rPr>
        <w:t xml:space="preserve"> Reduce the cost and time of fund distribution by automating subscription, redemption, and transfer processing through smart contracts while maintaining regulatory compliance across jurisdictions.</w:t>
      </w:r>
    </w:p>
    <w:p>
      <w:r>
        <w:rPr>
          <w:rFonts w:ascii="Figtree" w:hAnsi="Figtree"/>
          <w:b/>
          <w:i w:val="0"/>
          <w:sz w:val="22"/>
        </w:rPr>
        <w:t>Second, register accuracy.</w:t>
      </w:r>
      <w:r>
        <w:rPr>
          <w:rFonts w:ascii="Figtree" w:hAnsi="Figtree"/>
          <w:b w:val="0"/>
          <w:i w:val="0"/>
          <w:sz w:val="22"/>
        </w:rPr>
        <w:t xml:space="preserve"> Provide a single source of truth for fund unit ownership, eliminating reconciliation between transfer agents, custodians, and distributors.</w:t>
      </w:r>
    </w:p>
    <w:p>
      <w:r>
        <w:rPr>
          <w:rFonts w:ascii="Figtree" w:hAnsi="Figtree"/>
          <w:b/>
          <w:i w:val="0"/>
          <w:sz w:val="22"/>
        </w:rPr>
        <w:t>Third, cross-border scalability.</w:t>
      </w:r>
      <w:r>
        <w:rPr>
          <w:rFonts w:ascii="Figtree" w:hAnsi="Figtree"/>
          <w:b w:val="0"/>
          <w:i w:val="0"/>
          <w:sz w:val="22"/>
        </w:rPr>
        <w:t xml:space="preserve"> Support fund distribution across multiple EU jurisdictions under MiCA, UCITS, and AIFMD frameworks, with the ability to extend to non-EU markets.</w:t>
      </w:r>
    </w:p>
    <w:p>
      <w:pPr>
        <w:jc w:val="center"/>
      </w:pPr>
      <w:r>
        <w:drawing>
          <wp:inline xmlns:a="http://schemas.openxmlformats.org/drawingml/2006/main" xmlns:pic="http://schemas.openxmlformats.org/drawingml/2006/picture">
            <wp:extent cx="5486400" cy="3194534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1945340"/>
                    </a:xfrm>
                    <a:prstGeom prst="rect"/>
                  </pic:spPr>
                </pic:pic>
              </a:graphicData>
            </a:graphic>
          </wp:inline>
        </w:drawing>
      </w:r>
    </w:p>
    <w:p>
      <w:r>
        <w:br w:type="page"/>
      </w:r>
    </w:p>
    <w:p>
      <w:pPr>
        <w:pStyle w:val="H2"/>
        <w:numPr>
          <w:ilvl w:val="1"/>
          <w:numId w:val="1"/>
        </w:numPr>
      </w:pPr>
      <w:r>
        <w:t>Proposed DALP Operating Model for Tokenized Funds</w:t>
      </w:r>
    </w:p>
    <w:p>
      <w:pPr>
        <w:pStyle w:val="H3"/>
        <w:numPr>
          <w:ilvl w:val="2"/>
          <w:numId w:val="1"/>
        </w:numPr>
      </w:pPr>
      <w:r>
        <w:t>Fund Lifecycle Coverage</w:t>
      </w:r>
    </w:p>
    <w:p>
      <w:pPr>
        <w:jc w:val="center"/>
      </w:pPr>
      <w:r>
        <w:drawing>
          <wp:inline xmlns:a="http://schemas.openxmlformats.org/drawingml/2006/main" xmlns:pic="http://schemas.openxmlformats.org/drawingml/2006/picture">
            <wp:extent cx="5486400" cy="77047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7704753"/>
                    </a:xfrm>
                    <a:prstGeom prst="rect"/>
                  </pic:spPr>
                </pic:pic>
              </a:graphicData>
            </a:graphic>
          </wp:inline>
        </w:drawing>
      </w:r>
    </w:p>
    <w:p>
      <w:pPr>
        <w:pStyle w:val="H3"/>
        <w:numPr>
          <w:ilvl w:val="2"/>
          <w:numId w:val="1"/>
        </w:numPr>
      </w:pPr>
      <w:r>
        <w:t>Fund Configuration Parameters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Parameter</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DALP Configuration</w:t>
            </w:r>
          </w:p>
        </w:tc>
      </w:tr>
      <w:tr>
        <w:trPr>
          <w:trHeight w:val="454" w:hRule="atLeast"/>
        </w:trPr>
        <w:tc>
          <w:tcPr>
            <w:tcW w:type="dxa" w:w="3249"/>
            <w:vAlign w:val="center"/>
          </w:tcPr>
          <w:p>
            <w:r/>
            <w:r>
              <w:rPr>
                <w:rFonts w:ascii="Figtree" w:hAnsi="Figtree"/>
                <w:b w:val="0"/>
                <w:i w:val="0"/>
                <w:sz w:val="22"/>
              </w:rPr>
              <w:t>Fund type</w:t>
            </w:r>
          </w:p>
        </w:tc>
        <w:tc>
          <w:tcPr>
            <w:tcW w:type="dxa" w:w="3249"/>
            <w:vAlign w:val="center"/>
          </w:tcPr>
          <w:p>
            <w:r/>
            <w:r>
              <w:rPr>
                <w:rFonts w:ascii="Figtree" w:hAnsi="Figtree"/>
                <w:b w:val="0"/>
                <w:i w:val="0"/>
                <w:sz w:val="22"/>
              </w:rPr>
              <w:t>UCITS, AIFM, money market, ETF</w:t>
            </w:r>
          </w:p>
        </w:tc>
        <w:tc>
          <w:tcPr>
            <w:tcW w:type="dxa" w:w="3249"/>
            <w:vAlign w:val="center"/>
          </w:tcPr>
          <w:p>
            <w:r/>
            <w:r>
              <w:rPr>
                <w:rFonts w:ascii="Figtree" w:hAnsi="Figtree"/>
                <w:b w:val="0"/>
                <w:i w:val="0"/>
                <w:sz w:val="22"/>
              </w:rPr>
              <w:t>Compliance module binding</w:t>
            </w:r>
          </w:p>
        </w:tc>
      </w:tr>
      <w:tr>
        <w:trPr>
          <w:trHeight w:val="454" w:hRule="atLeast"/>
        </w:trPr>
        <w:tc>
          <w:tcPr>
            <w:tcW w:type="dxa" w:w="3249"/>
            <w:vAlign w:val="center"/>
          </w:tcPr>
          <w:p>
            <w:r/>
            <w:r>
              <w:rPr>
                <w:rFonts w:ascii="Figtree" w:hAnsi="Figtree"/>
                <w:b w:val="0"/>
                <w:i w:val="0"/>
                <w:sz w:val="22"/>
              </w:rPr>
              <w:t>NAV pricing</w:t>
            </w:r>
          </w:p>
        </w:tc>
        <w:tc>
          <w:tcPr>
            <w:tcW w:type="dxa" w:w="3249"/>
            <w:vAlign w:val="center"/>
          </w:tcPr>
          <w:p>
            <w:r/>
            <w:r>
              <w:rPr>
                <w:rFonts w:ascii="Figtree" w:hAnsi="Figtree"/>
                <w:b w:val="0"/>
                <w:i w:val="0"/>
                <w:sz w:val="22"/>
              </w:rPr>
              <w:t>Forward, historic, dual pricing</w:t>
            </w:r>
          </w:p>
        </w:tc>
        <w:tc>
          <w:tcPr>
            <w:tcW w:type="dxa" w:w="3249"/>
            <w:vAlign w:val="center"/>
          </w:tcPr>
          <w:p>
            <w:r/>
            <w:r>
              <w:rPr>
                <w:rFonts w:ascii="Figtree" w:hAnsi="Figtree"/>
                <w:b w:val="0"/>
                <w:i w:val="0"/>
                <w:sz w:val="22"/>
              </w:rPr>
              <w:t>Feeds System integration</w:t>
            </w:r>
          </w:p>
        </w:tc>
      </w:tr>
      <w:tr>
        <w:trPr>
          <w:trHeight w:val="454" w:hRule="atLeast"/>
        </w:trPr>
        <w:tc>
          <w:tcPr>
            <w:tcW w:type="dxa" w:w="3249"/>
            <w:vAlign w:val="center"/>
          </w:tcPr>
          <w:p>
            <w:r/>
            <w:r>
              <w:rPr>
                <w:rFonts w:ascii="Figtree" w:hAnsi="Figtree"/>
                <w:b w:val="0"/>
                <w:i w:val="0"/>
                <w:sz w:val="22"/>
              </w:rPr>
              <w:t>Subscription cut-off</w:t>
            </w:r>
          </w:p>
        </w:tc>
        <w:tc>
          <w:tcPr>
            <w:tcW w:type="dxa" w:w="3249"/>
            <w:vAlign w:val="center"/>
          </w:tcPr>
          <w:p>
            <w:r/>
            <w:r>
              <w:rPr>
                <w:rFonts w:ascii="Figtree" w:hAnsi="Figtree"/>
                <w:b w:val="0"/>
                <w:i w:val="0"/>
                <w:sz w:val="22"/>
              </w:rPr>
              <w:t>Daily, weekly, monthly</w:t>
            </w:r>
          </w:p>
        </w:tc>
        <w:tc>
          <w:tcPr>
            <w:tcW w:type="dxa" w:w="3249"/>
            <w:vAlign w:val="center"/>
          </w:tcPr>
          <w:p>
            <w:r/>
            <w:r>
              <w:rPr>
                <w:rFonts w:ascii="Figtree" w:hAnsi="Figtree"/>
                <w:b w:val="0"/>
                <w:i w:val="0"/>
                <w:sz w:val="22"/>
              </w:rPr>
              <w:t>Configurable schedule</w:t>
            </w:r>
          </w:p>
        </w:tc>
      </w:tr>
      <w:tr>
        <w:trPr>
          <w:trHeight w:val="454" w:hRule="atLeast"/>
        </w:trPr>
        <w:tc>
          <w:tcPr>
            <w:tcW w:type="dxa" w:w="3249"/>
            <w:vAlign w:val="center"/>
          </w:tcPr>
          <w:p>
            <w:r/>
            <w:r>
              <w:rPr>
                <w:rFonts w:ascii="Figtree" w:hAnsi="Figtree"/>
                <w:b w:val="0"/>
                <w:i w:val="0"/>
                <w:sz w:val="22"/>
              </w:rPr>
              <w:t>Redemption notice</w:t>
            </w:r>
          </w:p>
        </w:tc>
        <w:tc>
          <w:tcPr>
            <w:tcW w:type="dxa" w:w="3249"/>
            <w:vAlign w:val="center"/>
          </w:tcPr>
          <w:p>
            <w:r/>
            <w:r>
              <w:rPr>
                <w:rFonts w:ascii="Figtree" w:hAnsi="Figtree"/>
                <w:b w:val="0"/>
                <w:i w:val="0"/>
                <w:sz w:val="22"/>
              </w:rPr>
              <w:t>T+0 to T+5</w:t>
            </w:r>
          </w:p>
        </w:tc>
        <w:tc>
          <w:tcPr>
            <w:tcW w:type="dxa" w:w="3249"/>
            <w:vAlign w:val="center"/>
          </w:tcPr>
          <w:p>
            <w:r/>
            <w:r>
              <w:rPr>
                <w:rFonts w:ascii="Figtree" w:hAnsi="Figtree"/>
                <w:b w:val="0"/>
                <w:i w:val="0"/>
                <w:sz w:val="22"/>
              </w:rPr>
              <w:t>Time Lock module</w:t>
            </w:r>
          </w:p>
        </w:tc>
      </w:tr>
      <w:tr>
        <w:trPr>
          <w:trHeight w:val="454" w:hRule="atLeast"/>
        </w:trPr>
        <w:tc>
          <w:tcPr>
            <w:tcW w:type="dxa" w:w="3249"/>
            <w:vAlign w:val="center"/>
          </w:tcPr>
          <w:p>
            <w:r/>
            <w:r>
              <w:rPr>
                <w:rFonts w:ascii="Figtree" w:hAnsi="Figtree"/>
                <w:b w:val="0"/>
                <w:i w:val="0"/>
                <w:sz w:val="22"/>
              </w:rPr>
              <w:t>Minimum subscription</w:t>
            </w:r>
          </w:p>
        </w:tc>
        <w:tc>
          <w:tcPr>
            <w:tcW w:type="dxa" w:w="3249"/>
            <w:vAlign w:val="center"/>
          </w:tcPr>
          <w:p>
            <w:r/>
            <w:r>
              <w:rPr>
                <w:rFonts w:ascii="Figtree" w:hAnsi="Figtree"/>
                <w:b w:val="0"/>
                <w:i w:val="0"/>
                <w:sz w:val="22"/>
              </w:rPr>
              <w:t>Per investor class</w:t>
            </w:r>
          </w:p>
        </w:tc>
        <w:tc>
          <w:tcPr>
            <w:tcW w:type="dxa" w:w="3249"/>
            <w:vAlign w:val="center"/>
          </w:tcPr>
          <w:p>
            <w:r/>
            <w:r>
              <w:rPr>
                <w:rFonts w:ascii="Figtree" w:hAnsi="Figtree"/>
                <w:b w:val="0"/>
                <w:i w:val="0"/>
                <w:sz w:val="22"/>
              </w:rPr>
              <w:t>Supply limit module</w:t>
            </w:r>
          </w:p>
        </w:tc>
      </w:tr>
      <w:tr>
        <w:trPr>
          <w:trHeight w:val="454" w:hRule="atLeast"/>
        </w:trPr>
        <w:tc>
          <w:tcPr>
            <w:tcW w:type="dxa" w:w="3249"/>
            <w:vAlign w:val="center"/>
          </w:tcPr>
          <w:p>
            <w:r/>
            <w:r>
              <w:rPr>
                <w:rFonts w:ascii="Figtree" w:hAnsi="Figtree"/>
                <w:b w:val="0"/>
                <w:i w:val="0"/>
                <w:sz w:val="22"/>
              </w:rPr>
              <w:t>Distribution policy</w:t>
            </w:r>
          </w:p>
        </w:tc>
        <w:tc>
          <w:tcPr>
            <w:tcW w:type="dxa" w:w="3249"/>
            <w:vAlign w:val="center"/>
          </w:tcPr>
          <w:p>
            <w:r/>
            <w:r>
              <w:rPr>
                <w:rFonts w:ascii="Figtree" w:hAnsi="Figtree"/>
                <w:b w:val="0"/>
                <w:i w:val="0"/>
                <w:sz w:val="22"/>
              </w:rPr>
              <w:t>Accumulating or distributing</w:t>
            </w:r>
          </w:p>
        </w:tc>
        <w:tc>
          <w:tcPr>
            <w:tcW w:type="dxa" w:w="3249"/>
            <w:vAlign w:val="center"/>
          </w:tcPr>
          <w:p>
            <w:r/>
            <w:r>
              <w:rPr>
                <w:rFonts w:ascii="Figtree" w:hAnsi="Figtree"/>
                <w:b w:val="0"/>
                <w:i w:val="0"/>
                <w:sz w:val="22"/>
              </w:rPr>
              <w:t>Yield feature</w:t>
            </w:r>
          </w:p>
        </w:tc>
      </w:tr>
      <w:tr>
        <w:trPr>
          <w:trHeight w:val="454" w:hRule="atLeast"/>
        </w:trPr>
        <w:tc>
          <w:tcPr>
            <w:tcW w:type="dxa" w:w="3249"/>
            <w:vAlign w:val="center"/>
          </w:tcPr>
          <w:p>
            <w:r/>
            <w:r>
              <w:rPr>
                <w:rFonts w:ascii="Figtree" w:hAnsi="Figtree"/>
                <w:b w:val="0"/>
                <w:i w:val="0"/>
                <w:sz w:val="22"/>
              </w:rPr>
              <w:t>Swing pricing</w:t>
            </w:r>
          </w:p>
        </w:tc>
        <w:tc>
          <w:tcPr>
            <w:tcW w:type="dxa" w:w="3249"/>
            <w:vAlign w:val="center"/>
          </w:tcPr>
          <w:p>
            <w:r/>
            <w:r>
              <w:rPr>
                <w:rFonts w:ascii="Figtree" w:hAnsi="Figtree"/>
                <w:b w:val="0"/>
                <w:i w:val="0"/>
                <w:sz w:val="22"/>
              </w:rPr>
              <w:t>Anti-dilution mechanism</w:t>
            </w:r>
          </w:p>
        </w:tc>
        <w:tc>
          <w:tcPr>
            <w:tcW w:type="dxa" w:w="3249"/>
            <w:vAlign w:val="center"/>
          </w:tcPr>
          <w:p>
            <w:r/>
            <w:r>
              <w:rPr>
                <w:rFonts w:ascii="Figtree" w:hAnsi="Figtree"/>
                <w:b w:val="0"/>
                <w:i w:val="0"/>
                <w:sz w:val="22"/>
              </w:rPr>
              <w:t>Fee feature configuration</w:t>
            </w:r>
          </w:p>
        </w:tc>
      </w:tr>
      <w:tr>
        <w:trPr>
          <w:trHeight w:val="454" w:hRule="atLeast"/>
        </w:trPr>
        <w:tc>
          <w:tcPr>
            <w:tcW w:type="dxa" w:w="3249"/>
            <w:vAlign w:val="center"/>
          </w:tcPr>
          <w:p>
            <w:r/>
            <w:r>
              <w:rPr>
                <w:rFonts w:ascii="Figtree" w:hAnsi="Figtree"/>
                <w:b w:val="0"/>
                <w:i w:val="0"/>
                <w:sz w:val="22"/>
              </w:rPr>
              <w:t>Transfer restrictions</w:t>
            </w:r>
          </w:p>
        </w:tc>
        <w:tc>
          <w:tcPr>
            <w:tcW w:type="dxa" w:w="3249"/>
            <w:vAlign w:val="center"/>
          </w:tcPr>
          <w:p>
            <w:r/>
            <w:r>
              <w:rPr>
                <w:rFonts w:ascii="Figtree" w:hAnsi="Figtree"/>
                <w:b w:val="0"/>
                <w:i w:val="0"/>
                <w:sz w:val="22"/>
              </w:rPr>
              <w:t>Lock-up periods, qualified investor only</w:t>
            </w:r>
          </w:p>
        </w:tc>
        <w:tc>
          <w:tcPr>
            <w:tcW w:type="dxa" w:w="3249"/>
            <w:vAlign w:val="center"/>
          </w:tcPr>
          <w:p>
            <w:r/>
            <w:r>
              <w:rPr>
                <w:rFonts w:ascii="Figtree" w:hAnsi="Figtree"/>
                <w:b w:val="0"/>
                <w:i w:val="0"/>
                <w:sz w:val="22"/>
              </w:rPr>
              <w:t>Compliance modules</w:t>
            </w:r>
          </w:p>
        </w:tc>
      </w:tr>
    </w:tbl>
    <w:p>
      <w:r>
        <w:br w:type="page"/>
      </w:r>
    </w:p>
    <w:p>
      <w:pPr>
        <w:pStyle w:val="H2"/>
        <w:numPr>
          <w:ilvl w:val="1"/>
          <w:numId w:val="1"/>
        </w:numPr>
      </w:pPr>
      <w:r>
        <w:t>Technical Architecture and Integration Boundaries</w:t>
      </w:r>
    </w:p>
    <w:p>
      <w:pPr>
        <w:pStyle w:val="H3"/>
        <w:numPr>
          <w:ilvl w:val="2"/>
          <w:numId w:val="1"/>
        </w:numPr>
      </w:pPr>
      <w:r>
        <w:t>Enterprise Integration for BNP Paribas</w:t>
      </w:r>
    </w:p>
    <w:p>
      <w:pPr>
        <w:jc w:val="center"/>
      </w:pPr>
      <w:r>
        <w:drawing>
          <wp:inline xmlns:a="http://schemas.openxmlformats.org/drawingml/2006/main" xmlns:pic="http://schemas.openxmlformats.org/drawingml/2006/picture">
            <wp:extent cx="5486400" cy="440871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4408714"/>
                    </a:xfrm>
                    <a:prstGeom prst="rect"/>
                  </pic:spPr>
                </pic:pic>
              </a:graphicData>
            </a:graphic>
          </wp:inline>
        </w:drawing>
      </w:r>
    </w:p>
    <w:p>
      <w:pPr>
        <w:pStyle w:val="H3"/>
        <w:numPr>
          <w:ilvl w:val="2"/>
          <w:numId w:val="1"/>
        </w:numPr>
      </w:pPr>
      <w:r>
        <w:t>NAV Feed Integration</w:t>
      </w:r>
    </w:p>
    <w:p>
      <w:pPr>
        <w:jc w:val="center"/>
      </w:pPr>
      <w:r>
        <w:drawing>
          <wp:inline xmlns:a="http://schemas.openxmlformats.org/drawingml/2006/main" xmlns:pic="http://schemas.openxmlformats.org/drawingml/2006/picture">
            <wp:extent cx="5486400" cy="4751614"/>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751614"/>
                    </a:xfrm>
                    <a:prstGeom prst="rect"/>
                  </pic:spPr>
                </pic:pic>
              </a:graphicData>
            </a:graphic>
          </wp:inline>
        </w:drawing>
      </w:r>
    </w:p>
    <w:p>
      <w:r>
        <w:br w:type="page"/>
      </w:r>
    </w:p>
    <w:p>
      <w:pPr>
        <w:pStyle w:val="H2"/>
        <w:numPr>
          <w:ilvl w:val="1"/>
          <w:numId w:val="1"/>
        </w:numPr>
      </w:pPr>
      <w:r>
        <w:t>Identity, Compliance, and MiCA/UCITS Controls</w:t>
      </w:r>
    </w:p>
    <w:p>
      <w:pPr>
        <w:pStyle w:val="H3"/>
        <w:numPr>
          <w:ilvl w:val="2"/>
          <w:numId w:val="1"/>
        </w:numPr>
      </w:pPr>
      <w:r>
        <w:t>Multi-Jurisdiction Fund Compliance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Framework</w:t>
            </w:r>
          </w:p>
        </w:tc>
        <w:tc>
          <w:tcPr>
            <w:tcW w:type="dxa" w:w="3249"/>
            <w:vAlign w:val="center"/>
            <w:shd w:fill="000099" w:val="clear"/>
          </w:tcPr>
          <w:p>
            <w:r>
              <w:rPr>
                <w:b/>
                <w:color w:val="FFFFFF"/>
              </w:rPr>
            </w:r>
            <w:r>
              <w:rPr>
                <w:rFonts w:ascii="Figtree" w:hAnsi="Figtree"/>
                <w:b/>
                <w:i w:val="0"/>
                <w:color w:val="FFFFFF"/>
                <w:sz w:val="22"/>
              </w:rPr>
              <w:t>Requirement</w:t>
            </w:r>
          </w:p>
        </w:tc>
        <w:tc>
          <w:tcPr>
            <w:tcW w:type="dxa" w:w="3249"/>
            <w:vAlign w:val="center"/>
            <w:shd w:fill="000099" w:val="clear"/>
          </w:tcPr>
          <w:p>
            <w:r>
              <w:rPr>
                <w:b/>
                <w:color w:val="FFFFFF"/>
              </w:rPr>
            </w:r>
            <w:r>
              <w:rPr>
                <w:rFonts w:ascii="Figtree" w:hAnsi="Figtree"/>
                <w:b/>
                <w:i w:val="0"/>
                <w:color w:val="FFFFFF"/>
                <w:sz w:val="22"/>
              </w:rPr>
              <w:t>DALP Module</w:t>
            </w:r>
          </w:p>
        </w:tc>
      </w:tr>
      <w:tr>
        <w:trPr>
          <w:trHeight w:val="454" w:hRule="atLeast"/>
        </w:trPr>
        <w:tc>
          <w:tcPr>
            <w:tcW w:type="dxa" w:w="3249"/>
            <w:vAlign w:val="center"/>
          </w:tcPr>
          <w:p>
            <w:r/>
            <w:r>
              <w:rPr>
                <w:rFonts w:ascii="Figtree" w:hAnsi="Figtree"/>
                <w:b w:val="0"/>
                <w:i w:val="0"/>
                <w:sz w:val="22"/>
              </w:rPr>
              <w:t>UCITS</w:t>
            </w:r>
          </w:p>
        </w:tc>
        <w:tc>
          <w:tcPr>
            <w:tcW w:type="dxa" w:w="3249"/>
            <w:vAlign w:val="center"/>
          </w:tcPr>
          <w:p>
            <w:r/>
            <w:r>
              <w:rPr>
                <w:rFonts w:ascii="Figtree" w:hAnsi="Figtree"/>
                <w:b w:val="0"/>
                <w:i w:val="0"/>
                <w:sz w:val="22"/>
              </w:rPr>
              <w:t>Investor eligibility per share class</w:t>
            </w:r>
          </w:p>
        </w:tc>
        <w:tc>
          <w:tcPr>
            <w:tcW w:type="dxa" w:w="3249"/>
            <w:vAlign w:val="center"/>
          </w:tcPr>
          <w:p>
            <w:r/>
            <w:r>
              <w:rPr>
                <w:rFonts w:ascii="Figtree" w:hAnsi="Figtree"/>
                <w:b w:val="0"/>
                <w:i w:val="0"/>
                <w:sz w:val="22"/>
              </w:rPr>
              <w:t>Investor Accreditation + Country Allow List</w:t>
            </w:r>
          </w:p>
        </w:tc>
      </w:tr>
      <w:tr>
        <w:trPr>
          <w:trHeight w:val="454" w:hRule="atLeast"/>
        </w:trPr>
        <w:tc>
          <w:tcPr>
            <w:tcW w:type="dxa" w:w="3249"/>
            <w:vAlign w:val="center"/>
          </w:tcPr>
          <w:p>
            <w:r/>
            <w:r>
              <w:rPr>
                <w:rFonts w:ascii="Figtree" w:hAnsi="Figtree"/>
                <w:b w:val="0"/>
                <w:i w:val="0"/>
                <w:sz w:val="22"/>
              </w:rPr>
              <w:t>AIFMD</w:t>
            </w:r>
          </w:p>
        </w:tc>
        <w:tc>
          <w:tcPr>
            <w:tcW w:type="dxa" w:w="3249"/>
            <w:vAlign w:val="center"/>
          </w:tcPr>
          <w:p>
            <w:r/>
            <w:r>
              <w:rPr>
                <w:rFonts w:ascii="Figtree" w:hAnsi="Figtree"/>
                <w:b w:val="0"/>
                <w:i w:val="0"/>
                <w:sz w:val="22"/>
              </w:rPr>
              <w:t>Professional investor restriction</w:t>
            </w:r>
          </w:p>
        </w:tc>
        <w:tc>
          <w:tcPr>
            <w:tcW w:type="dxa" w:w="3249"/>
            <w:vAlign w:val="center"/>
          </w:tcPr>
          <w:p>
            <w:r/>
            <w:r>
              <w:rPr>
                <w:rFonts w:ascii="Figtree" w:hAnsi="Figtree"/>
                <w:b w:val="0"/>
                <w:i w:val="0"/>
                <w:sz w:val="22"/>
              </w:rPr>
              <w:t>Investor Accreditation module</w:t>
            </w:r>
          </w:p>
        </w:tc>
      </w:tr>
      <w:tr>
        <w:trPr>
          <w:trHeight w:val="454" w:hRule="atLeast"/>
        </w:trPr>
        <w:tc>
          <w:tcPr>
            <w:tcW w:type="dxa" w:w="3249"/>
            <w:vAlign w:val="center"/>
          </w:tcPr>
          <w:p>
            <w:r/>
            <w:r>
              <w:rPr>
                <w:rFonts w:ascii="Figtree" w:hAnsi="Figtree"/>
                <w:b w:val="0"/>
                <w:i w:val="0"/>
                <w:sz w:val="22"/>
              </w:rPr>
              <w:t>MiCA</w:t>
            </w:r>
          </w:p>
        </w:tc>
        <w:tc>
          <w:tcPr>
            <w:tcW w:type="dxa" w:w="3249"/>
            <w:vAlign w:val="center"/>
          </w:tcPr>
          <w:p>
            <w:r/>
            <w:r>
              <w:rPr>
                <w:rFonts w:ascii="Figtree" w:hAnsi="Figtree"/>
                <w:b w:val="0"/>
                <w:i w:val="0"/>
                <w:sz w:val="22"/>
              </w:rPr>
              <w:t>Token classification, disclosure</w:t>
            </w:r>
          </w:p>
        </w:tc>
        <w:tc>
          <w:tcPr>
            <w:tcW w:type="dxa" w:w="3249"/>
            <w:vAlign w:val="center"/>
          </w:tcPr>
          <w:p>
            <w:r/>
            <w:r>
              <w:rPr>
                <w:rFonts w:ascii="Figtree" w:hAnsi="Figtree"/>
                <w:b w:val="0"/>
                <w:i w:val="0"/>
                <w:sz w:val="22"/>
              </w:rPr>
              <w:t>Asset metadata + compliance modules</w:t>
            </w:r>
          </w:p>
        </w:tc>
      </w:tr>
      <w:tr>
        <w:trPr>
          <w:trHeight w:val="454" w:hRule="atLeast"/>
        </w:trPr>
        <w:tc>
          <w:tcPr>
            <w:tcW w:type="dxa" w:w="3249"/>
            <w:vAlign w:val="center"/>
          </w:tcPr>
          <w:p>
            <w:r/>
            <w:r>
              <w:rPr>
                <w:rFonts w:ascii="Figtree" w:hAnsi="Figtree"/>
                <w:b w:val="0"/>
                <w:i w:val="0"/>
                <w:sz w:val="22"/>
              </w:rPr>
              <w:t>MiFID II</w:t>
            </w:r>
          </w:p>
        </w:tc>
        <w:tc>
          <w:tcPr>
            <w:tcW w:type="dxa" w:w="3249"/>
            <w:vAlign w:val="center"/>
          </w:tcPr>
          <w:p>
            <w:r/>
            <w:r>
              <w:rPr>
                <w:rFonts w:ascii="Figtree" w:hAnsi="Figtree"/>
                <w:b w:val="0"/>
                <w:i w:val="0"/>
                <w:sz w:val="22"/>
              </w:rPr>
              <w:t>Distribution suitability</w:t>
            </w:r>
          </w:p>
        </w:tc>
        <w:tc>
          <w:tcPr>
            <w:tcW w:type="dxa" w:w="3249"/>
            <w:vAlign w:val="center"/>
          </w:tcPr>
          <w:p>
            <w:r/>
            <w:r>
              <w:rPr>
                <w:rFonts w:ascii="Figtree" w:hAnsi="Figtree"/>
                <w:b w:val="0"/>
                <w:i w:val="0"/>
                <w:sz w:val="22"/>
              </w:rPr>
              <w:t>Transfer Approval (distributor attestation)</w:t>
            </w:r>
          </w:p>
        </w:tc>
      </w:tr>
      <w:tr>
        <w:trPr>
          <w:trHeight w:val="454" w:hRule="atLeast"/>
        </w:trPr>
        <w:tc>
          <w:tcPr>
            <w:tcW w:type="dxa" w:w="3249"/>
            <w:vAlign w:val="center"/>
          </w:tcPr>
          <w:p>
            <w:r/>
            <w:r>
              <w:rPr>
                <w:rFonts w:ascii="Figtree" w:hAnsi="Figtree"/>
                <w:b w:val="0"/>
                <w:i w:val="0"/>
                <w:sz w:val="22"/>
              </w:rPr>
              <w:t>GDPR</w:t>
            </w:r>
          </w:p>
        </w:tc>
        <w:tc>
          <w:tcPr>
            <w:tcW w:type="dxa" w:w="3249"/>
            <w:vAlign w:val="center"/>
          </w:tcPr>
          <w:p>
            <w:r/>
            <w:r>
              <w:rPr>
                <w:rFonts w:ascii="Figtree" w:hAnsi="Figtree"/>
                <w:b w:val="0"/>
                <w:i w:val="0"/>
                <w:sz w:val="22"/>
              </w:rPr>
              <w:t>Investor data protection</w:t>
            </w:r>
          </w:p>
        </w:tc>
        <w:tc>
          <w:tcPr>
            <w:tcW w:type="dxa" w:w="3249"/>
            <w:vAlign w:val="center"/>
          </w:tcPr>
          <w:p>
            <w:r/>
            <w:r>
              <w:rPr>
                <w:rFonts w:ascii="Figtree" w:hAnsi="Figtree"/>
                <w:b w:val="0"/>
                <w:i w:val="0"/>
                <w:sz w:val="22"/>
              </w:rPr>
              <w:t>On-chain pseudonymity + off-chain PII</w:t>
            </w:r>
          </w:p>
        </w:tc>
      </w:tr>
      <w:tr>
        <w:trPr>
          <w:trHeight w:val="454" w:hRule="atLeast"/>
        </w:trPr>
        <w:tc>
          <w:tcPr>
            <w:tcW w:type="dxa" w:w="3249"/>
            <w:vAlign w:val="center"/>
          </w:tcPr>
          <w:p>
            <w:r/>
            <w:r>
              <w:rPr>
                <w:rFonts w:ascii="Figtree" w:hAnsi="Figtree"/>
                <w:b w:val="0"/>
                <w:i w:val="0"/>
                <w:sz w:val="22"/>
              </w:rPr>
              <w:t>PRIIPS</w:t>
            </w:r>
          </w:p>
        </w:tc>
        <w:tc>
          <w:tcPr>
            <w:tcW w:type="dxa" w:w="3249"/>
            <w:vAlign w:val="center"/>
          </w:tcPr>
          <w:p>
            <w:r/>
            <w:r>
              <w:rPr>
                <w:rFonts w:ascii="Figtree" w:hAnsi="Figtree"/>
                <w:b w:val="0"/>
                <w:i w:val="0"/>
                <w:sz w:val="22"/>
              </w:rPr>
              <w:t>KID documentation</w:t>
            </w:r>
          </w:p>
        </w:tc>
        <w:tc>
          <w:tcPr>
            <w:tcW w:type="dxa" w:w="3249"/>
            <w:vAlign w:val="center"/>
          </w:tcPr>
          <w:p>
            <w:r/>
            <w:r>
              <w:rPr>
                <w:rFonts w:ascii="Figtree" w:hAnsi="Figtree"/>
                <w:b w:val="0"/>
                <w:i w:val="0"/>
                <w:sz w:val="22"/>
              </w:rPr>
              <w:t>Metadata fields with document references</w:t>
            </w:r>
          </w:p>
        </w:tc>
      </w:tr>
    </w:tbl>
    <w:p>
      <w:pPr>
        <w:pStyle w:val="H3"/>
        <w:numPr>
          <w:ilvl w:val="2"/>
          <w:numId w:val="1"/>
        </w:numPr>
      </w:pPr>
      <w:r>
        <w:t>Investor Classification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Investor Class</w:t>
            </w:r>
          </w:p>
        </w:tc>
        <w:tc>
          <w:tcPr>
            <w:tcW w:type="dxa" w:w="2436"/>
            <w:vAlign w:val="center"/>
            <w:shd w:fill="000099" w:val="clear"/>
          </w:tcPr>
          <w:p>
            <w:r>
              <w:rPr>
                <w:b/>
                <w:color w:val="FFFFFF"/>
              </w:rPr>
            </w:r>
            <w:r>
              <w:rPr>
                <w:rFonts w:ascii="Figtree" w:hAnsi="Figtree"/>
                <w:b/>
                <w:i w:val="0"/>
                <w:color w:val="FFFFFF"/>
                <w:sz w:val="22"/>
              </w:rPr>
              <w:t>UCITS</w:t>
            </w:r>
          </w:p>
        </w:tc>
        <w:tc>
          <w:tcPr>
            <w:tcW w:type="dxa" w:w="2436"/>
            <w:vAlign w:val="center"/>
            <w:shd w:fill="000099" w:val="clear"/>
          </w:tcPr>
          <w:p>
            <w:r>
              <w:rPr>
                <w:b/>
                <w:color w:val="FFFFFF"/>
              </w:rPr>
            </w:r>
            <w:r>
              <w:rPr>
                <w:rFonts w:ascii="Figtree" w:hAnsi="Figtree"/>
                <w:b/>
                <w:i w:val="0"/>
                <w:color w:val="FFFFFF"/>
                <w:sz w:val="22"/>
              </w:rPr>
              <w:t>AIFM</w:t>
            </w:r>
          </w:p>
        </w:tc>
        <w:tc>
          <w:tcPr>
            <w:tcW w:type="dxa" w:w="2436"/>
            <w:vAlign w:val="center"/>
            <w:shd w:fill="000099" w:val="clear"/>
          </w:tcPr>
          <w:p>
            <w:r>
              <w:rPr>
                <w:b/>
                <w:color w:val="FFFFFF"/>
              </w:rPr>
            </w:r>
            <w:r>
              <w:rPr>
                <w:rFonts w:ascii="Figtree" w:hAnsi="Figtree"/>
                <w:b/>
                <w:i w:val="0"/>
                <w:color w:val="FFFFFF"/>
                <w:sz w:val="22"/>
              </w:rPr>
              <w:t>Compliance Module</w:t>
            </w:r>
          </w:p>
        </w:tc>
      </w:tr>
      <w:tr>
        <w:trPr>
          <w:trHeight w:val="454" w:hRule="atLeast"/>
        </w:trPr>
        <w:tc>
          <w:tcPr>
            <w:tcW w:type="dxa" w:w="2436"/>
            <w:vAlign w:val="center"/>
          </w:tcPr>
          <w:p>
            <w:r/>
            <w:r>
              <w:rPr>
                <w:rFonts w:ascii="Figtree" w:hAnsi="Figtree"/>
                <w:b w:val="0"/>
                <w:i w:val="0"/>
                <w:sz w:val="22"/>
              </w:rPr>
              <w:t>Retail</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Restricted</w:t>
            </w:r>
          </w:p>
        </w:tc>
        <w:tc>
          <w:tcPr>
            <w:tcW w:type="dxa" w:w="2436"/>
            <w:vAlign w:val="center"/>
          </w:tcPr>
          <w:p>
            <w:r/>
            <w:r>
              <w:rPr>
                <w:rFonts w:ascii="Figtree" w:hAnsi="Figtree"/>
                <w:b w:val="0"/>
                <w:i w:val="0"/>
                <w:sz w:val="22"/>
              </w:rPr>
              <w:t>Identity Verification + Country Allow List</w:t>
            </w:r>
          </w:p>
        </w:tc>
      </w:tr>
      <w:tr>
        <w:trPr>
          <w:trHeight w:val="454" w:hRule="atLeast"/>
        </w:trPr>
        <w:tc>
          <w:tcPr>
            <w:tcW w:type="dxa" w:w="2436"/>
            <w:vAlign w:val="center"/>
          </w:tcPr>
          <w:p>
            <w:r/>
            <w:r>
              <w:rPr>
                <w:rFonts w:ascii="Figtree" w:hAnsi="Figtree"/>
                <w:b w:val="0"/>
                <w:i w:val="0"/>
                <w:sz w:val="22"/>
              </w:rPr>
              <w:t>Professional</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Investor Accreditation</w:t>
            </w:r>
          </w:p>
        </w:tc>
      </w:tr>
      <w:tr>
        <w:trPr>
          <w:trHeight w:val="454" w:hRule="atLeast"/>
        </w:trPr>
        <w:tc>
          <w:tcPr>
            <w:tcW w:type="dxa" w:w="2436"/>
            <w:vAlign w:val="center"/>
          </w:tcPr>
          <w:p>
            <w:r/>
            <w:r>
              <w:rPr>
                <w:rFonts w:ascii="Figtree" w:hAnsi="Figtree"/>
                <w:b w:val="0"/>
                <w:i w:val="0"/>
                <w:sz w:val="22"/>
              </w:rPr>
              <w:t>Institutional</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Investor Accreditation + enhanced KYC</w:t>
            </w:r>
          </w:p>
        </w:tc>
      </w:tr>
      <w:tr>
        <w:trPr>
          <w:trHeight w:val="454" w:hRule="atLeast"/>
        </w:trPr>
        <w:tc>
          <w:tcPr>
            <w:tcW w:type="dxa" w:w="2436"/>
            <w:vAlign w:val="center"/>
          </w:tcPr>
          <w:p>
            <w:r/>
            <w:r>
              <w:rPr>
                <w:rFonts w:ascii="Figtree" w:hAnsi="Figtree"/>
                <w:b w:val="0"/>
                <w:i w:val="0"/>
                <w:sz w:val="22"/>
              </w:rPr>
              <w:t>Qualified</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Permitted</w:t>
            </w:r>
          </w:p>
        </w:tc>
        <w:tc>
          <w:tcPr>
            <w:tcW w:type="dxa" w:w="2436"/>
            <w:vAlign w:val="center"/>
          </w:tcPr>
          <w:p>
            <w:r/>
            <w:r>
              <w:rPr>
                <w:rFonts w:ascii="Figtree" w:hAnsi="Figtree"/>
                <w:b w:val="0"/>
                <w:i w:val="0"/>
                <w:sz w:val="22"/>
              </w:rPr>
              <w:t>Full accreditation + Transfer Approval</w:t>
            </w:r>
          </w:p>
        </w:tc>
      </w:tr>
    </w:tbl>
    <w:p>
      <w:r>
        <w:br w:type="page"/>
      </w:r>
    </w:p>
    <w:p>
      <w:pPr>
        <w:pStyle w:val="H2"/>
        <w:numPr>
          <w:ilvl w:val="1"/>
          <w:numId w:val="1"/>
        </w:numPr>
      </w:pPr>
      <w:r>
        <w:t>Distribution, NAV Processing, and Lifecycle Management</w:t>
      </w:r>
    </w:p>
    <w:p>
      <w:pPr>
        <w:pStyle w:val="H3"/>
        <w:numPr>
          <w:ilvl w:val="2"/>
          <w:numId w:val="1"/>
        </w:numPr>
      </w:pPr>
      <w:r>
        <w:t>Subscription and Redemption Workflow</w:t>
      </w:r>
    </w:p>
    <w:p>
      <w:r>
        <w:rPr>
          <w:rFonts w:ascii="Figtree" w:hAnsi="Figtree"/>
          <w:b w:val="0"/>
          <w:i w:val="0"/>
          <w:sz w:val="22"/>
        </w:rPr>
        <w:t>DALP automates subscription and redemption processing:</w:t>
      </w:r>
    </w:p>
    <w:p>
      <w:pPr>
        <w:pStyle w:val="ListParagraph"/>
        <w:numPr>
          <w:ilvl w:val="0"/>
          <w:numId w:val="4"/>
        </w:numPr>
      </w:pPr>
      <w:r>
        <w:rPr>
          <w:rFonts w:ascii="Figtree" w:hAnsi="Figtree"/>
          <w:b/>
          <w:i w:val="0"/>
          <w:sz w:val="22"/>
        </w:rPr>
        <w:t>Subscription:</w:t>
      </w:r>
      <w:r>
        <w:rPr>
          <w:rFonts w:ascii="Figtree" w:hAnsi="Figtree"/>
          <w:b w:val="0"/>
          <w:i w:val="0"/>
          <w:sz w:val="22"/>
        </w:rPr>
        <w:t xml:space="preserve"> Investor submits order → cut-off check → NAV feed → unit calculation → compliance verification → mint units → confirmation</w:t>
      </w:r>
    </w:p>
    <w:p>
      <w:pPr>
        <w:pStyle w:val="ListParagraph"/>
        <w:numPr>
          <w:ilvl w:val="0"/>
          <w:numId w:val="4"/>
        </w:numPr>
      </w:pPr>
      <w:r>
        <w:rPr>
          <w:rFonts w:ascii="Figtree" w:hAnsi="Figtree"/>
          <w:b/>
          <w:i w:val="0"/>
          <w:sz w:val="22"/>
        </w:rPr>
        <w:t>Redemption:</w:t>
      </w:r>
      <w:r>
        <w:rPr>
          <w:rFonts w:ascii="Figtree" w:hAnsi="Figtree"/>
          <w:b w:val="0"/>
          <w:i w:val="0"/>
          <w:sz w:val="22"/>
        </w:rPr>
        <w:t xml:space="preserve"> Investor submits request → notice period check → NAV feed → unit calculation → compliance check → burn units → payment instruction → confirmation</w:t>
      </w:r>
    </w:p>
    <w:p>
      <w:pPr>
        <w:pStyle w:val="H3"/>
        <w:numPr>
          <w:ilvl w:val="2"/>
          <w:numId w:val="1"/>
        </w:numPr>
      </w:pPr>
      <w:r>
        <w:t>Distribution Processing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Distribution Type</w:t>
            </w:r>
          </w:p>
        </w:tc>
        <w:tc>
          <w:tcPr>
            <w:tcW w:type="dxa" w:w="3249"/>
            <w:vAlign w:val="center"/>
            <w:shd w:fill="000099" w:val="clear"/>
          </w:tcPr>
          <w:p>
            <w:r>
              <w:rPr>
                <w:b/>
                <w:color w:val="FFFFFF"/>
              </w:rPr>
            </w:r>
            <w:r>
              <w:rPr>
                <w:rFonts w:ascii="Figtree" w:hAnsi="Figtree"/>
                <w:b/>
                <w:i w:val="0"/>
                <w:color w:val="FFFFFF"/>
                <w:sz w:val="22"/>
              </w:rPr>
              <w:t>Mechanism</w:t>
            </w:r>
          </w:p>
        </w:tc>
        <w:tc>
          <w:tcPr>
            <w:tcW w:type="dxa" w:w="3249"/>
            <w:vAlign w:val="center"/>
            <w:shd w:fill="000099" w:val="clear"/>
          </w:tcPr>
          <w:p>
            <w:r>
              <w:rPr>
                <w:b/>
                <w:color w:val="FFFFFF"/>
              </w:rPr>
            </w:r>
            <w:r>
              <w:rPr>
                <w:rFonts w:ascii="Figtree" w:hAnsi="Figtree"/>
                <w:b/>
                <w:i w:val="0"/>
                <w:color w:val="FFFFFF"/>
                <w:sz w:val="22"/>
              </w:rPr>
              <w:t>DALP Feature</w:t>
            </w:r>
          </w:p>
        </w:tc>
      </w:tr>
      <w:tr>
        <w:trPr>
          <w:trHeight w:val="454" w:hRule="atLeast"/>
        </w:trPr>
        <w:tc>
          <w:tcPr>
            <w:tcW w:type="dxa" w:w="3249"/>
            <w:vAlign w:val="center"/>
          </w:tcPr>
          <w:p>
            <w:r/>
            <w:r>
              <w:rPr>
                <w:rFonts w:ascii="Figtree" w:hAnsi="Figtree"/>
                <w:b w:val="0"/>
                <w:i w:val="0"/>
                <w:sz w:val="22"/>
              </w:rPr>
              <w:t>Income distribution</w:t>
            </w:r>
          </w:p>
        </w:tc>
        <w:tc>
          <w:tcPr>
            <w:tcW w:type="dxa" w:w="3249"/>
            <w:vAlign w:val="center"/>
          </w:tcPr>
          <w:p>
            <w:r/>
            <w:r>
              <w:rPr>
                <w:rFonts w:ascii="Figtree" w:hAnsi="Figtree"/>
                <w:b w:val="0"/>
                <w:i w:val="0"/>
                <w:sz w:val="22"/>
              </w:rPr>
              <w:t>Proportional to holdings at record date</w:t>
            </w:r>
          </w:p>
        </w:tc>
        <w:tc>
          <w:tcPr>
            <w:tcW w:type="dxa" w:w="3249"/>
            <w:vAlign w:val="center"/>
          </w:tcPr>
          <w:p>
            <w:r/>
            <w:r>
              <w:rPr>
                <w:rFonts w:ascii="Figtree" w:hAnsi="Figtree"/>
                <w:b w:val="0"/>
                <w:i w:val="0"/>
                <w:sz w:val="22"/>
              </w:rPr>
              <w:t>Yield feature + historical balance snapshots</w:t>
            </w:r>
          </w:p>
        </w:tc>
      </w:tr>
      <w:tr>
        <w:trPr>
          <w:trHeight w:val="454" w:hRule="atLeast"/>
        </w:trPr>
        <w:tc>
          <w:tcPr>
            <w:tcW w:type="dxa" w:w="3249"/>
            <w:vAlign w:val="center"/>
          </w:tcPr>
          <w:p>
            <w:r/>
            <w:r>
              <w:rPr>
                <w:rFonts w:ascii="Figtree" w:hAnsi="Figtree"/>
                <w:b w:val="0"/>
                <w:i w:val="0"/>
                <w:sz w:val="22"/>
              </w:rPr>
              <w:t>Capital gains</w:t>
            </w:r>
          </w:p>
        </w:tc>
        <w:tc>
          <w:tcPr>
            <w:tcW w:type="dxa" w:w="3249"/>
            <w:vAlign w:val="center"/>
          </w:tcPr>
          <w:p>
            <w:r/>
            <w:r>
              <w:rPr>
                <w:rFonts w:ascii="Figtree" w:hAnsi="Figtree"/>
                <w:b w:val="0"/>
                <w:i w:val="0"/>
                <w:sz w:val="22"/>
              </w:rPr>
              <w:t>Per fund accounting rules</w:t>
            </w:r>
          </w:p>
        </w:tc>
        <w:tc>
          <w:tcPr>
            <w:tcW w:type="dxa" w:w="3249"/>
            <w:vAlign w:val="center"/>
          </w:tcPr>
          <w:p>
            <w:r/>
            <w:r>
              <w:rPr>
                <w:rFonts w:ascii="Figtree" w:hAnsi="Figtree"/>
                <w:b w:val="0"/>
                <w:i w:val="0"/>
                <w:sz w:val="22"/>
              </w:rPr>
              <w:t>Configurable distribution calculation</w:t>
            </w:r>
          </w:p>
        </w:tc>
      </w:tr>
      <w:tr>
        <w:trPr>
          <w:trHeight w:val="454" w:hRule="atLeast"/>
        </w:trPr>
        <w:tc>
          <w:tcPr>
            <w:tcW w:type="dxa" w:w="3249"/>
            <w:vAlign w:val="center"/>
          </w:tcPr>
          <w:p>
            <w:r/>
            <w:r>
              <w:rPr>
                <w:rFonts w:ascii="Figtree" w:hAnsi="Figtree"/>
                <w:b w:val="0"/>
                <w:i w:val="0"/>
                <w:sz w:val="22"/>
              </w:rPr>
              <w:t>Reinvestment</w:t>
            </w:r>
          </w:p>
        </w:tc>
        <w:tc>
          <w:tcPr>
            <w:tcW w:type="dxa" w:w="3249"/>
            <w:vAlign w:val="center"/>
          </w:tcPr>
          <w:p>
            <w:r/>
            <w:r>
              <w:rPr>
                <w:rFonts w:ascii="Figtree" w:hAnsi="Figtree"/>
                <w:b w:val="0"/>
                <w:i w:val="0"/>
                <w:sz w:val="22"/>
              </w:rPr>
              <w:t>Automatic subscription at NAV</w:t>
            </w:r>
          </w:p>
        </w:tc>
        <w:tc>
          <w:tcPr>
            <w:tcW w:type="dxa" w:w="3249"/>
            <w:vAlign w:val="center"/>
          </w:tcPr>
          <w:p>
            <w:r/>
            <w:r>
              <w:rPr>
                <w:rFonts w:ascii="Figtree" w:hAnsi="Figtree"/>
                <w:b w:val="0"/>
                <w:i w:val="0"/>
                <w:sz w:val="22"/>
              </w:rPr>
              <w:t>Minting at distribution NAV</w:t>
            </w:r>
          </w:p>
        </w:tc>
      </w:tr>
      <w:tr>
        <w:trPr>
          <w:trHeight w:val="454" w:hRule="atLeast"/>
        </w:trPr>
        <w:tc>
          <w:tcPr>
            <w:tcW w:type="dxa" w:w="3249"/>
            <w:vAlign w:val="center"/>
          </w:tcPr>
          <w:p>
            <w:r/>
            <w:r>
              <w:rPr>
                <w:rFonts w:ascii="Figtree" w:hAnsi="Figtree"/>
                <w:b w:val="0"/>
                <w:i w:val="0"/>
                <w:sz w:val="22"/>
              </w:rPr>
              <w:t>Accumulation</w:t>
            </w:r>
          </w:p>
        </w:tc>
        <w:tc>
          <w:tcPr>
            <w:tcW w:type="dxa" w:w="3249"/>
            <w:vAlign w:val="center"/>
          </w:tcPr>
          <w:p>
            <w:r/>
            <w:r>
              <w:rPr>
                <w:rFonts w:ascii="Figtree" w:hAnsi="Figtree"/>
                <w:b w:val="0"/>
                <w:i w:val="0"/>
                <w:sz w:val="22"/>
              </w:rPr>
              <w:t>NAV adjustment (no distribution)</w:t>
            </w:r>
          </w:p>
        </w:tc>
        <w:tc>
          <w:tcPr>
            <w:tcW w:type="dxa" w:w="3249"/>
            <w:vAlign w:val="center"/>
          </w:tcPr>
          <w:p>
            <w:r/>
            <w:r>
              <w:rPr>
                <w:rFonts w:ascii="Figtree" w:hAnsi="Figtree"/>
                <w:b w:val="0"/>
                <w:i w:val="0"/>
                <w:sz w:val="22"/>
              </w:rPr>
              <w:t>Metadata update only</w:t>
            </w:r>
          </w:p>
        </w:tc>
      </w:tr>
    </w:tbl>
    <w:p>
      <w:r>
        <w:br w:type="page"/>
      </w:r>
    </w:p>
    <w:p>
      <w:pPr>
        <w:pStyle w:val="H2"/>
        <w:numPr>
          <w:ilvl w:val="1"/>
          <w:numId w:val="1"/>
        </w:numPr>
      </w:pPr>
      <w:r>
        <w:t>Security, Resilience, and Operational Assurance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Control</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r>
        <w:trPr>
          <w:trHeight w:val="454" w:hRule="atLeast"/>
        </w:trPr>
        <w:tc>
          <w:tcPr>
            <w:tcW w:type="dxa" w:w="4873"/>
            <w:vAlign w:val="center"/>
          </w:tcPr>
          <w:p>
            <w:r/>
            <w:r>
              <w:rPr>
                <w:rFonts w:ascii="Figtree" w:hAnsi="Figtree"/>
                <w:b w:val="0"/>
                <w:i w:val="0"/>
                <w:sz w:val="22"/>
              </w:rPr>
              <w:t>Authentication</w:t>
            </w:r>
          </w:p>
        </w:tc>
        <w:tc>
          <w:tcPr>
            <w:tcW w:type="dxa" w:w="4873"/>
            <w:vAlign w:val="center"/>
          </w:tcPr>
          <w:p>
            <w:r/>
            <w:r>
              <w:rPr>
                <w:rFonts w:ascii="Figtree" w:hAnsi="Figtree"/>
                <w:b w:val="0"/>
                <w:i w:val="0"/>
                <w:sz w:val="22"/>
              </w:rPr>
              <w:t>MFA, passkeys, LDAP/AD, OAuth 2.0</w:t>
            </w:r>
          </w:p>
        </w:tc>
      </w:tr>
      <w:tr>
        <w:trPr>
          <w:trHeight w:val="454" w:hRule="atLeast"/>
        </w:trPr>
        <w:tc>
          <w:tcPr>
            <w:tcW w:type="dxa" w:w="4873"/>
            <w:vAlign w:val="center"/>
          </w:tcPr>
          <w:p>
            <w:r/>
            <w:r>
              <w:rPr>
                <w:rFonts w:ascii="Figtree" w:hAnsi="Figtree"/>
                <w:b w:val="0"/>
                <w:i w:val="0"/>
                <w:sz w:val="22"/>
              </w:rPr>
              <w:t>Key management</w:t>
            </w:r>
          </w:p>
        </w:tc>
        <w:tc>
          <w:tcPr>
            <w:tcW w:type="dxa" w:w="4873"/>
            <w:vAlign w:val="center"/>
          </w:tcPr>
          <w:p>
            <w:r/>
            <w:r>
              <w:rPr>
                <w:rFonts w:ascii="Figtree" w:hAnsi="Figtree"/>
                <w:b w:val="0"/>
                <w:i w:val="0"/>
                <w:sz w:val="22"/>
              </w:rPr>
              <w:t>HSM integration, multi-signature</w:t>
            </w:r>
          </w:p>
        </w:tc>
      </w:tr>
      <w:tr>
        <w:trPr>
          <w:trHeight w:val="454" w:hRule="atLeast"/>
        </w:trPr>
        <w:tc>
          <w:tcPr>
            <w:tcW w:type="dxa" w:w="4873"/>
            <w:vAlign w:val="center"/>
          </w:tcPr>
          <w:p>
            <w:r/>
            <w:r>
              <w:rPr>
                <w:rFonts w:ascii="Figtree" w:hAnsi="Figtree"/>
                <w:b w:val="0"/>
                <w:i w:val="0"/>
                <w:sz w:val="22"/>
              </w:rPr>
              <w:t>RPO / RTO</w:t>
            </w:r>
          </w:p>
        </w:tc>
        <w:tc>
          <w:tcPr>
            <w:tcW w:type="dxa" w:w="4873"/>
            <w:vAlign w:val="center"/>
          </w:tcPr>
          <w:p>
            <w:r/>
            <w:r>
              <w:rPr>
                <w:rFonts w:ascii="Figtree" w:hAnsi="Figtree"/>
                <w:b w:val="0"/>
                <w:i w:val="0"/>
                <w:sz w:val="22"/>
              </w:rPr>
              <w:t>&lt; 1 hour / &lt; 4 hours</w:t>
            </w:r>
          </w:p>
        </w:tc>
      </w:tr>
      <w:tr>
        <w:trPr>
          <w:trHeight w:val="454" w:hRule="atLeast"/>
        </w:trPr>
        <w:tc>
          <w:tcPr>
            <w:tcW w:type="dxa" w:w="4873"/>
            <w:vAlign w:val="center"/>
          </w:tcPr>
          <w:p>
            <w:r/>
            <w:r>
              <w:rPr>
                <w:rFonts w:ascii="Figtree" w:hAnsi="Figtree"/>
                <w:b w:val="0"/>
                <w:i w:val="0"/>
                <w:sz w:val="22"/>
              </w:rPr>
              <w:t>Monitoring</w:t>
            </w:r>
          </w:p>
        </w:tc>
        <w:tc>
          <w:tcPr>
            <w:tcW w:type="dxa" w:w="4873"/>
            <w:vAlign w:val="center"/>
          </w:tcPr>
          <w:p>
            <w:r/>
            <w:r>
              <w:rPr>
                <w:rFonts w:ascii="Figtree" w:hAnsi="Figtree"/>
                <w:b w:val="0"/>
                <w:i w:val="0"/>
                <w:sz w:val="22"/>
              </w:rPr>
              <w:t>Three-pillar observability</w:t>
            </w:r>
          </w:p>
        </w:tc>
      </w:tr>
      <w:tr>
        <w:trPr>
          <w:trHeight w:val="454" w:hRule="atLeast"/>
        </w:trPr>
        <w:tc>
          <w:tcPr>
            <w:tcW w:type="dxa" w:w="4873"/>
            <w:vAlign w:val="center"/>
          </w:tcPr>
          <w:p>
            <w:r/>
            <w:r>
              <w:rPr>
                <w:rFonts w:ascii="Figtree" w:hAnsi="Figtree"/>
                <w:b w:val="0"/>
                <w:i w:val="0"/>
                <w:sz w:val="22"/>
              </w:rPr>
              <w:t>GDPR compliance</w:t>
            </w:r>
          </w:p>
        </w:tc>
        <w:tc>
          <w:tcPr>
            <w:tcW w:type="dxa" w:w="4873"/>
            <w:vAlign w:val="center"/>
          </w:tcPr>
          <w:p>
            <w:r/>
            <w:r>
              <w:rPr>
                <w:rFonts w:ascii="Figtree" w:hAnsi="Figtree"/>
                <w:b w:val="0"/>
                <w:i w:val="0"/>
                <w:sz w:val="22"/>
              </w:rPr>
              <w:t>EU-resident deployment, data minimization</w:t>
            </w:r>
          </w:p>
        </w:tc>
      </w:tr>
    </w:tbl>
    <w:p>
      <w:r>
        <w:br w:type="page"/>
      </w:r>
    </w:p>
    <w:p>
      <w:pPr>
        <w:pStyle w:val="H2"/>
        <w:numPr>
          <w:ilvl w:val="1"/>
          <w:numId w:val="1"/>
        </w:numPr>
      </w:pPr>
      <w:r>
        <w:t>Implementation Approach and Delivery Phases</w:t>
      </w:r>
    </w:p>
    <w:p>
      <w:pPr>
        <w:pStyle w:val="H3"/>
        <w:numPr>
          <w:ilvl w:val="2"/>
          <w:numId w:val="1"/>
        </w:numPr>
      </w:pPr>
      <w:r>
        <w:t>19-Week Implementation</w:t>
      </w:r>
    </w:p>
    <w:p>
      <w:pPr>
        <w:jc w:val="center"/>
      </w:pPr>
      <w:r>
        <w:drawing>
          <wp:inline xmlns:a="http://schemas.openxmlformats.org/drawingml/2006/main" xmlns:pic="http://schemas.openxmlformats.org/drawingml/2006/picture">
            <wp:extent cx="5486400" cy="23793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379306"/>
                    </a:xfrm>
                    <a:prstGeom prst="rect"/>
                  </pic:spPr>
                </pic:pic>
              </a:graphicData>
            </a:graphic>
          </wp:inline>
        </w:drawing>
      </w:r>
    </w:p>
    <w:p>
      <w:r>
        <w:br w:type="page"/>
      </w:r>
    </w:p>
    <w:p>
      <w:pPr>
        <w:pStyle w:val="H2"/>
        <w:numPr>
          <w:ilvl w:val="1"/>
          <w:numId w:val="1"/>
        </w:numPr>
      </w:pPr>
      <w:r>
        <w:t>Current Coverage, Dependencies, and Qualified Gaps</w:t>
      </w:r>
    </w:p>
    <w:p>
      <w:pPr>
        <w:pStyle w:val="H3"/>
        <w:numPr>
          <w:ilvl w:val="2"/>
          <w:numId w:val="1"/>
        </w:numPr>
      </w:pPr>
      <w:r>
        <w:t>Coverage Summary</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Requirement</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Fund unit tokenization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Fund asset class in DALPAsset</w:t>
            </w:r>
          </w:p>
        </w:tc>
      </w:tr>
      <w:tr>
        <w:trPr>
          <w:trHeight w:val="454" w:hRule="atLeast"/>
        </w:trPr>
        <w:tc>
          <w:tcPr>
            <w:tcW w:type="dxa" w:w="3249"/>
            <w:vAlign w:val="center"/>
          </w:tcPr>
          <w:p>
            <w:r/>
            <w:r>
              <w:rPr>
                <w:rFonts w:ascii="Figtree" w:hAnsi="Figtree"/>
                <w:b w:val="0"/>
                <w:i w:val="0"/>
                <w:sz w:val="22"/>
              </w:rPr>
              <w:t>Subscription/redemption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Configurable workflows</w:t>
            </w:r>
          </w:p>
        </w:tc>
      </w:tr>
      <w:tr>
        <w:trPr>
          <w:trHeight w:val="454" w:hRule="atLeast"/>
        </w:trPr>
        <w:tc>
          <w:tcPr>
            <w:tcW w:type="dxa" w:w="3249"/>
            <w:vAlign w:val="center"/>
          </w:tcPr>
          <w:p>
            <w:r/>
            <w:r>
              <w:rPr>
                <w:rFonts w:ascii="Figtree" w:hAnsi="Figtree"/>
                <w:b w:val="0"/>
                <w:i w:val="0"/>
                <w:sz w:val="22"/>
              </w:rPr>
              <w:t>NAV-based pricing</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Feeds System integration</w:t>
            </w:r>
          </w:p>
        </w:tc>
      </w:tr>
      <w:tr>
        <w:trPr>
          <w:trHeight w:val="454" w:hRule="atLeast"/>
        </w:trPr>
        <w:tc>
          <w:tcPr>
            <w:tcW w:type="dxa" w:w="3249"/>
            <w:vAlign w:val="center"/>
          </w:tcPr>
          <w:p>
            <w:r/>
            <w:r>
              <w:rPr>
                <w:rFonts w:ascii="Figtree" w:hAnsi="Figtree"/>
                <w:b w:val="0"/>
                <w:i w:val="0"/>
                <w:sz w:val="22"/>
              </w:rPr>
              <w:t>Distribution processing</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Yield feature + historical snapshots</w:t>
            </w:r>
          </w:p>
        </w:tc>
      </w:tr>
      <w:tr>
        <w:trPr>
          <w:trHeight w:val="454" w:hRule="atLeast"/>
        </w:trPr>
        <w:tc>
          <w:tcPr>
            <w:tcW w:type="dxa" w:w="3249"/>
            <w:vAlign w:val="center"/>
          </w:tcPr>
          <w:p>
            <w:r/>
            <w:r>
              <w:rPr>
                <w:rFonts w:ascii="Figtree" w:hAnsi="Figtree"/>
                <w:b w:val="0"/>
                <w:i w:val="0"/>
                <w:sz w:val="22"/>
              </w:rPr>
              <w:t>Transfer restrictions</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Compliance modules</w:t>
            </w:r>
          </w:p>
        </w:tc>
      </w:tr>
      <w:tr>
        <w:trPr>
          <w:trHeight w:val="454" w:hRule="atLeast"/>
        </w:trPr>
        <w:tc>
          <w:tcPr>
            <w:tcW w:type="dxa" w:w="3249"/>
            <w:vAlign w:val="center"/>
          </w:tcPr>
          <w:p>
            <w:r/>
            <w:r>
              <w:rPr>
                <w:rFonts w:ascii="Figtree" w:hAnsi="Figtree"/>
                <w:b w:val="0"/>
                <w:i w:val="0"/>
                <w:sz w:val="22"/>
              </w:rPr>
              <w:t>UCITS compliance</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Investor eligibility, jurisdiction controls</w:t>
            </w:r>
          </w:p>
        </w:tc>
      </w:tr>
      <w:tr>
        <w:trPr>
          <w:trHeight w:val="454" w:hRule="atLeast"/>
        </w:trPr>
        <w:tc>
          <w:tcPr>
            <w:tcW w:type="dxa" w:w="3249"/>
            <w:vAlign w:val="center"/>
          </w:tcPr>
          <w:p>
            <w:r/>
            <w:r>
              <w:rPr>
                <w:rFonts w:ascii="Figtree" w:hAnsi="Figtree"/>
                <w:b w:val="0"/>
                <w:i w:val="0"/>
                <w:sz w:val="22"/>
              </w:rPr>
              <w:t>MiCA compliance</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Token classification, disclosure</w:t>
            </w:r>
          </w:p>
        </w:tc>
      </w:tr>
      <w:tr>
        <w:trPr>
          <w:trHeight w:val="454" w:hRule="atLeast"/>
        </w:trPr>
        <w:tc>
          <w:tcPr>
            <w:tcW w:type="dxa" w:w="3249"/>
            <w:vAlign w:val="center"/>
          </w:tcPr>
          <w:p>
            <w:r/>
            <w:r>
              <w:rPr>
                <w:rFonts w:ascii="Figtree" w:hAnsi="Figtree"/>
                <w:b w:val="0"/>
                <w:i w:val="0"/>
                <w:sz w:val="22"/>
              </w:rPr>
              <w:t>Transfer agent automation</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Core TA functions automated; full TA replacement requires additional configuration</w:t>
            </w:r>
          </w:p>
        </w:tc>
      </w:tr>
      <w:tr>
        <w:trPr>
          <w:trHeight w:val="454" w:hRule="atLeast"/>
        </w:trPr>
        <w:tc>
          <w:tcPr>
            <w:tcW w:type="dxa" w:w="3249"/>
            <w:vAlign w:val="center"/>
          </w:tcPr>
          <w:p>
            <w:r/>
            <w:r>
              <w:rPr>
                <w:rFonts w:ascii="Figtree" w:hAnsi="Figtree"/>
                <w:b w:val="0"/>
                <w:i w:val="0"/>
                <w:sz w:val="22"/>
              </w:rPr>
              <w:t>Swing pricing</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Fee feature supports anti-dilution; specific swing pricing formula requires configuration</w:t>
            </w:r>
          </w:p>
        </w:tc>
      </w:tr>
      <w:tr>
        <w:trPr>
          <w:trHeight w:val="454" w:hRule="atLeast"/>
        </w:trPr>
        <w:tc>
          <w:tcPr>
            <w:tcW w:type="dxa" w:w="3249"/>
            <w:vAlign w:val="center"/>
          </w:tcPr>
          <w:p>
            <w:r/>
            <w:r>
              <w:rPr>
                <w:rFonts w:ascii="Figtree" w:hAnsi="Figtree"/>
                <w:b w:val="0"/>
                <w:i w:val="0"/>
                <w:sz w:val="22"/>
              </w:rPr>
              <w:t>FundSettle/Euroclear integration</w:t>
            </w:r>
          </w:p>
        </w:tc>
        <w:tc>
          <w:tcPr>
            <w:tcW w:type="dxa" w:w="3249"/>
            <w:vAlign w:val="center"/>
          </w:tcPr>
          <w:p>
            <w:r/>
            <w:r>
              <w:rPr>
                <w:rFonts w:ascii="Figtree" w:hAnsi="Figtree"/>
                <w:b/>
                <w:i w:val="0"/>
                <w:sz w:val="22"/>
              </w:rPr>
              <w:t>Planned</w:t>
            </w:r>
          </w:p>
        </w:tc>
        <w:tc>
          <w:tcPr>
            <w:tcW w:type="dxa" w:w="3249"/>
            <w:vAlign w:val="center"/>
          </w:tcPr>
          <w:p>
            <w:r/>
            <w:r>
              <w:rPr>
                <w:rFonts w:ascii="Figtree" w:hAnsi="Figtree"/>
                <w:b w:val="0"/>
                <w:i w:val="0"/>
                <w:sz w:val="22"/>
              </w:rPr>
              <w:t>Integration architecture defined; requires joint development</w:t>
            </w:r>
          </w:p>
        </w:tc>
      </w:tr>
    </w:tbl>
    <w:p>
      <w:pPr>
        <w:pStyle w:val="H3"/>
        <w:numPr>
          <w:ilvl w:val="2"/>
          <w:numId w:val="1"/>
        </w:numPr>
      </w:pPr>
      <w:r>
        <w:t>Qualified Gaps</w:t>
      </w:r>
    </w:p>
    <w:p>
      <w:r>
        <w:rPr>
          <w:rFonts w:ascii="Figtree" w:hAnsi="Figtree"/>
          <w:b/>
          <w:i w:val="0"/>
          <w:sz w:val="22"/>
        </w:rPr>
        <w:t>Full transfer agent replacement — Partial.</w:t>
      </w:r>
      <w:r>
        <w:rPr>
          <w:rFonts w:ascii="Figtree" w:hAnsi="Figtree"/>
          <w:b w:val="0"/>
          <w:i w:val="0"/>
          <w:sz w:val="22"/>
        </w:rPr>
        <w:t xml:space="preserve"> DALP automates core TA functions (register maintenance, subscription/redemption processing, distribution calculations). Complete TA replacement including regulatory reporting, tax reclaim processing, and multi-currency settlement requires additional configuration and integration work estimated at 4 weeks beyond standard implementation.</w:t>
      </w:r>
    </w:p>
    <w:p>
      <w:r>
        <w:rPr>
          <w:rFonts w:ascii="Figtree" w:hAnsi="Figtree"/>
          <w:b/>
          <w:i w:val="0"/>
          <w:sz w:val="22"/>
        </w:rPr>
        <w:t>FundSettle/Euroclear integration — Planned.</w:t>
      </w:r>
      <w:r>
        <w:rPr>
          <w:rFonts w:ascii="Figtree" w:hAnsi="Figtree"/>
          <w:b w:val="0"/>
          <w:i w:val="0"/>
          <w:sz w:val="22"/>
        </w:rPr>
        <w:t xml:space="preserve"> Direct integration with Euroclear's FundSettle platform requires joint development. DALP provides the API surface and settlement instruction format; FundSettle connectivity requires BNP Paribas's existing CSD relationship and technical coordination. Timeline: achievable during implementation Phase 4.</w:t>
      </w:r>
    </w:p>
    <w:p>
      <w:r>
        <w:br w:type="page"/>
      </w:r>
    </w:p>
    <w:p>
      <w:pPr>
        <w:pStyle w:val="H2"/>
        <w:numPr>
          <w:ilvl w:val="1"/>
          <w:numId w:val="1"/>
        </w:numPr>
      </w:pPr>
      <w:r>
        <w:t>Relevant Delivery Evidence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Region</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KBC Securities (Bolero)</w:t>
            </w:r>
          </w:p>
        </w:tc>
        <w:tc>
          <w:tcPr>
            <w:tcW w:type="dxa" w:w="3249"/>
            <w:vAlign w:val="center"/>
          </w:tcPr>
          <w:p>
            <w:r/>
            <w:r>
              <w:rPr>
                <w:rFonts w:ascii="Figtree" w:hAnsi="Figtree"/>
                <w:b w:val="0"/>
                <w:i w:val="0"/>
                <w:sz w:val="22"/>
              </w:rPr>
              <w:t>Belgium</w:t>
            </w:r>
          </w:p>
        </w:tc>
        <w:tc>
          <w:tcPr>
            <w:tcW w:type="dxa" w:w="3249"/>
            <w:vAlign w:val="center"/>
          </w:tcPr>
          <w:p>
            <w:r/>
            <w:r>
              <w:rPr>
                <w:rFonts w:ascii="Figtree" w:hAnsi="Figtree"/>
                <w:b/>
                <w:i w:val="0"/>
                <w:sz w:val="22"/>
              </w:rPr>
              <w:t>Direct</w:t>
            </w:r>
            <w:r>
              <w:rPr>
                <w:rFonts w:ascii="Figtree" w:hAnsi="Figtree"/>
                <w:b w:val="0"/>
                <w:i w:val="0"/>
                <w:sz w:val="22"/>
              </w:rPr>
              <w:t xml:space="preserve"> — equity crowdfunding, corporate actions, fiat-backed tokens</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Singapore</w:t>
            </w:r>
          </w:p>
        </w:tc>
        <w:tc>
          <w:tcPr>
            <w:tcW w:type="dxa" w:w="3249"/>
            <w:vAlign w:val="center"/>
          </w:tcPr>
          <w:p>
            <w:r/>
            <w:r>
              <w:rPr>
                <w:rFonts w:ascii="Figtree" w:hAnsi="Figtree"/>
                <w:b w:val="0"/>
                <w:i w:val="0"/>
                <w:sz w:val="22"/>
              </w:rPr>
              <w:t>Securities tokenization, wealth products</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Germany</w:t>
            </w:r>
          </w:p>
        </w:tc>
        <w:tc>
          <w:tcPr>
            <w:tcW w:type="dxa" w:w="3249"/>
            <w:vAlign w:val="center"/>
          </w:tcPr>
          <w:p>
            <w:r/>
            <w:r>
              <w:rPr>
                <w:rFonts w:ascii="Figtree" w:hAnsi="Figtree"/>
                <w:b w:val="0"/>
                <w:i w:val="0"/>
                <w:sz w:val="22"/>
              </w:rPr>
              <w:t>Hybrid on/off-chain issuance, exchange listing</w:t>
            </w:r>
          </w:p>
        </w:tc>
      </w:tr>
      <w:tr>
        <w:trPr>
          <w:trHeight w:val="454" w:hRule="atLeast"/>
        </w:trPr>
        <w:tc>
          <w:tcPr>
            <w:tcW w:type="dxa" w:w="3249"/>
            <w:vAlign w:val="center"/>
          </w:tcPr>
          <w:p>
            <w:r/>
            <w:r>
              <w:rPr>
                <w:rFonts w:ascii="Figtree" w:hAnsi="Figtree"/>
                <w:b w:val="0"/>
                <w:i w:val="0"/>
                <w:sz w:val="22"/>
              </w:rPr>
              <w:t>Standard Chartered Bank</w:t>
            </w:r>
          </w:p>
        </w:tc>
        <w:tc>
          <w:tcPr>
            <w:tcW w:type="dxa" w:w="3249"/>
            <w:vAlign w:val="center"/>
          </w:tcPr>
          <w:p>
            <w:r/>
            <w:r>
              <w:rPr>
                <w:rFonts w:ascii="Figtree" w:hAnsi="Figtree"/>
                <w:b w:val="0"/>
                <w:i w:val="0"/>
                <w:sz w:val="22"/>
              </w:rPr>
              <w:t>Multi-region</w:t>
            </w:r>
          </w:p>
        </w:tc>
        <w:tc>
          <w:tcPr>
            <w:tcW w:type="dxa" w:w="3249"/>
            <w:vAlign w:val="center"/>
          </w:tcPr>
          <w:p>
            <w:r/>
            <w:r>
              <w:rPr>
                <w:rFonts w:ascii="Figtree" w:hAnsi="Figtree"/>
                <w:b w:val="0"/>
                <w:i w:val="0"/>
                <w:sz w:val="22"/>
              </w:rPr>
              <w:t>Multi-jurisdiction securities</w:t>
            </w:r>
          </w:p>
        </w:tc>
      </w:tr>
      <w:tr>
        <w:trPr>
          <w:trHeight w:val="454" w:hRule="atLeast"/>
        </w:trPr>
        <w:tc>
          <w:tcPr>
            <w:tcW w:type="dxa" w:w="3249"/>
            <w:vAlign w:val="center"/>
          </w:tcPr>
          <w:p>
            <w:r/>
            <w:r>
              <w:rPr>
                <w:rFonts w:ascii="Figtree" w:hAnsi="Figtree"/>
                <w:b w:val="0"/>
                <w:i w:val="0"/>
                <w:sz w:val="22"/>
              </w:rPr>
              <w:t>SIX Digital Exchange</w:t>
            </w:r>
          </w:p>
        </w:tc>
        <w:tc>
          <w:tcPr>
            <w:tcW w:type="dxa" w:w="3249"/>
            <w:vAlign w:val="center"/>
          </w:tcPr>
          <w:p>
            <w:r/>
            <w:r>
              <w:rPr>
                <w:rFonts w:ascii="Figtree" w:hAnsi="Figtree"/>
                <w:b w:val="0"/>
                <w:i w:val="0"/>
                <w:sz w:val="22"/>
              </w:rPr>
              <w:t>Switzerland</w:t>
            </w:r>
          </w:p>
        </w:tc>
        <w:tc>
          <w:tcPr>
            <w:tcW w:type="dxa" w:w="3249"/>
            <w:vAlign w:val="center"/>
          </w:tcPr>
          <w:p>
            <w:r/>
            <w:r>
              <w:rPr>
                <w:rFonts w:ascii="Figtree" w:hAnsi="Figtree"/>
                <w:b w:val="0"/>
                <w:i w:val="0"/>
                <w:sz w:val="22"/>
              </w:rPr>
              <w:t>Tokenized fund distribution reference</w:t>
            </w:r>
          </w:p>
        </w:tc>
      </w:tr>
    </w:tbl>
    <w:p>
      <w:pPr>
        <w:pStyle w:val="H3"/>
        <w:numPr>
          <w:ilvl w:val="2"/>
          <w:numId w:val="1"/>
        </w:numPr>
      </w:pPr>
      <w:r>
        <w:t>KBC Securities — Fund-Like Operations</w:t>
      </w:r>
    </w:p>
    <w:p>
      <w:r>
        <w:rPr>
          <w:rFonts w:ascii="Figtree" w:hAnsi="Figtree"/>
          <w:b w:val="0"/>
          <w:i w:val="0"/>
          <w:sz w:val="22"/>
        </w:rPr>
        <w:t>KBC Securities deployed DALP for Bolero Crowdfunding:</w:t>
      </w:r>
    </w:p>
    <w:p>
      <w:pPr>
        <w:pStyle w:val="ListParagraph"/>
        <w:numPr>
          <w:ilvl w:val="0"/>
          <w:numId w:val="4"/>
        </w:numPr>
      </w:pPr>
      <w:r>
        <w:rPr>
          <w:rFonts w:ascii="Figtree" w:hAnsi="Figtree"/>
          <w:b w:val="0"/>
          <w:i w:val="0"/>
          <w:sz w:val="22"/>
        </w:rPr>
        <w:t>Equity and SME loan tokenization</w:t>
      </w:r>
    </w:p>
    <w:p>
      <w:pPr>
        <w:pStyle w:val="ListParagraph"/>
        <w:numPr>
          <w:ilvl w:val="0"/>
          <w:numId w:val="4"/>
        </w:numPr>
      </w:pPr>
      <w:r>
        <w:rPr>
          <w:rFonts w:ascii="Figtree" w:hAnsi="Figtree"/>
          <w:b w:val="0"/>
          <w:i w:val="0"/>
          <w:sz w:val="22"/>
        </w:rPr>
        <w:t>Corporate actions processing (dividends, lifecycle events)</w:t>
      </w:r>
    </w:p>
    <w:p>
      <w:pPr>
        <w:pStyle w:val="ListParagraph"/>
        <w:numPr>
          <w:ilvl w:val="0"/>
          <w:numId w:val="4"/>
        </w:numPr>
      </w:pPr>
      <w:r>
        <w:rPr>
          <w:rFonts w:ascii="Figtree" w:hAnsi="Figtree"/>
          <w:b w:val="0"/>
          <w:i w:val="0"/>
          <w:sz w:val="22"/>
        </w:rPr>
        <w:t>Fiat-backed stable token for settlement</w:t>
      </w:r>
    </w:p>
    <w:p>
      <w:pPr>
        <w:pStyle w:val="ListParagraph"/>
        <w:numPr>
          <w:ilvl w:val="0"/>
          <w:numId w:val="4"/>
        </w:numPr>
      </w:pPr>
      <w:r>
        <w:rPr>
          <w:rFonts w:ascii="Figtree" w:hAnsi="Figtree"/>
          <w:b w:val="0"/>
          <w:i w:val="0"/>
          <w:sz w:val="22"/>
        </w:rPr>
        <w:t>Complete lifecycle from issuance through redemption</w:t>
      </w:r>
    </w:p>
    <w:p>
      <w:pPr>
        <w:pStyle w:val="ListParagraph"/>
        <w:numPr>
          <w:ilvl w:val="0"/>
          <w:numId w:val="4"/>
        </w:numPr>
      </w:pPr>
      <w:r>
        <w:rPr>
          <w:rFonts w:ascii="Figtree" w:hAnsi="Figtree"/>
          <w:b w:val="0"/>
          <w:i w:val="0"/>
          <w:sz w:val="22"/>
        </w:rPr>
        <w:t>Regulatory-compliant under Belgian securities law</w:t>
      </w:r>
    </w:p>
    <w:p>
      <w:pPr>
        <w:pStyle w:val="ListParagraph"/>
        <w:numPr>
          <w:ilvl w:val="0"/>
          <w:numId w:val="4"/>
        </w:numPr>
      </w:pPr>
      <w:r>
        <w:rPr>
          <w:rFonts w:ascii="Figtree" w:hAnsi="Figtree"/>
          <w:b w:val="0"/>
          <w:i w:val="0"/>
          <w:sz w:val="22"/>
        </w:rPr>
        <w:t>Demonstrates subscription, distribution, and redemption workflows</w:t>
      </w:r>
    </w:p>
    <w:p>
      <w:r>
        <w:br w:type="page"/>
      </w:r>
    </w:p>
    <w:p>
      <w:pPr>
        <w:pStyle w:val="H2"/>
        <w:numPr>
          <w:ilvl w:val="1"/>
          <w:numId w:val="1"/>
        </w:numPr>
      </w:pPr>
      <w:r>
        <w:t>Appendices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UCITS</w:t>
            </w:r>
          </w:p>
        </w:tc>
        <w:tc>
          <w:tcPr>
            <w:tcW w:type="dxa" w:w="4873"/>
            <w:vAlign w:val="center"/>
          </w:tcPr>
          <w:p>
            <w:r/>
            <w:r>
              <w:rPr>
                <w:rFonts w:ascii="Figtree" w:hAnsi="Figtree"/>
                <w:b w:val="0"/>
                <w:i w:val="0"/>
                <w:sz w:val="22"/>
              </w:rPr>
              <w:t>Undertakings for Collective Investment in Transferable Securities</w:t>
            </w:r>
          </w:p>
        </w:tc>
      </w:tr>
      <w:tr>
        <w:trPr>
          <w:trHeight w:val="454" w:hRule="atLeast"/>
        </w:trPr>
        <w:tc>
          <w:tcPr>
            <w:tcW w:type="dxa" w:w="4873"/>
            <w:vAlign w:val="center"/>
          </w:tcPr>
          <w:p>
            <w:r/>
            <w:r>
              <w:rPr>
                <w:rFonts w:ascii="Figtree" w:hAnsi="Figtree"/>
                <w:b w:val="0"/>
                <w:i w:val="0"/>
                <w:sz w:val="22"/>
              </w:rPr>
              <w:t>AIFMD</w:t>
            </w:r>
          </w:p>
        </w:tc>
        <w:tc>
          <w:tcPr>
            <w:tcW w:type="dxa" w:w="4873"/>
            <w:vAlign w:val="center"/>
          </w:tcPr>
          <w:p>
            <w:r/>
            <w:r>
              <w:rPr>
                <w:rFonts w:ascii="Figtree" w:hAnsi="Figtree"/>
                <w:b w:val="0"/>
                <w:i w:val="0"/>
                <w:sz w:val="22"/>
              </w:rPr>
              <w:t>Alternative Investment Fund Managers Directive</w:t>
            </w:r>
          </w:p>
        </w:tc>
      </w:tr>
      <w:tr>
        <w:trPr>
          <w:trHeight w:val="454" w:hRule="atLeast"/>
        </w:trPr>
        <w:tc>
          <w:tcPr>
            <w:tcW w:type="dxa" w:w="4873"/>
            <w:vAlign w:val="center"/>
          </w:tcPr>
          <w:p>
            <w:r/>
            <w:r>
              <w:rPr>
                <w:rFonts w:ascii="Figtree" w:hAnsi="Figtree"/>
                <w:b w:val="0"/>
                <w:i w:val="0"/>
                <w:sz w:val="22"/>
              </w:rPr>
              <w:t>MiCA</w:t>
            </w:r>
          </w:p>
        </w:tc>
        <w:tc>
          <w:tcPr>
            <w:tcW w:type="dxa" w:w="4873"/>
            <w:vAlign w:val="center"/>
          </w:tcPr>
          <w:p>
            <w:r/>
            <w:r>
              <w:rPr>
                <w:rFonts w:ascii="Figtree" w:hAnsi="Figtree"/>
                <w:b w:val="0"/>
                <w:i w:val="0"/>
                <w:sz w:val="22"/>
              </w:rPr>
              <w:t>Markets in Crypto-Assets Regulation</w:t>
            </w:r>
          </w:p>
        </w:tc>
      </w:tr>
      <w:tr>
        <w:trPr>
          <w:trHeight w:val="454" w:hRule="atLeast"/>
        </w:trPr>
        <w:tc>
          <w:tcPr>
            <w:tcW w:type="dxa" w:w="4873"/>
            <w:vAlign w:val="center"/>
          </w:tcPr>
          <w:p>
            <w:r/>
            <w:r>
              <w:rPr>
                <w:rFonts w:ascii="Figtree" w:hAnsi="Figtree"/>
                <w:b w:val="0"/>
                <w:i w:val="0"/>
                <w:sz w:val="22"/>
              </w:rPr>
              <w:t>MiFID II</w:t>
            </w:r>
          </w:p>
        </w:tc>
        <w:tc>
          <w:tcPr>
            <w:tcW w:type="dxa" w:w="4873"/>
            <w:vAlign w:val="center"/>
          </w:tcPr>
          <w:p>
            <w:r/>
            <w:r>
              <w:rPr>
                <w:rFonts w:ascii="Figtree" w:hAnsi="Figtree"/>
                <w:b w:val="0"/>
                <w:i w:val="0"/>
                <w:sz w:val="22"/>
              </w:rPr>
              <w:t>Markets in Financial Instruments Directive II</w:t>
            </w:r>
          </w:p>
        </w:tc>
      </w:tr>
      <w:tr>
        <w:trPr>
          <w:trHeight w:val="454" w:hRule="atLeast"/>
        </w:trPr>
        <w:tc>
          <w:tcPr>
            <w:tcW w:type="dxa" w:w="4873"/>
            <w:vAlign w:val="center"/>
          </w:tcPr>
          <w:p>
            <w:r/>
            <w:r>
              <w:rPr>
                <w:rFonts w:ascii="Figtree" w:hAnsi="Figtree"/>
                <w:b w:val="0"/>
                <w:i w:val="0"/>
                <w:sz w:val="22"/>
              </w:rPr>
              <w:t>NAV</w:t>
            </w:r>
          </w:p>
        </w:tc>
        <w:tc>
          <w:tcPr>
            <w:tcW w:type="dxa" w:w="4873"/>
            <w:vAlign w:val="center"/>
          </w:tcPr>
          <w:p>
            <w:r/>
            <w:r>
              <w:rPr>
                <w:rFonts w:ascii="Figtree" w:hAnsi="Figtree"/>
                <w:b w:val="0"/>
                <w:i w:val="0"/>
                <w:sz w:val="22"/>
              </w:rPr>
              <w:t>Net Asset Value</w:t>
            </w:r>
          </w:p>
        </w:tc>
      </w:tr>
      <w:tr>
        <w:trPr>
          <w:trHeight w:val="454" w:hRule="atLeast"/>
        </w:trPr>
        <w:tc>
          <w:tcPr>
            <w:tcW w:type="dxa" w:w="4873"/>
            <w:vAlign w:val="center"/>
          </w:tcPr>
          <w:p>
            <w:r/>
            <w:r>
              <w:rPr>
                <w:rFonts w:ascii="Figtree" w:hAnsi="Figtree"/>
                <w:b w:val="0"/>
                <w:i w:val="0"/>
                <w:sz w:val="22"/>
              </w:rPr>
              <w:t>KID</w:t>
            </w:r>
          </w:p>
        </w:tc>
        <w:tc>
          <w:tcPr>
            <w:tcW w:type="dxa" w:w="4873"/>
            <w:vAlign w:val="center"/>
          </w:tcPr>
          <w:p>
            <w:r/>
            <w:r>
              <w:rPr>
                <w:rFonts w:ascii="Figtree" w:hAnsi="Figtree"/>
                <w:b w:val="0"/>
                <w:i w:val="0"/>
                <w:sz w:val="22"/>
              </w:rPr>
              <w:t>Key Information Document (PRIIPS)</w:t>
            </w:r>
          </w:p>
        </w:tc>
      </w:tr>
      <w:tr>
        <w:trPr>
          <w:trHeight w:val="454" w:hRule="atLeast"/>
        </w:trPr>
        <w:tc>
          <w:tcPr>
            <w:tcW w:type="dxa" w:w="4873"/>
            <w:vAlign w:val="center"/>
          </w:tcPr>
          <w:p>
            <w:r/>
            <w:r>
              <w:rPr>
                <w:rFonts w:ascii="Figtree" w:hAnsi="Figtree"/>
                <w:b w:val="0"/>
                <w:i w:val="0"/>
                <w:sz w:val="22"/>
              </w:rPr>
              <w:t>TA</w:t>
            </w:r>
          </w:p>
        </w:tc>
        <w:tc>
          <w:tcPr>
            <w:tcW w:type="dxa" w:w="4873"/>
            <w:vAlign w:val="center"/>
          </w:tcPr>
          <w:p>
            <w:r/>
            <w:r>
              <w:rPr>
                <w:rFonts w:ascii="Figtree" w:hAnsi="Figtree"/>
                <w:b w:val="0"/>
                <w:i w:val="0"/>
                <w:sz w:val="22"/>
              </w:rPr>
              <w:t>Transfer Agent</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w:t>
            </w:r>
          </w:p>
        </w:tc>
      </w:tr>
      <w:tr>
        <w:trPr>
          <w:trHeight w:val="454" w:hRule="atLeast"/>
        </w:trPr>
        <w:tc>
          <w:tcPr>
            <w:tcW w:type="dxa" w:w="4873"/>
            <w:vAlign w:val="center"/>
          </w:tcPr>
          <w:p>
            <w:r/>
            <w:r>
              <w:rPr>
                <w:rFonts w:ascii="Figtree" w:hAnsi="Figtree"/>
                <w:b w:val="0"/>
                <w:i w:val="0"/>
                <w:sz w:val="22"/>
              </w:rPr>
              <w:t>AMF</w:t>
            </w:r>
          </w:p>
        </w:tc>
        <w:tc>
          <w:tcPr>
            <w:tcW w:type="dxa" w:w="4873"/>
            <w:vAlign w:val="center"/>
          </w:tcPr>
          <w:p>
            <w:r/>
            <w:r>
              <w:rPr>
                <w:rFonts w:ascii="Figtree" w:hAnsi="Figtree"/>
                <w:b w:val="0"/>
                <w:i w:val="0"/>
                <w:sz w:val="22"/>
              </w:rPr>
              <w:t>Autorité des marchés financiers (France)</w:t>
            </w:r>
          </w:p>
        </w:tc>
      </w:tr>
      <w:tr>
        <w:trPr>
          <w:trHeight w:val="454" w:hRule="atLeast"/>
        </w:trPr>
        <w:tc>
          <w:tcPr>
            <w:tcW w:type="dxa" w:w="4873"/>
            <w:vAlign w:val="center"/>
          </w:tcPr>
          <w:p>
            <w:r/>
            <w:r>
              <w:rPr>
                <w:rFonts w:ascii="Figtree" w:hAnsi="Figtree"/>
                <w:b w:val="0"/>
                <w:i w:val="0"/>
                <w:sz w:val="22"/>
              </w:rPr>
              <w:t>CSSF</w:t>
            </w:r>
          </w:p>
        </w:tc>
        <w:tc>
          <w:tcPr>
            <w:tcW w:type="dxa" w:w="4873"/>
            <w:vAlign w:val="center"/>
          </w:tcPr>
          <w:p>
            <w:r/>
            <w:r>
              <w:rPr>
                <w:rFonts w:ascii="Figtree" w:hAnsi="Figtree"/>
                <w:b w:val="0"/>
                <w:i w:val="0"/>
                <w:sz w:val="22"/>
              </w:rPr>
              <w:t>Commission de Surveillance du Secteur Financier (Luxembourg)</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