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14:paraId="4EFBB1EA" w14:textId="77777777" w:rsidR="006B6750" w:rsidRPr="00A9690B" w:rsidRDefault="006B6750"/>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t xml:space="preserve">Table of Contents</w:t>
            <w:rPr>
              <w:b/>
              <w:sz w:val="32"/>
              <w:color w:val="000099"/>
            </w:rPr>
          </w:r>
        </w:p>
        <w:p>
          <w:r>
            <w:fldChar w:fldCharType="begin"/>
            <w:instrText xml:space="preserve"> TOC \o "1-4" \h \z \u </w:instrText>
            <w:fldChar w:fldCharType="separate"/>
          </w:r>
        </w:p>
        <w:p>
          <w:pPr>
            <w:ind w:left="720"/>
          </w:pPr>
          <w:r>
            <w:t xml:space="preserve">Executive Summary</w:t>
            <w:rPr>
              <w:sz w:val="22"/>
              <w:rFonts w:ascii="Figtree" w:hAnsi="Figtree"/>
            </w:rPr>
          </w:r>
        </w:p>
        <w:p>
          <w:pPr>
            <w:ind w:left="720"/>
          </w:pPr>
          <w:r>
            <w:t xml:space="preserve">Licensing: Sovereign Tier</w:t>
            <w:rPr>
              <w:sz w:val="22"/>
              <w:rFonts w:ascii="Figtree" w:hAnsi="Figtree"/>
            </w:rPr>
          </w:r>
        </w:p>
        <w:p>
          <w:pPr>
            <w:ind w:left="720"/>
          </w:pPr>
          <w:r>
            <w:t xml:space="preserve">Implementation: Three-Phase Programme</w:t>
            <w:rPr>
              <w:sz w:val="22"/>
              <w:rFonts w:ascii="Figtree" w:hAnsi="Figtree"/>
            </w:rPr>
          </w:r>
        </w:p>
        <w:p>
          <w:pPr>
            <w:ind w:left="720"/>
          </w:pPr>
          <w:r>
            <w:t xml:space="preserve">Support: Enterprise Tier (Sovereign)</w:t>
            <w:rPr>
              <w:sz w:val="22"/>
              <w:rFonts w:ascii="Figtree" w:hAnsi="Figtree"/>
            </w:rPr>
          </w:r>
        </w:p>
        <w:p>
          <w:pPr>
            <w:ind w:left="720"/>
          </w:pPr>
          <w:r>
            <w:t xml:space="preserve">Multi-Year TCO</w:t>
            <w:rPr>
              <w:sz w:val="22"/>
              <w:rFonts w:ascii="Figtree" w:hAnsi="Figtree"/>
            </w:rPr>
          </w:r>
        </w:p>
        <w:p>
          <w:pPr>
            <w:ind w:left="1440"/>
          </w:pPr>
          <w:r>
            <w:t xml:space="preserve">Exclusions</w:t>
            <w:rPr>
              <w:sz w:val="22"/>
              <w:rFonts w:ascii="Figtree" w:hAnsi="Figtree"/>
            </w:rPr>
          </w:r>
        </w:p>
        <w:p>
          <w:pPr>
            <w:ind w:left="720"/>
          </w:pPr>
          <w:r>
            <w:t xml:space="preserve">Contractual Framework</w:t>
            <w:rPr>
              <w:sz w:val="22"/>
              <w:rFonts w:ascii="Figtree" w:hAnsi="Figtree"/>
            </w:rPr>
          </w:r>
        </w:p>
        <w:p>
          <w:pPr>
            <w:ind w:left="720"/>
          </w:pPr>
          <w:r>
            <w:t xml:space="preserve">Decision Summary</w:t>
            <w:rPr>
              <w:sz w:val="22"/>
              <w:rFonts w:ascii="Figtree" w:hAnsi="Figtree"/>
            </w:rPr>
          </w:r>
        </w:p>
        <w:p>
          <w:r>
            <w:fldChar w:fldCharType="end"/>
          </w:r>
        </w:p>
      </w:sdtContent>
    </w:sdt>
    <w:p w14:paraId="71724572" w14:textId="77777777" w:rsidR="006B6750" w:rsidRPr="00A9690B" w:rsidRDefault="006B6750"/>
    <w:p w14:paraId="47DF0F8A" w14:textId="77777777" w:rsidR="006B6750" w:rsidRPr="00A9690B" w:rsidRDefault="006B6750"/>
    <w:p w14:paraId="5363F4FA" w14:textId="77777777" w:rsidR="006B6750" w:rsidRPr="00A9690B" w:rsidRDefault="006B6750"/>
    <w:p w14:paraId="3CB9FE7A" w14:textId="77777777" w:rsidR="006B6750" w:rsidRPr="00A9690B" w:rsidRDefault="006B6750" w:rsidP="0018162B">
      <w:pPr>
        <w:rPr>
          <w:rFonts w:eastAsiaTheme="majorEastAsia" w:cstheme="majorBidi"/>
          <w:b/>
          <w:color w:val="0070C0"/>
          <w:sz w:val="32"/>
          <w:szCs w:val="40"/>
        </w:rPr>
      </w:pPr>
      <w:r w:rsidRPr="00A9690B">
        <w:br w:type="page"/>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Field</w:t>
            </w:r>
          </w:p>
        </w:tc>
        <w:tc>
          <w:tcPr>
            <w:tcW w:type="dxa" w:w="4873"/>
            <w:vAlign w:val="center"/>
            <w:shd w:fill="000099" w:val="clear"/>
          </w:tcPr>
          <w:p>
            <w:r>
              <w:rPr>
                <w:b/>
                <w:color w:val="FFFFFF"/>
              </w:rPr>
            </w:r>
            <w:r>
              <w:rPr>
                <w:rFonts w:ascii="Figtree" w:hAnsi="Figtree"/>
                <w:b/>
                <w:i w:val="0"/>
                <w:color w:val="FFFFFF"/>
                <w:sz w:val="22"/>
              </w:rPr>
              <w:t>Value</w:t>
            </w:r>
          </w:p>
        </w:tc>
      </w:tr>
      <w:tr>
        <w:trPr>
          <w:trHeight w:val="454" w:hRule="atLeast"/>
        </w:trPr>
        <w:tc>
          <w:tcPr>
            <w:tcW w:type="dxa" w:w="4873"/>
            <w:vAlign w:val="center"/>
          </w:tcPr>
          <w:p>
            <w:r/>
            <w:r>
              <w:rPr>
                <w:rFonts w:ascii="Figtree" w:hAnsi="Figtree"/>
                <w:b w:val="0"/>
                <w:i w:val="0"/>
                <w:sz w:val="22"/>
              </w:rPr>
              <w:t>Proposal title</w:t>
            </w:r>
          </w:p>
        </w:tc>
        <w:tc>
          <w:tcPr>
            <w:tcW w:type="dxa" w:w="4873"/>
            <w:vAlign w:val="center"/>
          </w:tcPr>
          <w:p>
            <w:r/>
            <w:r>
              <w:rPr>
                <w:rFonts w:ascii="Figtree" w:hAnsi="Figtree"/>
                <w:b w:val="0"/>
                <w:i w:val="0"/>
                <w:sz w:val="22"/>
              </w:rPr>
              <w:t>Commercial Proposal — CBDC and Digital Dirham Enabling Infrastructure</w:t>
            </w:r>
          </w:p>
        </w:tc>
      </w:tr>
      <w:tr>
        <w:trPr>
          <w:trHeight w:val="454" w:hRule="atLeast"/>
        </w:trPr>
        <w:tc>
          <w:tcPr>
            <w:tcW w:type="dxa" w:w="4873"/>
            <w:vAlign w:val="center"/>
          </w:tcPr>
          <w:p>
            <w:r/>
            <w:r>
              <w:rPr>
                <w:rFonts w:ascii="Figtree" w:hAnsi="Figtree"/>
                <w:b w:val="0"/>
                <w:i w:val="0"/>
                <w:sz w:val="22"/>
              </w:rPr>
              <w:t>Client</w:t>
            </w:r>
          </w:p>
        </w:tc>
        <w:tc>
          <w:tcPr>
            <w:tcW w:type="dxa" w:w="4873"/>
            <w:vAlign w:val="center"/>
          </w:tcPr>
          <w:p>
            <w:r/>
            <w:r>
              <w:rPr>
                <w:rFonts w:ascii="Figtree" w:hAnsi="Figtree"/>
                <w:b w:val="0"/>
                <w:i w:val="0"/>
                <w:sz w:val="22"/>
              </w:rPr>
              <w:t>Central Bank of UAE</w:t>
            </w:r>
          </w:p>
        </w:tc>
      </w:tr>
      <w:tr>
        <w:trPr>
          <w:trHeight w:val="454" w:hRule="atLeast"/>
        </w:trPr>
        <w:tc>
          <w:tcPr>
            <w:tcW w:type="dxa" w:w="4873"/>
            <w:vAlign w:val="center"/>
          </w:tcPr>
          <w:p>
            <w:r/>
            <w:r>
              <w:rPr>
                <w:rFonts w:ascii="Figtree" w:hAnsi="Figtree"/>
                <w:b w:val="0"/>
                <w:i w:val="0"/>
                <w:sz w:val="22"/>
              </w:rPr>
              <w:t>Submitted by</w:t>
            </w:r>
          </w:p>
        </w:tc>
        <w:tc>
          <w:tcPr>
            <w:tcW w:type="dxa" w:w="4873"/>
            <w:vAlign w:val="center"/>
          </w:tcPr>
          <w:p>
            <w:r/>
            <w:r>
              <w:rPr>
                <w:rFonts w:ascii="Figtree" w:hAnsi="Figtree"/>
                <w:b w:val="0"/>
                <w:i w:val="0"/>
                <w:sz w:val="22"/>
              </w:rPr>
              <w:t>SettleMint NV</w:t>
            </w:r>
          </w:p>
        </w:tc>
      </w:tr>
      <w:tr>
        <w:trPr>
          <w:trHeight w:val="454" w:hRule="atLeast"/>
        </w:trPr>
        <w:tc>
          <w:tcPr>
            <w:tcW w:type="dxa" w:w="4873"/>
            <w:vAlign w:val="center"/>
          </w:tcPr>
          <w:p>
            <w:r/>
            <w:r>
              <w:rPr>
                <w:rFonts w:ascii="Figtree" w:hAnsi="Figtree"/>
                <w:b w:val="0"/>
                <w:i w:val="0"/>
                <w:sz w:val="22"/>
              </w:rPr>
              <w:t>Date</w:t>
            </w:r>
          </w:p>
        </w:tc>
        <w:tc>
          <w:tcPr>
            <w:tcW w:type="dxa" w:w="4873"/>
            <w:vAlign w:val="center"/>
          </w:tcPr>
          <w:p>
            <w:r/>
            <w:r>
              <w:rPr>
                <w:rFonts w:ascii="Figtree" w:hAnsi="Figtree"/>
                <w:b w:val="0"/>
                <w:i w:val="0"/>
                <w:sz w:val="22"/>
              </w:rPr>
              <w:t>March 2026</w:t>
            </w:r>
          </w:p>
        </w:tc>
      </w:tr>
      <w:tr>
        <w:trPr>
          <w:trHeight w:val="454" w:hRule="atLeast"/>
        </w:trPr>
        <w:tc>
          <w:tcPr>
            <w:tcW w:type="dxa" w:w="4873"/>
            <w:vAlign w:val="center"/>
          </w:tcPr>
          <w:p>
            <w:r/>
            <w:r>
              <w:rPr>
                <w:rFonts w:ascii="Figtree" w:hAnsi="Figtree"/>
                <w:b w:val="0"/>
                <w:i w:val="0"/>
                <w:sz w:val="22"/>
              </w:rPr>
              <w:t>Version</w:t>
            </w:r>
          </w:p>
        </w:tc>
        <w:tc>
          <w:tcPr>
            <w:tcW w:type="dxa" w:w="4873"/>
            <w:vAlign w:val="center"/>
          </w:tcPr>
          <w:p>
            <w:r/>
            <w:r>
              <w:rPr>
                <w:rFonts w:ascii="Figtree" w:hAnsi="Figtree"/>
                <w:b w:val="0"/>
                <w:i w:val="0"/>
                <w:sz w:val="22"/>
              </w:rPr>
              <w:t>v1.0</w:t>
            </w:r>
          </w:p>
        </w:tc>
      </w:tr>
      <w:tr>
        <w:trPr>
          <w:trHeight w:val="454" w:hRule="atLeast"/>
        </w:trPr>
        <w:tc>
          <w:tcPr>
            <w:tcW w:type="dxa" w:w="4873"/>
            <w:vAlign w:val="center"/>
          </w:tcPr>
          <w:p>
            <w:r/>
            <w:r>
              <w:rPr>
                <w:rFonts w:ascii="Figtree" w:hAnsi="Figtree"/>
                <w:b w:val="0"/>
                <w:i w:val="0"/>
                <w:sz w:val="22"/>
              </w:rPr>
              <w:t>Confidentiality</w:t>
            </w:r>
          </w:p>
        </w:tc>
        <w:tc>
          <w:tcPr>
            <w:tcW w:type="dxa" w:w="4873"/>
            <w:vAlign w:val="center"/>
          </w:tcPr>
          <w:p>
            <w:r/>
            <w:r>
              <w:rPr>
                <w:rFonts w:ascii="Figtree" w:hAnsi="Figtree"/>
                <w:b w:val="0"/>
                <w:i w:val="0"/>
                <w:sz w:val="22"/>
              </w:rPr>
              <w:t>Restricted</w:t>
            </w:r>
          </w:p>
        </w:tc>
      </w:tr>
      <w:tr>
        <w:trPr>
          <w:trHeight w:val="454" w:hRule="atLeast"/>
        </w:trPr>
        <w:tc>
          <w:tcPr>
            <w:tcW w:type="dxa" w:w="4873"/>
            <w:vAlign w:val="center"/>
          </w:tcPr>
          <w:p>
            <w:r/>
            <w:r>
              <w:rPr>
                <w:rFonts w:ascii="Figtree" w:hAnsi="Figtree"/>
                <w:b w:val="0"/>
                <w:i w:val="0"/>
                <w:sz w:val="22"/>
              </w:rPr>
              <w:t>RFP Reference</w:t>
            </w:r>
          </w:p>
        </w:tc>
        <w:tc>
          <w:tcPr>
            <w:tcW w:type="dxa" w:w="4873"/>
            <w:vAlign w:val="center"/>
          </w:tcPr>
          <w:p>
            <w:r/>
            <w:r>
              <w:rPr>
                <w:rFonts w:ascii="Figtree" w:hAnsi="Figtree"/>
                <w:b w:val="0"/>
                <w:i w:val="0"/>
                <w:sz w:val="22"/>
              </w:rPr>
              <w:t>CENTRAL-BANK-OF-UAE-RFP-CBDC-DIGITAL-DIRHAM-INFRASTRUCTURE-202603</w:t>
            </w:r>
          </w:p>
        </w:tc>
      </w:tr>
    </w:tbl>
    <w:p>
      <w:r>
        <w:br w:type="page"/>
      </w:r>
    </w:p>
    <w:p>
      <w:pPr>
        <w:pStyle w:val="H2"/>
        <w:numPr>
          <w:ilvl w:val="1"/>
          <w:numId w:val="1"/>
        </w:numPr>
      </w:pPr>
      <w:r>
        <w:t>Executive Summary</w:t>
      </w:r>
    </w:p>
    <w:p>
      <w:r>
        <w:rPr>
          <w:rFonts w:ascii="Figtree" w:hAnsi="Figtree"/>
          <w:b w:val="0"/>
          <w:i w:val="0"/>
          <w:sz w:val="22"/>
        </w:rPr>
        <w:t>The CBUAE requires sovereign-grade infrastructure for the Digital Dirham programme. This commercial proposal presents SettleMint's licensing, implementation, and support model for DALP as the enabling platform — structured for the multi-phase, multi-year nature of CBDC deployment.</w:t>
      </w:r>
    </w:p>
    <w:p>
      <w:r>
        <w:rPr>
          <w:rFonts w:ascii="Figtree" w:hAnsi="Figtree"/>
          <w:b/>
          <w:i w:val="0"/>
          <w:sz w:val="22"/>
        </w:rPr>
        <w:t>Recommendation:</w:t>
      </w:r>
      <w:r>
        <w:rPr>
          <w:rFonts w:ascii="Figtree" w:hAnsi="Figtree"/>
          <w:b w:val="0"/>
          <w:i w:val="0"/>
          <w:sz w:val="22"/>
        </w:rPr>
        <w:t xml:space="preserve"> Sovereign tier (Tier 3) platform license with Enterprise support (24×7), phased 18-month implementation across wholesale, retail pilot, and full deployment.</w:t>
      </w:r>
    </w:p>
    <w:p>
      <w:r>
        <w:br w:type="page"/>
      </w:r>
    </w:p>
    <w:p>
      <w:pPr>
        <w:pStyle w:val="H2"/>
        <w:numPr>
          <w:ilvl w:val="1"/>
          <w:numId w:val="1"/>
        </w:numPr>
      </w:pPr>
      <w:r>
        <w:t>Licensing: Sovereign Tier</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Included</w:t>
            </w:r>
          </w:p>
        </w:tc>
        <w:tc>
          <w:tcPr>
            <w:tcW w:type="dxa" w:w="4873"/>
            <w:vAlign w:val="center"/>
            <w:shd w:fill="000099" w:val="clear"/>
          </w:tcPr>
          <w:p>
            <w:r>
              <w:rPr>
                <w:b/>
                <w:color w:val="FFFFFF"/>
              </w:rPr>
            </w:r>
            <w:r>
              <w:rPr>
                <w:rFonts w:ascii="Figtree" w:hAnsi="Figtree"/>
                <w:b/>
                <w:i w:val="0"/>
                <w:color w:val="FFFFFF"/>
                <w:sz w:val="22"/>
              </w:rPr>
              <w:t>Detail</w:t>
            </w:r>
          </w:p>
        </w:tc>
      </w:tr>
      <w:tr>
        <w:trPr>
          <w:trHeight w:val="454" w:hRule="atLeast"/>
        </w:trPr>
        <w:tc>
          <w:tcPr>
            <w:tcW w:type="dxa" w:w="4873"/>
            <w:vAlign w:val="center"/>
          </w:tcPr>
          <w:p>
            <w:r/>
            <w:r>
              <w:rPr>
                <w:rFonts w:ascii="Figtree" w:hAnsi="Figtree"/>
                <w:b w:val="0"/>
                <w:i w:val="0"/>
                <w:sz w:val="22"/>
              </w:rPr>
              <w:t>Full platform capabilities</w:t>
            </w:r>
          </w:p>
        </w:tc>
        <w:tc>
          <w:tcPr>
            <w:tcW w:type="dxa" w:w="4873"/>
            <w:vAlign w:val="center"/>
          </w:tcPr>
          <w:p>
            <w:r/>
            <w:r>
              <w:rPr>
                <w:rFonts w:ascii="Figtree" w:hAnsi="Figtree"/>
                <w:b w:val="0"/>
                <w:i w:val="0"/>
                <w:sz w:val="22"/>
              </w:rPr>
              <w:t>All lifecycle pillars, compliance modules, API surface</w:t>
            </w:r>
          </w:p>
        </w:tc>
      </w:tr>
      <w:tr>
        <w:trPr>
          <w:trHeight w:val="454" w:hRule="atLeast"/>
        </w:trPr>
        <w:tc>
          <w:tcPr>
            <w:tcW w:type="dxa" w:w="4873"/>
            <w:vAlign w:val="center"/>
          </w:tcPr>
          <w:p>
            <w:r/>
            <w:r>
              <w:rPr>
                <w:rFonts w:ascii="Figtree" w:hAnsi="Figtree"/>
                <w:b w:val="0"/>
                <w:i w:val="0"/>
                <w:sz w:val="22"/>
              </w:rPr>
              <w:t>Sovereign-grade support</w:t>
            </w:r>
          </w:p>
        </w:tc>
        <w:tc>
          <w:tcPr>
            <w:tcW w:type="dxa" w:w="4873"/>
            <w:vAlign w:val="center"/>
          </w:tcPr>
          <w:p>
            <w:r/>
            <w:r>
              <w:rPr>
                <w:rFonts w:ascii="Figtree" w:hAnsi="Figtree"/>
                <w:b w:val="0"/>
                <w:i w:val="0"/>
                <w:sz w:val="22"/>
              </w:rPr>
              <w:t>24×7 coverage, 1-hour P1 response</w:t>
            </w:r>
          </w:p>
        </w:tc>
      </w:tr>
      <w:tr>
        <w:trPr>
          <w:trHeight w:val="454" w:hRule="atLeast"/>
        </w:trPr>
        <w:tc>
          <w:tcPr>
            <w:tcW w:type="dxa" w:w="4873"/>
            <w:vAlign w:val="center"/>
          </w:tcPr>
          <w:p>
            <w:r/>
            <w:r>
              <w:rPr>
                <w:rFonts w:ascii="Figtree" w:hAnsi="Figtree"/>
                <w:b w:val="0"/>
                <w:i w:val="0"/>
                <w:sz w:val="22"/>
              </w:rPr>
              <w:t>Dedicated infrastructure</w:t>
            </w:r>
          </w:p>
        </w:tc>
        <w:tc>
          <w:tcPr>
            <w:tcW w:type="dxa" w:w="4873"/>
            <w:vAlign w:val="center"/>
          </w:tcPr>
          <w:p>
            <w:r/>
            <w:r>
              <w:rPr>
                <w:rFonts w:ascii="Figtree" w:hAnsi="Figtree"/>
                <w:b w:val="0"/>
                <w:i w:val="0"/>
                <w:sz w:val="22"/>
              </w:rPr>
              <w:t>Fully isolated deployment, UAE-resident</w:t>
            </w:r>
          </w:p>
        </w:tc>
      </w:tr>
      <w:tr>
        <w:trPr>
          <w:trHeight w:val="454" w:hRule="atLeast"/>
        </w:trPr>
        <w:tc>
          <w:tcPr>
            <w:tcW w:type="dxa" w:w="4873"/>
            <w:vAlign w:val="center"/>
          </w:tcPr>
          <w:p>
            <w:r/>
            <w:r>
              <w:rPr>
                <w:rFonts w:ascii="Figtree" w:hAnsi="Figtree"/>
                <w:b w:val="0"/>
                <w:i w:val="0"/>
                <w:sz w:val="22"/>
              </w:rPr>
              <w:t>Multi-environment</w:t>
            </w:r>
          </w:p>
        </w:tc>
        <w:tc>
          <w:tcPr>
            <w:tcW w:type="dxa" w:w="4873"/>
            <w:vAlign w:val="center"/>
          </w:tcPr>
          <w:p>
            <w:r/>
            <w:r>
              <w:rPr>
                <w:rFonts w:ascii="Figtree" w:hAnsi="Figtree"/>
                <w:b w:val="0"/>
                <w:i w:val="0"/>
                <w:sz w:val="22"/>
              </w:rPr>
              <w:t>Dev, UAT, Sandbox, DR, Production</w:t>
            </w:r>
          </w:p>
        </w:tc>
      </w:tr>
      <w:tr>
        <w:trPr>
          <w:trHeight w:val="454" w:hRule="atLeast"/>
        </w:trPr>
        <w:tc>
          <w:tcPr>
            <w:tcW w:type="dxa" w:w="4873"/>
            <w:vAlign w:val="center"/>
          </w:tcPr>
          <w:p>
            <w:r/>
            <w:r>
              <w:rPr>
                <w:rFonts w:ascii="Figtree" w:hAnsi="Figtree"/>
                <w:b w:val="0"/>
                <w:i w:val="0"/>
                <w:sz w:val="22"/>
              </w:rPr>
              <w:t>Network governance</w:t>
            </w:r>
          </w:p>
        </w:tc>
        <w:tc>
          <w:tcPr>
            <w:tcW w:type="dxa" w:w="4873"/>
            <w:vAlign w:val="center"/>
          </w:tcPr>
          <w:p>
            <w:r/>
            <w:r>
              <w:rPr>
                <w:rFonts w:ascii="Figtree" w:hAnsi="Figtree"/>
                <w:b w:val="0"/>
                <w:i w:val="0"/>
                <w:sz w:val="22"/>
              </w:rPr>
              <w:t>Permissioned Besu with CBUAE-controlled validators</w:t>
            </w:r>
          </w:p>
        </w:tc>
      </w:tr>
      <w:tr>
        <w:trPr>
          <w:trHeight w:val="454" w:hRule="atLeast"/>
        </w:trPr>
        <w:tc>
          <w:tcPr>
            <w:tcW w:type="dxa" w:w="4873"/>
            <w:vAlign w:val="center"/>
          </w:tcPr>
          <w:p>
            <w:r/>
            <w:r>
              <w:rPr>
                <w:rFonts w:ascii="Figtree" w:hAnsi="Figtree"/>
                <w:b w:val="0"/>
                <w:i w:val="0"/>
                <w:sz w:val="22"/>
              </w:rPr>
              <w:t>Platform updates</w:t>
            </w:r>
          </w:p>
        </w:tc>
        <w:tc>
          <w:tcPr>
            <w:tcW w:type="dxa" w:w="4873"/>
            <w:vAlign w:val="center"/>
          </w:tcPr>
          <w:p>
            <w:r/>
            <w:r>
              <w:rPr>
                <w:rFonts w:ascii="Figtree" w:hAnsi="Figtree"/>
                <w:b w:val="0"/>
                <w:i w:val="0"/>
                <w:sz w:val="22"/>
              </w:rPr>
              <w:t>All releases, security patches, CBDC-specific enhancements</w:t>
            </w:r>
          </w:p>
        </w:tc>
      </w:tr>
      <w:tr>
        <w:trPr>
          <w:trHeight w:val="454" w:hRule="atLeast"/>
        </w:trPr>
        <w:tc>
          <w:tcPr>
            <w:tcW w:type="dxa" w:w="4873"/>
            <w:vAlign w:val="center"/>
          </w:tcPr>
          <w:p>
            <w:r/>
            <w:r>
              <w:rPr>
                <w:rFonts w:ascii="Figtree" w:hAnsi="Figtree"/>
                <w:b/>
                <w:i w:val="0"/>
                <w:sz w:val="22"/>
              </w:rPr>
              <w:t>Annual license</w:t>
            </w:r>
          </w:p>
        </w:tc>
        <w:tc>
          <w:tcPr>
            <w:tcW w:type="dxa" w:w="4873"/>
            <w:vAlign w:val="center"/>
          </w:tcPr>
          <w:p>
            <w:r/>
            <w:r>
              <w:rPr>
                <w:rFonts w:ascii="Figtree" w:hAnsi="Figtree"/>
                <w:b/>
                <w:i w:val="0"/>
                <w:sz w:val="22"/>
              </w:rPr>
              <w:t>[CLIENT-SPECIFIC — sovereign pricing]</w:t>
            </w:r>
          </w:p>
        </w:tc>
      </w:tr>
    </w:tbl>
    <w:p>
      <w:r>
        <w:br w:type="page"/>
      </w:r>
    </w:p>
    <w:p>
      <w:pPr>
        <w:pStyle w:val="H2"/>
        <w:numPr>
          <w:ilvl w:val="1"/>
          <w:numId w:val="1"/>
        </w:numPr>
      </w:pPr>
      <w:r>
        <w:t>Implementation: Three-Phase Programme</w:t>
      </w:r>
    </w:p>
    <w:tbl>
      <w:tblPr>
        <w:tblStyle w:val="TableGrid"/>
        <w:tblW w:type="auto" w:w="0"/>
        <w:jc w:val="center"/>
        <w:tblLook w:firstColumn="1" w:firstRow="1" w:lastColumn="0" w:lastRow="0" w:noHBand="0" w:noVBand="1" w:val="04A0"/>
      </w:tblPr>
      <w:tblGrid>
        <w:gridCol w:w="2436"/>
        <w:gridCol w:w="2436"/>
        <w:gridCol w:w="2436"/>
        <w:gridCol w:w="2436"/>
      </w:tblGrid>
      <w:tr>
        <w:trPr>
          <w:trHeight w:val="624" w:hRule="atLeast"/>
        </w:trPr>
        <w:tc>
          <w:tcPr>
            <w:tcW w:type="dxa" w:w="2436"/>
            <w:vAlign w:val="center"/>
            <w:shd w:fill="000099" w:val="clear"/>
          </w:tcPr>
          <w:p>
            <w:r>
              <w:rPr>
                <w:b/>
                <w:color w:val="FFFFFF"/>
              </w:rPr>
            </w:r>
            <w:r>
              <w:rPr>
                <w:rFonts w:ascii="Figtree" w:hAnsi="Figtree"/>
                <w:b/>
                <w:i w:val="0"/>
                <w:color w:val="FFFFFF"/>
                <w:sz w:val="22"/>
              </w:rPr>
              <w:t>Phase</w:t>
            </w:r>
          </w:p>
        </w:tc>
        <w:tc>
          <w:tcPr>
            <w:tcW w:type="dxa" w:w="2436"/>
            <w:vAlign w:val="center"/>
            <w:shd w:fill="000099" w:val="clear"/>
          </w:tcPr>
          <w:p>
            <w:r>
              <w:rPr>
                <w:b/>
                <w:color w:val="FFFFFF"/>
              </w:rPr>
            </w:r>
            <w:r>
              <w:rPr>
                <w:rFonts w:ascii="Figtree" w:hAnsi="Figtree"/>
                <w:b/>
                <w:i w:val="0"/>
                <w:color w:val="FFFFFF"/>
                <w:sz w:val="22"/>
              </w:rPr>
              <w:t>Duration</w:t>
            </w:r>
          </w:p>
        </w:tc>
        <w:tc>
          <w:tcPr>
            <w:tcW w:type="dxa" w:w="2436"/>
            <w:vAlign w:val="center"/>
            <w:shd w:fill="000099" w:val="clear"/>
          </w:tcPr>
          <w:p>
            <w:r>
              <w:rPr>
                <w:b/>
                <w:color w:val="FFFFFF"/>
              </w:rPr>
            </w:r>
            <w:r>
              <w:rPr>
                <w:rFonts w:ascii="Figtree" w:hAnsi="Figtree"/>
                <w:b/>
                <w:i w:val="0"/>
                <w:color w:val="FFFFFF"/>
                <w:sz w:val="22"/>
              </w:rPr>
              <w:t>Scope</w:t>
            </w:r>
          </w:p>
        </w:tc>
        <w:tc>
          <w:tcPr>
            <w:tcW w:type="dxa" w:w="2436"/>
            <w:vAlign w:val="center"/>
            <w:shd w:fill="000099" w:val="clear"/>
          </w:tcPr>
          <w:p>
            <w:r>
              <w:rPr>
                <w:b/>
                <w:color w:val="FFFFFF"/>
              </w:rPr>
            </w:r>
            <w:r>
              <w:rPr>
                <w:rFonts w:ascii="Figtree" w:hAnsi="Figtree"/>
                <w:b/>
                <w:i w:val="0"/>
                <w:color w:val="FFFFFF"/>
                <w:sz w:val="22"/>
              </w:rPr>
              <w:t>Fee Basis</w:t>
            </w:r>
          </w:p>
        </w:tc>
      </w:tr>
      <w:tr>
        <w:trPr>
          <w:trHeight w:val="454" w:hRule="atLeast"/>
        </w:trPr>
        <w:tc>
          <w:tcPr>
            <w:tcW w:type="dxa" w:w="2436"/>
            <w:vAlign w:val="center"/>
          </w:tcPr>
          <w:p>
            <w:r/>
            <w:r>
              <w:rPr>
                <w:rFonts w:ascii="Figtree" w:hAnsi="Figtree"/>
                <w:b w:val="0"/>
                <w:i w:val="0"/>
                <w:sz w:val="22"/>
              </w:rPr>
              <w:t>Phase A: Wholesale CBDC</w:t>
            </w:r>
          </w:p>
        </w:tc>
        <w:tc>
          <w:tcPr>
            <w:tcW w:type="dxa" w:w="2436"/>
            <w:vAlign w:val="center"/>
          </w:tcPr>
          <w:p>
            <w:r/>
            <w:r>
              <w:rPr>
                <w:rFonts w:ascii="Figtree" w:hAnsi="Figtree"/>
                <w:b w:val="0"/>
                <w:i w:val="0"/>
                <w:sz w:val="22"/>
              </w:rPr>
              <w:t>6 months</w:t>
            </w:r>
          </w:p>
        </w:tc>
        <w:tc>
          <w:tcPr>
            <w:tcW w:type="dxa" w:w="2436"/>
            <w:vAlign w:val="center"/>
          </w:tcPr>
          <w:p>
            <w:r/>
            <w:r>
              <w:rPr>
                <w:rFonts w:ascii="Figtree" w:hAnsi="Figtree"/>
                <w:b w:val="0"/>
                <w:i w:val="0"/>
                <w:sz w:val="22"/>
              </w:rPr>
              <w:t>Interbank settlement, central bank console, RTGS integration</w:t>
            </w:r>
          </w:p>
        </w:tc>
        <w:tc>
          <w:tcPr>
            <w:tcW w:type="dxa" w:w="2436"/>
            <w:vAlign w:val="center"/>
          </w:tcPr>
          <w:p>
            <w:r/>
            <w:r>
              <w:rPr>
                <w:rFonts w:ascii="Figtree" w:hAnsi="Figtree"/>
                <w:b w:val="0"/>
                <w:i w:val="0"/>
                <w:sz w:val="22"/>
              </w:rPr>
              <w:t>Fixed fee</w:t>
            </w:r>
          </w:p>
        </w:tc>
      </w:tr>
      <w:tr>
        <w:trPr>
          <w:trHeight w:val="454" w:hRule="atLeast"/>
        </w:trPr>
        <w:tc>
          <w:tcPr>
            <w:tcW w:type="dxa" w:w="2436"/>
            <w:vAlign w:val="center"/>
          </w:tcPr>
          <w:p>
            <w:r/>
            <w:r>
              <w:rPr>
                <w:rFonts w:ascii="Figtree" w:hAnsi="Figtree"/>
                <w:b w:val="0"/>
                <w:i w:val="0"/>
                <w:sz w:val="22"/>
              </w:rPr>
              <w:t>Phase B: Retail Pilot</w:t>
            </w:r>
          </w:p>
        </w:tc>
        <w:tc>
          <w:tcPr>
            <w:tcW w:type="dxa" w:w="2436"/>
            <w:vAlign w:val="center"/>
          </w:tcPr>
          <w:p>
            <w:r/>
            <w:r>
              <w:rPr>
                <w:rFonts w:ascii="Figtree" w:hAnsi="Figtree"/>
                <w:b w:val="0"/>
                <w:i w:val="0"/>
                <w:sz w:val="22"/>
              </w:rPr>
              <w:t>6 months</w:t>
            </w:r>
          </w:p>
        </w:tc>
        <w:tc>
          <w:tcPr>
            <w:tcW w:type="dxa" w:w="2436"/>
            <w:vAlign w:val="center"/>
          </w:tcPr>
          <w:p>
            <w:r/>
            <w:r>
              <w:rPr>
                <w:rFonts w:ascii="Figtree" w:hAnsi="Figtree"/>
                <w:b w:val="0"/>
                <w:i w:val="0"/>
                <w:sz w:val="22"/>
              </w:rPr>
              <w:t>Two-tier distribution, bank portals, consumer wallets</w:t>
            </w:r>
          </w:p>
        </w:tc>
        <w:tc>
          <w:tcPr>
            <w:tcW w:type="dxa" w:w="2436"/>
            <w:vAlign w:val="center"/>
          </w:tcPr>
          <w:p>
            <w:r/>
            <w:r>
              <w:rPr>
                <w:rFonts w:ascii="Figtree" w:hAnsi="Figtree"/>
                <w:b w:val="0"/>
                <w:i w:val="0"/>
                <w:sz w:val="22"/>
              </w:rPr>
              <w:t>Fixed fee</w:t>
            </w:r>
          </w:p>
        </w:tc>
      </w:tr>
      <w:tr>
        <w:trPr>
          <w:trHeight w:val="454" w:hRule="atLeast"/>
        </w:trPr>
        <w:tc>
          <w:tcPr>
            <w:tcW w:type="dxa" w:w="2436"/>
            <w:vAlign w:val="center"/>
          </w:tcPr>
          <w:p>
            <w:r/>
            <w:r>
              <w:rPr>
                <w:rFonts w:ascii="Figtree" w:hAnsi="Figtree"/>
                <w:b w:val="0"/>
                <w:i w:val="0"/>
                <w:sz w:val="22"/>
              </w:rPr>
              <w:t>Phase C: Full Deployment</w:t>
            </w:r>
          </w:p>
        </w:tc>
        <w:tc>
          <w:tcPr>
            <w:tcW w:type="dxa" w:w="2436"/>
            <w:vAlign w:val="center"/>
          </w:tcPr>
          <w:p>
            <w:r/>
            <w:r>
              <w:rPr>
                <w:rFonts w:ascii="Figtree" w:hAnsi="Figtree"/>
                <w:b w:val="0"/>
                <w:i w:val="0"/>
                <w:sz w:val="22"/>
              </w:rPr>
              <w:t>6 months</w:t>
            </w:r>
          </w:p>
        </w:tc>
        <w:tc>
          <w:tcPr>
            <w:tcW w:type="dxa" w:w="2436"/>
            <w:vAlign w:val="center"/>
          </w:tcPr>
          <w:p>
            <w:r/>
            <w:r>
              <w:rPr>
                <w:rFonts w:ascii="Figtree" w:hAnsi="Figtree"/>
                <w:b w:val="0"/>
                <w:i w:val="0"/>
                <w:sz w:val="22"/>
              </w:rPr>
              <w:t>Nationwide rollout, merchant integration, cross-border</w:t>
            </w:r>
          </w:p>
        </w:tc>
        <w:tc>
          <w:tcPr>
            <w:tcW w:type="dxa" w:w="2436"/>
            <w:vAlign w:val="center"/>
          </w:tcPr>
          <w:p>
            <w:r/>
            <w:r>
              <w:rPr>
                <w:rFonts w:ascii="Figtree" w:hAnsi="Figtree"/>
                <w:b w:val="0"/>
                <w:i w:val="0"/>
                <w:sz w:val="22"/>
              </w:rPr>
              <w:t>Fixed fee</w:t>
            </w:r>
          </w:p>
        </w:tc>
      </w:tr>
      <w:tr>
        <w:trPr>
          <w:trHeight w:val="454" w:hRule="atLeast"/>
        </w:trPr>
        <w:tc>
          <w:tcPr>
            <w:tcW w:type="dxa" w:w="2436"/>
            <w:vAlign w:val="center"/>
          </w:tcPr>
          <w:p>
            <w:r/>
            <w:r>
              <w:rPr>
                <w:rFonts w:ascii="Figtree" w:hAnsi="Figtree"/>
                <w:b/>
                <w:i w:val="0"/>
                <w:sz w:val="22"/>
              </w:rPr>
              <w:t>Total</w:t>
            </w:r>
          </w:p>
        </w:tc>
        <w:tc>
          <w:tcPr>
            <w:tcW w:type="dxa" w:w="2436"/>
            <w:vAlign w:val="center"/>
          </w:tcPr>
          <w:p>
            <w:r/>
            <w:r>
              <w:rPr>
                <w:rFonts w:ascii="Figtree" w:hAnsi="Figtree"/>
                <w:b/>
                <w:i w:val="0"/>
                <w:sz w:val="22"/>
              </w:rPr>
              <w:t>18 months</w:t>
            </w:r>
          </w:p>
        </w:tc>
        <w:tc>
          <w:tcPr>
            <w:tcW w:type="dxa" w:w="2436"/>
            <w:vAlign w:val="center"/>
          </w:tcPr>
          <w:p>
            <w:r/>
          </w:p>
        </w:tc>
        <w:tc>
          <w:tcPr>
            <w:tcW w:type="dxa" w:w="2436"/>
            <w:vAlign w:val="center"/>
          </w:tcPr>
          <w:p>
            <w:r/>
            <w:r>
              <w:rPr>
                <w:rFonts w:ascii="Figtree" w:hAnsi="Figtree"/>
                <w:b/>
                <w:i w:val="0"/>
                <w:sz w:val="22"/>
              </w:rPr>
              <w:t>[CLIENT-SPECIFIC]</w:t>
            </w:r>
          </w:p>
        </w:tc>
      </w:tr>
    </w:tbl>
    <w:p>
      <w:r>
        <w:br w:type="page"/>
      </w:r>
    </w:p>
    <w:p>
      <w:pPr>
        <w:pStyle w:val="H2"/>
        <w:numPr>
          <w:ilvl w:val="1"/>
          <w:numId w:val="1"/>
        </w:numPr>
      </w:pPr>
      <w:r>
        <w:t>Support: Enterprise Tier (Sovereign)</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Aspect</w:t>
            </w:r>
          </w:p>
        </w:tc>
        <w:tc>
          <w:tcPr>
            <w:tcW w:type="dxa" w:w="4873"/>
            <w:vAlign w:val="center"/>
            <w:shd w:fill="000099" w:val="clear"/>
          </w:tcPr>
          <w:p>
            <w:r>
              <w:rPr>
                <w:b/>
                <w:color w:val="FFFFFF"/>
              </w:rPr>
            </w:r>
            <w:r>
              <w:rPr>
                <w:rFonts w:ascii="Figtree" w:hAnsi="Figtree"/>
                <w:b/>
                <w:i w:val="0"/>
                <w:color w:val="FFFFFF"/>
                <w:sz w:val="22"/>
              </w:rPr>
              <w:t>Configuration</w:t>
            </w:r>
          </w:p>
        </w:tc>
      </w:tr>
      <w:tr>
        <w:trPr>
          <w:trHeight w:val="454" w:hRule="atLeast"/>
        </w:trPr>
        <w:tc>
          <w:tcPr>
            <w:tcW w:type="dxa" w:w="4873"/>
            <w:vAlign w:val="center"/>
          </w:tcPr>
          <w:p>
            <w:r/>
            <w:r>
              <w:rPr>
                <w:rFonts w:ascii="Figtree" w:hAnsi="Figtree"/>
                <w:b w:val="0"/>
                <w:i w:val="0"/>
                <w:sz w:val="22"/>
              </w:rPr>
              <w:t>Coverage</w:t>
            </w:r>
          </w:p>
        </w:tc>
        <w:tc>
          <w:tcPr>
            <w:tcW w:type="dxa" w:w="4873"/>
            <w:vAlign w:val="center"/>
          </w:tcPr>
          <w:p>
            <w:r/>
            <w:r>
              <w:rPr>
                <w:rFonts w:ascii="Figtree" w:hAnsi="Figtree"/>
                <w:b w:val="0"/>
                <w:i w:val="0"/>
                <w:sz w:val="22"/>
              </w:rPr>
              <w:t>24×7×365</w:t>
            </w:r>
          </w:p>
        </w:tc>
      </w:tr>
      <w:tr>
        <w:trPr>
          <w:trHeight w:val="454" w:hRule="atLeast"/>
        </w:trPr>
        <w:tc>
          <w:tcPr>
            <w:tcW w:type="dxa" w:w="4873"/>
            <w:vAlign w:val="center"/>
          </w:tcPr>
          <w:p>
            <w:r/>
            <w:r>
              <w:rPr>
                <w:rFonts w:ascii="Figtree" w:hAnsi="Figtree"/>
                <w:b w:val="0"/>
                <w:i w:val="0"/>
                <w:sz w:val="22"/>
              </w:rPr>
              <w:t>P1 response</w:t>
            </w:r>
          </w:p>
        </w:tc>
        <w:tc>
          <w:tcPr>
            <w:tcW w:type="dxa" w:w="4873"/>
            <w:vAlign w:val="center"/>
          </w:tcPr>
          <w:p>
            <w:r/>
            <w:r>
              <w:rPr>
                <w:rFonts w:ascii="Figtree" w:hAnsi="Figtree"/>
                <w:b w:val="0"/>
                <w:i w:val="0"/>
                <w:sz w:val="22"/>
              </w:rPr>
              <w:t>1 hour</w:t>
            </w:r>
          </w:p>
        </w:tc>
      </w:tr>
      <w:tr>
        <w:trPr>
          <w:trHeight w:val="454" w:hRule="atLeast"/>
        </w:trPr>
        <w:tc>
          <w:tcPr>
            <w:tcW w:type="dxa" w:w="4873"/>
            <w:vAlign w:val="center"/>
          </w:tcPr>
          <w:p>
            <w:r/>
            <w:r>
              <w:rPr>
                <w:rFonts w:ascii="Figtree" w:hAnsi="Figtree"/>
                <w:b w:val="0"/>
                <w:i w:val="0"/>
                <w:sz w:val="22"/>
              </w:rPr>
              <w:t>P2 response</w:t>
            </w:r>
          </w:p>
        </w:tc>
        <w:tc>
          <w:tcPr>
            <w:tcW w:type="dxa" w:w="4873"/>
            <w:vAlign w:val="center"/>
          </w:tcPr>
          <w:p>
            <w:r/>
            <w:r>
              <w:rPr>
                <w:rFonts w:ascii="Figtree" w:hAnsi="Figtree"/>
                <w:b w:val="0"/>
                <w:i w:val="0"/>
                <w:sz w:val="22"/>
              </w:rPr>
              <w:t>2 hours</w:t>
            </w:r>
          </w:p>
        </w:tc>
      </w:tr>
      <w:tr>
        <w:trPr>
          <w:trHeight w:val="454" w:hRule="atLeast"/>
        </w:trPr>
        <w:tc>
          <w:tcPr>
            <w:tcW w:type="dxa" w:w="4873"/>
            <w:vAlign w:val="center"/>
          </w:tcPr>
          <w:p>
            <w:r/>
            <w:r>
              <w:rPr>
                <w:rFonts w:ascii="Figtree" w:hAnsi="Figtree"/>
                <w:b w:val="0"/>
                <w:i w:val="0"/>
                <w:sz w:val="22"/>
              </w:rPr>
              <w:t>Dedicated team</w:t>
            </w:r>
          </w:p>
        </w:tc>
        <w:tc>
          <w:tcPr>
            <w:tcW w:type="dxa" w:w="4873"/>
            <w:vAlign w:val="center"/>
          </w:tcPr>
          <w:p>
            <w:r/>
            <w:r>
              <w:rPr>
                <w:rFonts w:ascii="Figtree" w:hAnsi="Figtree"/>
                <w:b w:val="0"/>
                <w:i w:val="0"/>
                <w:sz w:val="22"/>
              </w:rPr>
              <w:t>On-site + remote support engineers</w:t>
            </w:r>
          </w:p>
        </w:tc>
      </w:tr>
      <w:tr>
        <w:trPr>
          <w:trHeight w:val="454" w:hRule="atLeast"/>
        </w:trPr>
        <w:tc>
          <w:tcPr>
            <w:tcW w:type="dxa" w:w="4873"/>
            <w:vAlign w:val="center"/>
          </w:tcPr>
          <w:p>
            <w:r/>
            <w:r>
              <w:rPr>
                <w:rFonts w:ascii="Figtree" w:hAnsi="Figtree"/>
                <w:b w:val="0"/>
                <w:i w:val="0"/>
                <w:sz w:val="22"/>
              </w:rPr>
              <w:t>Security incident response</w:t>
            </w:r>
          </w:p>
        </w:tc>
        <w:tc>
          <w:tcPr>
            <w:tcW w:type="dxa" w:w="4873"/>
            <w:vAlign w:val="center"/>
          </w:tcPr>
          <w:p>
            <w:r/>
            <w:r>
              <w:rPr>
                <w:rFonts w:ascii="Figtree" w:hAnsi="Figtree"/>
                <w:b w:val="0"/>
                <w:i w:val="0"/>
                <w:sz w:val="22"/>
              </w:rPr>
              <w:t>Immediate escalation protocol</w:t>
            </w:r>
          </w:p>
        </w:tc>
      </w:tr>
      <w:tr>
        <w:trPr>
          <w:trHeight w:val="454" w:hRule="atLeast"/>
        </w:trPr>
        <w:tc>
          <w:tcPr>
            <w:tcW w:type="dxa" w:w="4873"/>
            <w:vAlign w:val="center"/>
          </w:tcPr>
          <w:p>
            <w:r/>
            <w:r>
              <w:rPr>
                <w:rFonts w:ascii="Figtree" w:hAnsi="Figtree"/>
                <w:b w:val="0"/>
                <w:i w:val="0"/>
                <w:sz w:val="22"/>
              </w:rPr>
              <w:t>Quarterly reviews</w:t>
            </w:r>
          </w:p>
        </w:tc>
        <w:tc>
          <w:tcPr>
            <w:tcW w:type="dxa" w:w="4873"/>
            <w:vAlign w:val="center"/>
          </w:tcPr>
          <w:p>
            <w:r/>
            <w:r>
              <w:rPr>
                <w:rFonts w:ascii="Figtree" w:hAnsi="Figtree"/>
                <w:b w:val="0"/>
                <w:i w:val="0"/>
                <w:sz w:val="22"/>
              </w:rPr>
              <w:t>Yes</w:t>
            </w:r>
          </w:p>
        </w:tc>
      </w:tr>
      <w:tr>
        <w:trPr>
          <w:trHeight w:val="454" w:hRule="atLeast"/>
        </w:trPr>
        <w:tc>
          <w:tcPr>
            <w:tcW w:type="dxa" w:w="4873"/>
            <w:vAlign w:val="center"/>
          </w:tcPr>
          <w:p>
            <w:r/>
            <w:r>
              <w:rPr>
                <w:rFonts w:ascii="Figtree" w:hAnsi="Figtree"/>
                <w:b/>
                <w:i w:val="0"/>
                <w:sz w:val="22"/>
              </w:rPr>
              <w:t>Annual fee</w:t>
            </w:r>
          </w:p>
        </w:tc>
        <w:tc>
          <w:tcPr>
            <w:tcW w:type="dxa" w:w="4873"/>
            <w:vAlign w:val="center"/>
          </w:tcPr>
          <w:p>
            <w:r/>
            <w:r>
              <w:rPr>
                <w:rFonts w:ascii="Figtree" w:hAnsi="Figtree"/>
                <w:b/>
                <w:i w:val="0"/>
                <w:sz w:val="22"/>
              </w:rPr>
              <w:t>[CLIENT-SPECIFIC]</w:t>
            </w:r>
          </w:p>
        </w:tc>
      </w:tr>
    </w:tbl>
    <w:p>
      <w:r>
        <w:br w:type="page"/>
      </w:r>
    </w:p>
    <w:p>
      <w:pPr>
        <w:pStyle w:val="H2"/>
        <w:numPr>
          <w:ilvl w:val="1"/>
          <w:numId w:val="1"/>
        </w:numPr>
      </w:pPr>
      <w:r>
        <w:t>Multi-Year TCO</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rPr>
          <w:trHeight w:val="624" w:hRule="atLeast"/>
        </w:trPr>
        <w:tc>
          <w:tcPr>
            <w:tcW w:type="dxa" w:w="1624"/>
            <w:vAlign w:val="center"/>
            <w:shd w:fill="000099" w:val="clear"/>
          </w:tcPr>
          <w:p>
            <w:r>
              <w:rPr>
                <w:b/>
                <w:color w:val="FFFFFF"/>
              </w:rPr>
            </w:r>
            <w:r>
              <w:rPr>
                <w:rFonts w:ascii="Figtree" w:hAnsi="Figtree"/>
                <w:b/>
                <w:i w:val="0"/>
                <w:color w:val="FFFFFF"/>
                <w:sz w:val="22"/>
              </w:rPr>
              <w:t>Component</w:t>
            </w:r>
          </w:p>
        </w:tc>
        <w:tc>
          <w:tcPr>
            <w:tcW w:type="dxa" w:w="1624"/>
            <w:vAlign w:val="center"/>
            <w:shd w:fill="000099" w:val="clear"/>
          </w:tcPr>
          <w:p>
            <w:r>
              <w:rPr>
                <w:b/>
                <w:color w:val="FFFFFF"/>
              </w:rPr>
            </w:r>
            <w:r>
              <w:rPr>
                <w:rFonts w:ascii="Figtree" w:hAnsi="Figtree"/>
                <w:b/>
                <w:i w:val="0"/>
                <w:color w:val="FFFFFF"/>
                <w:sz w:val="22"/>
              </w:rPr>
              <w:t>Year 1</w:t>
            </w:r>
          </w:p>
        </w:tc>
        <w:tc>
          <w:tcPr>
            <w:tcW w:type="dxa" w:w="1624"/>
            <w:vAlign w:val="center"/>
            <w:shd w:fill="000099" w:val="clear"/>
          </w:tcPr>
          <w:p>
            <w:r>
              <w:rPr>
                <w:b/>
                <w:color w:val="FFFFFF"/>
              </w:rPr>
            </w:r>
            <w:r>
              <w:rPr>
                <w:rFonts w:ascii="Figtree" w:hAnsi="Figtree"/>
                <w:b/>
                <w:i w:val="0"/>
                <w:color w:val="FFFFFF"/>
                <w:sz w:val="22"/>
              </w:rPr>
              <w:t>Year 2</w:t>
            </w:r>
          </w:p>
        </w:tc>
        <w:tc>
          <w:tcPr>
            <w:tcW w:type="dxa" w:w="1624"/>
            <w:vAlign w:val="center"/>
            <w:shd w:fill="000099" w:val="clear"/>
          </w:tcPr>
          <w:p>
            <w:r>
              <w:rPr>
                <w:b/>
                <w:color w:val="FFFFFF"/>
              </w:rPr>
            </w:r>
            <w:r>
              <w:rPr>
                <w:rFonts w:ascii="Figtree" w:hAnsi="Figtree"/>
                <w:b/>
                <w:i w:val="0"/>
                <w:color w:val="FFFFFF"/>
                <w:sz w:val="22"/>
              </w:rPr>
              <w:t>Year 3</w:t>
            </w:r>
          </w:p>
        </w:tc>
        <w:tc>
          <w:tcPr>
            <w:tcW w:type="dxa" w:w="1624"/>
            <w:vAlign w:val="center"/>
            <w:shd w:fill="000099" w:val="clear"/>
          </w:tcPr>
          <w:p>
            <w:r>
              <w:rPr>
                <w:b/>
                <w:color w:val="FFFFFF"/>
              </w:rPr>
            </w:r>
            <w:r>
              <w:rPr>
                <w:rFonts w:ascii="Figtree" w:hAnsi="Figtree"/>
                <w:b/>
                <w:i w:val="0"/>
                <w:color w:val="FFFFFF"/>
                <w:sz w:val="22"/>
              </w:rPr>
              <w:t>Year 4</w:t>
            </w:r>
          </w:p>
        </w:tc>
        <w:tc>
          <w:tcPr>
            <w:tcW w:type="dxa" w:w="1624"/>
            <w:vAlign w:val="center"/>
            <w:shd w:fill="000099" w:val="clear"/>
          </w:tcPr>
          <w:p>
            <w:r>
              <w:rPr>
                <w:b/>
                <w:color w:val="FFFFFF"/>
              </w:rPr>
            </w:r>
            <w:r>
              <w:rPr>
                <w:rFonts w:ascii="Figtree" w:hAnsi="Figtree"/>
                <w:b/>
                <w:i w:val="0"/>
                <w:color w:val="FFFFFF"/>
                <w:sz w:val="22"/>
              </w:rPr>
              <w:t>Year 5</w:t>
            </w:r>
          </w:p>
        </w:tc>
      </w:tr>
      <w:tr>
        <w:trPr>
          <w:trHeight w:val="454" w:hRule="atLeast"/>
        </w:trPr>
        <w:tc>
          <w:tcPr>
            <w:tcW w:type="dxa" w:w="1624"/>
            <w:vAlign w:val="center"/>
          </w:tcPr>
          <w:p>
            <w:r/>
            <w:r>
              <w:rPr>
                <w:rFonts w:ascii="Figtree" w:hAnsi="Figtree"/>
                <w:b w:val="0"/>
                <w:i w:val="0"/>
                <w:sz w:val="22"/>
              </w:rPr>
              <w:t>Platform license</w:t>
            </w:r>
          </w:p>
        </w:tc>
        <w:tc>
          <w:tcPr>
            <w:tcW w:type="dxa" w:w="1624"/>
            <w:vAlign w:val="center"/>
          </w:tcPr>
          <w:p>
            <w:r/>
            <w:r>
              <w:rPr>
                <w:rFonts w:ascii="Figtree" w:hAnsi="Figtree"/>
                <w:b w:val="0"/>
                <w:i w:val="0"/>
                <w:sz w:val="22"/>
              </w:rPr>
              <w:t>[CS]</w:t>
            </w:r>
          </w:p>
        </w:tc>
        <w:tc>
          <w:tcPr>
            <w:tcW w:type="dxa" w:w="1624"/>
            <w:vAlign w:val="center"/>
          </w:tcPr>
          <w:p>
            <w:r/>
            <w:r>
              <w:rPr>
                <w:rFonts w:ascii="Figtree" w:hAnsi="Figtree"/>
                <w:b w:val="0"/>
                <w:i w:val="0"/>
                <w:sz w:val="22"/>
              </w:rPr>
              <w:t>[CS]</w:t>
            </w:r>
          </w:p>
        </w:tc>
        <w:tc>
          <w:tcPr>
            <w:tcW w:type="dxa" w:w="1624"/>
            <w:vAlign w:val="center"/>
          </w:tcPr>
          <w:p>
            <w:r/>
            <w:r>
              <w:rPr>
                <w:rFonts w:ascii="Figtree" w:hAnsi="Figtree"/>
                <w:b w:val="0"/>
                <w:i w:val="0"/>
                <w:sz w:val="22"/>
              </w:rPr>
              <w:t>[CS]</w:t>
            </w:r>
          </w:p>
        </w:tc>
        <w:tc>
          <w:tcPr>
            <w:tcW w:type="dxa" w:w="1624"/>
            <w:vAlign w:val="center"/>
          </w:tcPr>
          <w:p>
            <w:r/>
            <w:r>
              <w:rPr>
                <w:rFonts w:ascii="Figtree" w:hAnsi="Figtree"/>
                <w:b w:val="0"/>
                <w:i w:val="0"/>
                <w:sz w:val="22"/>
              </w:rPr>
              <w:t>[CS]</w:t>
            </w:r>
          </w:p>
        </w:tc>
        <w:tc>
          <w:tcPr>
            <w:tcW w:type="dxa" w:w="1624"/>
            <w:vAlign w:val="center"/>
          </w:tcPr>
          <w:p>
            <w:r/>
            <w:r>
              <w:rPr>
                <w:rFonts w:ascii="Figtree" w:hAnsi="Figtree"/>
                <w:b w:val="0"/>
                <w:i w:val="0"/>
                <w:sz w:val="22"/>
              </w:rPr>
              <w:t>[CS]</w:t>
            </w:r>
          </w:p>
        </w:tc>
      </w:tr>
      <w:tr>
        <w:trPr>
          <w:trHeight w:val="454" w:hRule="atLeast"/>
        </w:trPr>
        <w:tc>
          <w:tcPr>
            <w:tcW w:type="dxa" w:w="1624"/>
            <w:vAlign w:val="center"/>
          </w:tcPr>
          <w:p>
            <w:r/>
            <w:r>
              <w:rPr>
                <w:rFonts w:ascii="Figtree" w:hAnsi="Figtree"/>
                <w:b w:val="0"/>
                <w:i w:val="0"/>
                <w:sz w:val="22"/>
              </w:rPr>
              <w:t>Implementation</w:t>
            </w:r>
          </w:p>
        </w:tc>
        <w:tc>
          <w:tcPr>
            <w:tcW w:type="dxa" w:w="1624"/>
            <w:vAlign w:val="center"/>
          </w:tcPr>
          <w:p>
            <w:r/>
            <w:r>
              <w:rPr>
                <w:rFonts w:ascii="Figtree" w:hAnsi="Figtree"/>
                <w:b w:val="0"/>
                <w:i w:val="0"/>
                <w:sz w:val="22"/>
              </w:rPr>
              <w:t>[CS]</w:t>
            </w:r>
          </w:p>
        </w:tc>
        <w:tc>
          <w:tcPr>
            <w:tcW w:type="dxa" w:w="1624"/>
            <w:vAlign w:val="center"/>
          </w:tcPr>
          <w:p>
            <w:r/>
            <w:r>
              <w:rPr>
                <w:rFonts w:ascii="Figtree" w:hAnsi="Figtree"/>
                <w:b w:val="0"/>
                <w:i w:val="0"/>
                <w:sz w:val="22"/>
              </w:rPr>
              <w:t>[CS]</w:t>
            </w:r>
          </w:p>
        </w:tc>
        <w:tc>
          <w:tcPr>
            <w:tcW w:type="dxa" w:w="1624"/>
            <w:vAlign w:val="center"/>
          </w:tcPr>
          <w:p>
            <w:r/>
            <w:r>
              <w:rPr>
                <w:rFonts w:ascii="Figtree" w:hAnsi="Figtree"/>
                <w:b w:val="0"/>
                <w:i w:val="0"/>
                <w:sz w:val="22"/>
              </w:rPr>
              <w:t>—</w:t>
            </w:r>
          </w:p>
        </w:tc>
        <w:tc>
          <w:tcPr>
            <w:tcW w:type="dxa" w:w="1624"/>
            <w:vAlign w:val="center"/>
          </w:tcPr>
          <w:p>
            <w:r/>
            <w:r>
              <w:rPr>
                <w:rFonts w:ascii="Figtree" w:hAnsi="Figtree"/>
                <w:b w:val="0"/>
                <w:i w:val="0"/>
                <w:sz w:val="22"/>
              </w:rPr>
              <w:t>—</w:t>
            </w:r>
          </w:p>
        </w:tc>
        <w:tc>
          <w:tcPr>
            <w:tcW w:type="dxa" w:w="1624"/>
            <w:vAlign w:val="center"/>
          </w:tcPr>
          <w:p>
            <w:r/>
            <w:r>
              <w:rPr>
                <w:rFonts w:ascii="Figtree" w:hAnsi="Figtree"/>
                <w:b w:val="0"/>
                <w:i w:val="0"/>
                <w:sz w:val="22"/>
              </w:rPr>
              <w:t>—</w:t>
            </w:r>
          </w:p>
        </w:tc>
      </w:tr>
      <w:tr>
        <w:trPr>
          <w:trHeight w:val="454" w:hRule="atLeast"/>
        </w:trPr>
        <w:tc>
          <w:tcPr>
            <w:tcW w:type="dxa" w:w="1624"/>
            <w:vAlign w:val="center"/>
          </w:tcPr>
          <w:p>
            <w:r/>
            <w:r>
              <w:rPr>
                <w:rFonts w:ascii="Figtree" w:hAnsi="Figtree"/>
                <w:b w:val="0"/>
                <w:i w:val="0"/>
                <w:sz w:val="22"/>
              </w:rPr>
              <w:t>Support</w:t>
            </w:r>
          </w:p>
        </w:tc>
        <w:tc>
          <w:tcPr>
            <w:tcW w:type="dxa" w:w="1624"/>
            <w:vAlign w:val="center"/>
          </w:tcPr>
          <w:p>
            <w:r/>
            <w:r>
              <w:rPr>
                <w:rFonts w:ascii="Figtree" w:hAnsi="Figtree"/>
                <w:b w:val="0"/>
                <w:i w:val="0"/>
                <w:sz w:val="22"/>
              </w:rPr>
              <w:t>[CS]</w:t>
            </w:r>
          </w:p>
        </w:tc>
        <w:tc>
          <w:tcPr>
            <w:tcW w:type="dxa" w:w="1624"/>
            <w:vAlign w:val="center"/>
          </w:tcPr>
          <w:p>
            <w:r/>
            <w:r>
              <w:rPr>
                <w:rFonts w:ascii="Figtree" w:hAnsi="Figtree"/>
                <w:b w:val="0"/>
                <w:i w:val="0"/>
                <w:sz w:val="22"/>
              </w:rPr>
              <w:t>[CS]</w:t>
            </w:r>
          </w:p>
        </w:tc>
        <w:tc>
          <w:tcPr>
            <w:tcW w:type="dxa" w:w="1624"/>
            <w:vAlign w:val="center"/>
          </w:tcPr>
          <w:p>
            <w:r/>
            <w:r>
              <w:rPr>
                <w:rFonts w:ascii="Figtree" w:hAnsi="Figtree"/>
                <w:b w:val="0"/>
                <w:i w:val="0"/>
                <w:sz w:val="22"/>
              </w:rPr>
              <w:t>[CS]</w:t>
            </w:r>
          </w:p>
        </w:tc>
        <w:tc>
          <w:tcPr>
            <w:tcW w:type="dxa" w:w="1624"/>
            <w:vAlign w:val="center"/>
          </w:tcPr>
          <w:p>
            <w:r/>
            <w:r>
              <w:rPr>
                <w:rFonts w:ascii="Figtree" w:hAnsi="Figtree"/>
                <w:b w:val="0"/>
                <w:i w:val="0"/>
                <w:sz w:val="22"/>
              </w:rPr>
              <w:t>[CS]</w:t>
            </w:r>
          </w:p>
        </w:tc>
        <w:tc>
          <w:tcPr>
            <w:tcW w:type="dxa" w:w="1624"/>
            <w:vAlign w:val="center"/>
          </w:tcPr>
          <w:p>
            <w:r/>
            <w:r>
              <w:rPr>
                <w:rFonts w:ascii="Figtree" w:hAnsi="Figtree"/>
                <w:b w:val="0"/>
                <w:i w:val="0"/>
                <w:sz w:val="22"/>
              </w:rPr>
              <w:t>[CS]</w:t>
            </w:r>
          </w:p>
        </w:tc>
      </w:tr>
      <w:tr>
        <w:trPr>
          <w:trHeight w:val="454" w:hRule="atLeast"/>
        </w:trPr>
        <w:tc>
          <w:tcPr>
            <w:tcW w:type="dxa" w:w="1624"/>
            <w:vAlign w:val="center"/>
          </w:tcPr>
          <w:p>
            <w:r/>
            <w:r>
              <w:rPr>
                <w:rFonts w:ascii="Figtree" w:hAnsi="Figtree"/>
                <w:b w:val="0"/>
                <w:i w:val="0"/>
                <w:sz w:val="22"/>
              </w:rPr>
              <w:t>Infrastructure</w:t>
            </w:r>
          </w:p>
        </w:tc>
        <w:tc>
          <w:tcPr>
            <w:tcW w:type="dxa" w:w="1624"/>
            <w:vAlign w:val="center"/>
          </w:tcPr>
          <w:p>
            <w:r/>
            <w:r>
              <w:rPr>
                <w:rFonts w:ascii="Figtree" w:hAnsi="Figtree"/>
                <w:b w:val="0"/>
                <w:i w:val="0"/>
                <w:sz w:val="22"/>
              </w:rPr>
              <w:t>[CS]</w:t>
            </w:r>
          </w:p>
        </w:tc>
        <w:tc>
          <w:tcPr>
            <w:tcW w:type="dxa" w:w="1624"/>
            <w:vAlign w:val="center"/>
          </w:tcPr>
          <w:p>
            <w:r/>
            <w:r>
              <w:rPr>
                <w:rFonts w:ascii="Figtree" w:hAnsi="Figtree"/>
                <w:b w:val="0"/>
                <w:i w:val="0"/>
                <w:sz w:val="22"/>
              </w:rPr>
              <w:t>[CS]</w:t>
            </w:r>
          </w:p>
        </w:tc>
        <w:tc>
          <w:tcPr>
            <w:tcW w:type="dxa" w:w="1624"/>
            <w:vAlign w:val="center"/>
          </w:tcPr>
          <w:p>
            <w:r/>
            <w:r>
              <w:rPr>
                <w:rFonts w:ascii="Figtree" w:hAnsi="Figtree"/>
                <w:b w:val="0"/>
                <w:i w:val="0"/>
                <w:sz w:val="22"/>
              </w:rPr>
              <w:t>[CS]</w:t>
            </w:r>
          </w:p>
        </w:tc>
        <w:tc>
          <w:tcPr>
            <w:tcW w:type="dxa" w:w="1624"/>
            <w:vAlign w:val="center"/>
          </w:tcPr>
          <w:p>
            <w:r/>
            <w:r>
              <w:rPr>
                <w:rFonts w:ascii="Figtree" w:hAnsi="Figtree"/>
                <w:b w:val="0"/>
                <w:i w:val="0"/>
                <w:sz w:val="22"/>
              </w:rPr>
              <w:t>[CS]</w:t>
            </w:r>
          </w:p>
        </w:tc>
        <w:tc>
          <w:tcPr>
            <w:tcW w:type="dxa" w:w="1624"/>
            <w:vAlign w:val="center"/>
          </w:tcPr>
          <w:p>
            <w:r/>
            <w:r>
              <w:rPr>
                <w:rFonts w:ascii="Figtree" w:hAnsi="Figtree"/>
                <w:b w:val="0"/>
                <w:i w:val="0"/>
                <w:sz w:val="22"/>
              </w:rPr>
              <w:t>[CS]</w:t>
            </w:r>
          </w:p>
        </w:tc>
      </w:tr>
    </w:tbl>
    <w:p>
      <w:pPr>
        <w:pStyle w:val="H3"/>
        <w:numPr>
          <w:ilvl w:val="2"/>
          <w:numId w:val="1"/>
        </w:numPr>
      </w:pPr>
      <w:r>
        <w:t>Exclusions</w:t>
      </w:r>
    </w:p>
    <w:p>
      <w:pPr>
        <w:pStyle w:val="ListParagraph"/>
        <w:numPr>
          <w:ilvl w:val="0"/>
          <w:numId w:val="4"/>
        </w:numPr>
      </w:pPr>
      <w:r>
        <w:rPr>
          <w:rFonts w:ascii="Figtree" w:hAnsi="Figtree"/>
          <w:b w:val="0"/>
          <w:i w:val="0"/>
          <w:sz w:val="22"/>
        </w:rPr>
        <w:t>UAE-resident infrastructure provisioning (CBUAE responsibility)</w:t>
      </w:r>
    </w:p>
    <w:p>
      <w:pPr>
        <w:pStyle w:val="ListParagraph"/>
        <w:numPr>
          <w:ilvl w:val="0"/>
          <w:numId w:val="4"/>
        </w:numPr>
      </w:pPr>
      <w:r>
        <w:rPr>
          <w:rFonts w:ascii="Figtree" w:hAnsi="Figtree"/>
          <w:b w:val="0"/>
          <w:i w:val="0"/>
          <w:sz w:val="22"/>
        </w:rPr>
        <w:t>Hardware Security Module procurement</w:t>
      </w:r>
    </w:p>
    <w:p>
      <w:pPr>
        <w:pStyle w:val="ListParagraph"/>
        <w:numPr>
          <w:ilvl w:val="0"/>
          <w:numId w:val="4"/>
        </w:numPr>
      </w:pPr>
      <w:r>
        <w:rPr>
          <w:rFonts w:ascii="Figtree" w:hAnsi="Figtree"/>
          <w:b w:val="0"/>
          <w:i w:val="0"/>
          <w:sz w:val="22"/>
        </w:rPr>
        <w:t>Bank integration development (participating banks)</w:t>
      </w:r>
    </w:p>
    <w:p>
      <w:pPr>
        <w:pStyle w:val="ListParagraph"/>
        <w:numPr>
          <w:ilvl w:val="0"/>
          <w:numId w:val="4"/>
        </w:numPr>
      </w:pPr>
      <w:r>
        <w:rPr>
          <w:rFonts w:ascii="Figtree" w:hAnsi="Figtree"/>
          <w:b w:val="0"/>
          <w:i w:val="0"/>
          <w:sz w:val="22"/>
        </w:rPr>
        <w:t>Regulatory and legal advisory</w:t>
      </w:r>
    </w:p>
    <w:p>
      <w:pPr>
        <w:pStyle w:val="ListParagraph"/>
        <w:numPr>
          <w:ilvl w:val="0"/>
          <w:numId w:val="4"/>
        </w:numPr>
      </w:pPr>
      <w:r>
        <w:rPr>
          <w:rFonts w:ascii="Figtree" w:hAnsi="Figtree"/>
          <w:b w:val="0"/>
          <w:i w:val="0"/>
          <w:sz w:val="22"/>
        </w:rPr>
        <w:t>Consumer wallet development (if separate from DALP)</w:t>
      </w:r>
    </w:p>
    <w:p>
      <w:pPr>
        <w:pStyle w:val="ListParagraph"/>
        <w:numPr>
          <w:ilvl w:val="0"/>
          <w:numId w:val="4"/>
        </w:numPr>
      </w:pPr>
      <w:r>
        <w:rPr>
          <w:rFonts w:ascii="Figtree" w:hAnsi="Figtree"/>
          <w:b w:val="0"/>
          <w:i w:val="0"/>
          <w:sz w:val="22"/>
        </w:rPr>
        <w:t>Cross-border corridor-specific agreements</w:t>
      </w:r>
    </w:p>
    <w:p>
      <w:r>
        <w:br w:type="page"/>
      </w:r>
    </w:p>
    <w:p>
      <w:pPr>
        <w:pStyle w:val="H2"/>
        <w:numPr>
          <w:ilvl w:val="1"/>
          <w:numId w:val="1"/>
        </w:numPr>
      </w:pPr>
      <w:r>
        <w:t>Contractual Framework</w:t>
      </w:r>
    </w:p>
    <w:p>
      <w:pPr>
        <w:pStyle w:val="ListParagraph"/>
        <w:numPr>
          <w:ilvl w:val="0"/>
          <w:numId w:val="4"/>
        </w:numPr>
      </w:pPr>
      <w:r>
        <w:rPr>
          <w:rFonts w:ascii="Figtree" w:hAnsi="Figtree"/>
          <w:b w:val="0"/>
          <w:i w:val="0"/>
          <w:sz w:val="22"/>
        </w:rPr>
        <w:t>Five-year initial term (sovereign infrastructure lifecycle)</w:t>
      </w:r>
    </w:p>
    <w:p>
      <w:pPr>
        <w:pStyle w:val="ListParagraph"/>
        <w:numPr>
          <w:ilvl w:val="0"/>
          <w:numId w:val="4"/>
        </w:numPr>
      </w:pPr>
      <w:r>
        <w:rPr>
          <w:rFonts w:ascii="Figtree" w:hAnsi="Figtree"/>
          <w:b w:val="0"/>
          <w:i w:val="0"/>
          <w:sz w:val="22"/>
        </w:rPr>
        <w:t>Milestone-based implementation payments</w:t>
      </w:r>
    </w:p>
    <w:p>
      <w:pPr>
        <w:pStyle w:val="ListParagraph"/>
        <w:numPr>
          <w:ilvl w:val="0"/>
          <w:numId w:val="4"/>
        </w:numPr>
      </w:pPr>
      <w:r>
        <w:rPr>
          <w:rFonts w:ascii="Figtree" w:hAnsi="Figtree"/>
          <w:b w:val="0"/>
          <w:i w:val="0"/>
          <w:sz w:val="22"/>
        </w:rPr>
        <w:t>Annual license in advance</w:t>
      </w:r>
    </w:p>
    <w:p>
      <w:pPr>
        <w:pStyle w:val="ListParagraph"/>
        <w:numPr>
          <w:ilvl w:val="0"/>
          <w:numId w:val="4"/>
        </w:numPr>
      </w:pPr>
      <w:r>
        <w:rPr>
          <w:rFonts w:ascii="Figtree" w:hAnsi="Figtree"/>
          <w:b w:val="0"/>
          <w:i w:val="0"/>
          <w:sz w:val="22"/>
        </w:rPr>
        <w:t>Technology escrow for source code</w:t>
      </w:r>
    </w:p>
    <w:p>
      <w:pPr>
        <w:pStyle w:val="ListParagraph"/>
        <w:numPr>
          <w:ilvl w:val="0"/>
          <w:numId w:val="4"/>
        </w:numPr>
      </w:pPr>
      <w:r>
        <w:rPr>
          <w:rFonts w:ascii="Figtree" w:hAnsi="Figtree"/>
          <w:b w:val="0"/>
          <w:i w:val="0"/>
          <w:sz w:val="22"/>
        </w:rPr>
        <w:t>Full audit rights for CBUAE</w:t>
      </w:r>
    </w:p>
    <w:p>
      <w:pPr>
        <w:pStyle w:val="ListParagraph"/>
        <w:numPr>
          <w:ilvl w:val="0"/>
          <w:numId w:val="4"/>
        </w:numPr>
      </w:pPr>
      <w:r>
        <w:rPr>
          <w:rFonts w:ascii="Figtree" w:hAnsi="Figtree"/>
          <w:b w:val="0"/>
          <w:i w:val="0"/>
          <w:sz w:val="22"/>
        </w:rPr>
        <w:t>Data sovereignty guarantees (UAE-resident, no cross-border data transfer)</w:t>
      </w:r>
    </w:p>
    <w:p>
      <w:pPr>
        <w:pStyle w:val="ListParagraph"/>
        <w:numPr>
          <w:ilvl w:val="0"/>
          <w:numId w:val="4"/>
        </w:numPr>
      </w:pPr>
      <w:r>
        <w:rPr>
          <w:rFonts w:ascii="Figtree" w:hAnsi="Figtree"/>
          <w:b w:val="0"/>
          <w:i w:val="0"/>
          <w:sz w:val="22"/>
        </w:rPr>
        <w:t>Exit support: 12-month transition period with full documentation and data export</w:t>
      </w:r>
    </w:p>
    <w:p>
      <w:r>
        <w:br w:type="page"/>
      </w:r>
    </w:p>
    <w:p>
      <w:pPr>
        <w:pStyle w:val="H2"/>
        <w:numPr>
          <w:ilvl w:val="1"/>
          <w:numId w:val="1"/>
        </w:numPr>
      </w:pPr>
      <w:r>
        <w:t>Decision Summary</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Factor</w:t>
            </w:r>
          </w:p>
        </w:tc>
        <w:tc>
          <w:tcPr>
            <w:tcW w:type="dxa" w:w="4873"/>
            <w:vAlign w:val="center"/>
            <w:shd w:fill="000099" w:val="clear"/>
          </w:tcPr>
          <w:p>
            <w:r>
              <w:rPr>
                <w:b/>
                <w:color w:val="FFFFFF"/>
              </w:rPr>
            </w:r>
            <w:r>
              <w:rPr>
                <w:rFonts w:ascii="Figtree" w:hAnsi="Figtree"/>
                <w:b/>
                <w:i w:val="0"/>
                <w:color w:val="FFFFFF"/>
                <w:sz w:val="22"/>
              </w:rPr>
              <w:t>Position</w:t>
            </w:r>
          </w:p>
        </w:tc>
      </w:tr>
      <w:tr>
        <w:trPr>
          <w:trHeight w:val="454" w:hRule="atLeast"/>
        </w:trPr>
        <w:tc>
          <w:tcPr>
            <w:tcW w:type="dxa" w:w="4873"/>
            <w:vAlign w:val="center"/>
          </w:tcPr>
          <w:p>
            <w:r/>
            <w:r>
              <w:rPr>
                <w:rFonts w:ascii="Figtree" w:hAnsi="Figtree"/>
                <w:b w:val="0"/>
                <w:i w:val="0"/>
                <w:sz w:val="22"/>
              </w:rPr>
              <w:t>CBDC track record</w:t>
            </w:r>
          </w:p>
        </w:tc>
        <w:tc>
          <w:tcPr>
            <w:tcW w:type="dxa" w:w="4873"/>
            <w:vAlign w:val="center"/>
          </w:tcPr>
          <w:p>
            <w:r/>
            <w:r>
              <w:rPr>
                <w:rFonts w:ascii="Figtree" w:hAnsi="Figtree"/>
                <w:b w:val="0"/>
                <w:i w:val="0"/>
                <w:sz w:val="22"/>
              </w:rPr>
              <w:t>State Bank of India e-Rupee — national-scale production</w:t>
            </w:r>
          </w:p>
        </w:tc>
      </w:tr>
      <w:tr>
        <w:trPr>
          <w:trHeight w:val="454" w:hRule="atLeast"/>
        </w:trPr>
        <w:tc>
          <w:tcPr>
            <w:tcW w:type="dxa" w:w="4873"/>
            <w:vAlign w:val="center"/>
          </w:tcPr>
          <w:p>
            <w:r/>
            <w:r>
              <w:rPr>
                <w:rFonts w:ascii="Figtree" w:hAnsi="Figtree"/>
                <w:b w:val="0"/>
                <w:i w:val="0"/>
                <w:sz w:val="22"/>
              </w:rPr>
              <w:t>Gulf presence</w:t>
            </w:r>
          </w:p>
        </w:tc>
        <w:tc>
          <w:tcPr>
            <w:tcW w:type="dxa" w:w="4873"/>
            <w:vAlign w:val="center"/>
          </w:tcPr>
          <w:p>
            <w:r/>
            <w:r>
              <w:rPr>
                <w:rFonts w:ascii="Figtree" w:hAnsi="Figtree"/>
                <w:b w:val="0"/>
                <w:i w:val="0"/>
                <w:sz w:val="22"/>
              </w:rPr>
              <w:t>Saudi RER live production</w:t>
            </w:r>
          </w:p>
        </w:tc>
      </w:tr>
      <w:tr>
        <w:trPr>
          <w:trHeight w:val="454" w:hRule="atLeast"/>
        </w:trPr>
        <w:tc>
          <w:tcPr>
            <w:tcW w:type="dxa" w:w="4873"/>
            <w:vAlign w:val="center"/>
          </w:tcPr>
          <w:p>
            <w:r/>
            <w:r>
              <w:rPr>
                <w:rFonts w:ascii="Figtree" w:hAnsi="Figtree"/>
                <w:b w:val="0"/>
                <w:i w:val="0"/>
                <w:sz w:val="22"/>
              </w:rPr>
              <w:t>Sovereignty</w:t>
            </w:r>
          </w:p>
        </w:tc>
        <w:tc>
          <w:tcPr>
            <w:tcW w:type="dxa" w:w="4873"/>
            <w:vAlign w:val="center"/>
          </w:tcPr>
          <w:p>
            <w:r/>
            <w:r>
              <w:rPr>
                <w:rFonts w:ascii="Figtree" w:hAnsi="Figtree"/>
                <w:b w:val="0"/>
                <w:i w:val="0"/>
                <w:sz w:val="22"/>
              </w:rPr>
              <w:t>CBUAE retains complete control over issuance and policy</w:t>
            </w:r>
          </w:p>
        </w:tc>
      </w:tr>
      <w:tr>
        <w:trPr>
          <w:trHeight w:val="454" w:hRule="atLeast"/>
        </w:trPr>
        <w:tc>
          <w:tcPr>
            <w:tcW w:type="dxa" w:w="4873"/>
            <w:vAlign w:val="center"/>
          </w:tcPr>
          <w:p>
            <w:r/>
            <w:r>
              <w:rPr>
                <w:rFonts w:ascii="Figtree" w:hAnsi="Figtree"/>
                <w:b w:val="0"/>
                <w:i w:val="0"/>
                <w:sz w:val="22"/>
              </w:rPr>
              <w:t>Scalability</w:t>
            </w:r>
          </w:p>
        </w:tc>
        <w:tc>
          <w:tcPr>
            <w:tcW w:type="dxa" w:w="4873"/>
            <w:vAlign w:val="center"/>
          </w:tcPr>
          <w:p>
            <w:r/>
            <w:r>
              <w:rPr>
                <w:rFonts w:ascii="Figtree" w:hAnsi="Figtree"/>
                <w:b w:val="0"/>
                <w:i w:val="0"/>
                <w:sz w:val="22"/>
              </w:rPr>
              <w:t>Architecture tested for 500+ concurrent settlements</w:t>
            </w:r>
          </w:p>
        </w:tc>
      </w:tr>
      <w:tr>
        <w:trPr>
          <w:trHeight w:val="454" w:hRule="atLeast"/>
        </w:trPr>
        <w:tc>
          <w:tcPr>
            <w:tcW w:type="dxa" w:w="4873"/>
            <w:vAlign w:val="center"/>
          </w:tcPr>
          <w:p>
            <w:r/>
            <w:r>
              <w:rPr>
                <w:rFonts w:ascii="Figtree" w:hAnsi="Figtree"/>
                <w:b w:val="0"/>
                <w:i w:val="0"/>
                <w:sz w:val="22"/>
              </w:rPr>
              <w:t>Cross-border</w:t>
            </w:r>
          </w:p>
        </w:tc>
        <w:tc>
          <w:tcPr>
            <w:tcW w:type="dxa" w:w="4873"/>
            <w:vAlign w:val="center"/>
          </w:tcPr>
          <w:p>
            <w:r/>
            <w:r>
              <w:rPr>
                <w:rFonts w:ascii="Figtree" w:hAnsi="Figtree"/>
                <w:b w:val="0"/>
                <w:i w:val="0"/>
                <w:sz w:val="22"/>
              </w:rPr>
              <w:t>Multi-network support for Project Aber/mBridge corridors</w:t>
            </w:r>
          </w:p>
        </w:tc>
      </w:tr>
      <w:tr>
        <w:trPr>
          <w:trHeight w:val="454" w:hRule="atLeast"/>
        </w:trPr>
        <w:tc>
          <w:tcPr>
            <w:tcW w:type="dxa" w:w="4873"/>
            <w:vAlign w:val="center"/>
          </w:tcPr>
          <w:p>
            <w:r/>
            <w:r>
              <w:rPr>
                <w:rFonts w:ascii="Figtree" w:hAnsi="Figtree"/>
                <w:b w:val="0"/>
                <w:i w:val="0"/>
                <w:sz w:val="22"/>
              </w:rPr>
              <w:t>Certifications</w:t>
            </w:r>
          </w:p>
        </w:tc>
        <w:tc>
          <w:tcPr>
            <w:tcW w:type="dxa" w:w="4873"/>
            <w:vAlign w:val="center"/>
          </w:tcPr>
          <w:p>
            <w:r/>
            <w:r>
              <w:rPr>
                <w:rFonts w:ascii="Figtree" w:hAnsi="Figtree"/>
                <w:b w:val="0"/>
                <w:i w:val="0"/>
                <w:sz w:val="22"/>
              </w:rPr>
              <w:t>ISO 27001, SOC 2 Type II</w:t>
            </w:r>
          </w:p>
        </w:tc>
      </w:tr>
    </w:tbl>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