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the Central Bank of UAE's Programme Objectives</w:t>
            <w:rPr>
              <w:sz w:val="22"/>
              <w:rFonts w:ascii="Figtree" w:hAnsi="Figtree"/>
            </w:rPr>
          </w:r>
        </w:p>
        <w:p>
          <w:pPr>
            <w:ind w:left="1440"/>
          </w:pPr>
          <w:r>
            <w:t xml:space="preserve">The Digital Dirham Vision</w:t>
            <w:rPr>
              <w:sz w:val="22"/>
              <w:rFonts w:ascii="Figtree" w:hAnsi="Figtree"/>
            </w:rPr>
          </w:r>
        </w:p>
        <w:p>
          <w:pPr>
            <w:ind w:left="1440"/>
          </w:pPr>
          <w:r>
            <w:t xml:space="preserve">Sovereign-Grade Requirements</w:t>
            <w:rPr>
              <w:sz w:val="22"/>
              <w:rFonts w:ascii="Figtree" w:hAnsi="Figtree"/>
            </w:rPr>
          </w:r>
        </w:p>
        <w:p>
          <w:pPr>
            <w:ind w:left="720"/>
          </w:pPr>
          <w:r>
            <w:t xml:space="preserve">Technical Architecture for CBDC Operations</w:t>
            <w:rPr>
              <w:sz w:val="22"/>
              <w:rFonts w:ascii="Figtree" w:hAnsi="Figtree"/>
            </w:rPr>
          </w:r>
        </w:p>
        <w:p>
          <w:pPr>
            <w:ind w:left="1440"/>
          </w:pPr>
          <w:r>
            <w:t xml:space="preserve">Four-Layer Architecture Adapted for CBDC</w:t>
            <w:rPr>
              <w:sz w:val="22"/>
              <w:rFonts w:ascii="Figtree" w:hAnsi="Figtree"/>
            </w:rPr>
          </w:r>
        </w:p>
        <w:p>
          <w:pPr>
            <w:ind w:left="1440"/>
          </w:pPr>
          <w:r>
            <w:t xml:space="preserve">Network Architecture</w:t>
            <w:rPr>
              <w:sz w:val="22"/>
              <w:rFonts w:ascii="Figtree" w:hAnsi="Figtree"/>
            </w:rPr>
          </w:r>
        </w:p>
        <w:p>
          <w:pPr>
            <w:ind w:left="1440"/>
          </w:pPr>
          <w:r>
            <w:t xml:space="preserve">Deployment for UAE</w:t>
            <w:rPr>
              <w:sz w:val="22"/>
              <w:rFonts w:ascii="Figtree" w:hAnsi="Figtree"/>
            </w:rPr>
          </w:r>
        </w:p>
        <w:p>
          <w:pPr>
            <w:ind w:left="720"/>
          </w:pPr>
          <w:r>
            <w:t xml:space="preserve">Token Architecture for Digital Dirham</w:t>
            <w:rPr>
              <w:sz w:val="22"/>
              <w:rFonts w:ascii="Figtree" w:hAnsi="Figtree"/>
            </w:rPr>
          </w:r>
        </w:p>
        <w:p>
          <w:pPr>
            <w:ind w:left="1440"/>
          </w:pPr>
          <w:r>
            <w:t xml:space="preserve">Digital Dirham Token Design</w:t>
            <w:rPr>
              <w:sz w:val="22"/>
              <w:rFonts w:ascii="Figtree" w:hAnsi="Figtree"/>
            </w:rPr>
          </w:r>
        </w:p>
        <w:p>
          <w:pPr>
            <w:ind w:left="1440"/>
          </w:pPr>
          <w:r>
            <w:t xml:space="preserve">Two-Tier Distribution Model</w:t>
            <w:rPr>
              <w:sz w:val="22"/>
              <w:rFonts w:ascii="Figtree" w:hAnsi="Figtree"/>
            </w:rPr>
          </w:r>
        </w:p>
        <w:p>
          <w:pPr>
            <w:ind w:left="720"/>
          </w:pPr>
          <w:r>
            <w:t xml:space="preserve">Identity, Compliance, and Regulatory Controls</w:t>
            <w:rPr>
              <w:sz w:val="22"/>
              <w:rFonts w:ascii="Figtree" w:hAnsi="Figtree"/>
            </w:rPr>
          </w:r>
        </w:p>
        <w:p>
          <w:pPr>
            <w:ind w:left="1440"/>
          </w:pPr>
          <w:r>
            <w:t xml:space="preserve">Multi-Tier Identity Model</w:t>
            <w:rPr>
              <w:sz w:val="22"/>
              <w:rFonts w:ascii="Figtree" w:hAnsi="Figtree"/>
            </w:rPr>
          </w:r>
        </w:p>
        <w:p>
          <w:pPr>
            <w:ind w:left="1440"/>
          </w:pPr>
          <w:r>
            <w:t xml:space="preserve">AML/CFT Integration</w:t>
            <w:rPr>
              <w:sz w:val="22"/>
              <w:rFonts w:ascii="Figtree" w:hAnsi="Figtree"/>
            </w:rPr>
          </w:r>
        </w:p>
        <w:p>
          <w:pPr>
            <w:ind w:left="720"/>
          </w:pPr>
          <w:r>
            <w:t xml:space="preserve">Distribution, Settlement, and Interoperability</w:t>
            <w:rPr>
              <w:sz w:val="22"/>
              <w:rFonts w:ascii="Figtree" w:hAnsi="Figtree"/>
            </w:rPr>
          </w:r>
        </w:p>
        <w:p>
          <w:pPr>
            <w:ind w:left="1440"/>
          </w:pPr>
          <w:r>
            <w:t xml:space="preserve">Cross-Border Settlement</w:t>
            <w:rPr>
              <w:sz w:val="22"/>
              <w:rFonts w:ascii="Figtree" w:hAnsi="Figtree"/>
            </w:rPr>
          </w:r>
        </w:p>
        <w:p>
          <w:pPr>
            <w:ind w:left="1440"/>
          </w:pPr>
          <w:r>
            <w:t xml:space="preserve">Wholesale Settlement</w:t>
            <w:rPr>
              <w:sz w:val="22"/>
              <w:rFonts w:ascii="Figtree" w:hAnsi="Figtree"/>
            </w:rPr>
          </w:r>
        </w:p>
        <w:p>
          <w:pPr>
            <w:ind w:left="720"/>
          </w:pPr>
          <w:r>
            <w:t xml:space="preserve">Security, Resilience, and Sovereign-Grade Assurance</w:t>
            <w:rPr>
              <w:sz w:val="22"/>
              <w:rFonts w:ascii="Figtree" w:hAnsi="Figtree"/>
            </w:rPr>
          </w:r>
        </w:p>
        <w:p>
          <w:pPr>
            <w:ind w:left="1440"/>
          </w:pPr>
          <w:r>
            <w:t xml:space="preserve">Security for Sovereign Infrastructure</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Phased Implementation</w:t>
            <w:rPr>
              <w:sz w:val="22"/>
              <w:rFonts w:ascii="Figtree" w:hAnsi="Figtree"/>
            </w:rPr>
          </w:r>
        </w:p>
        <w:p>
          <w:pPr>
            <w:ind w:left="720"/>
          </w:pPr>
          <w:r>
            <w:t xml:space="preserve">Current Coverage, Dependencies, and Qualified Gaps</w:t>
            <w:rPr>
              <w:sz w:val="22"/>
              <w:rFonts w:ascii="Figtree" w:hAnsi="Figtree"/>
            </w:rPr>
          </w:r>
        </w:p>
        <w:p>
          <w:pPr>
            <w:ind w:left="1440"/>
          </w:pPr>
          <w:r>
            <w:t xml:space="preserve">Coverage Summary</w:t>
            <w:rPr>
              <w:sz w:val="22"/>
              <w:rFonts w:ascii="Figtree" w:hAnsi="Figtree"/>
            </w:rPr>
          </w:r>
        </w:p>
        <w:p>
          <w:pPr>
            <w:ind w:left="1440"/>
          </w:pPr>
          <w:r>
            <w:t xml:space="preserve">Qualified Gaps</w:t>
            <w:rPr>
              <w:sz w:val="22"/>
              <w:rFonts w:ascii="Figtree" w:hAnsi="Figtree"/>
            </w:rPr>
          </w:r>
        </w:p>
        <w:p>
          <w:pPr>
            <w:ind w:left="720"/>
          </w:pPr>
          <w:r>
            <w:t xml:space="preserve">Relevant Delivery Evidence</w:t>
            <w:rPr>
              <w:sz w:val="22"/>
              <w:rFonts w:ascii="Figtree" w:hAnsi="Figtree"/>
            </w:rPr>
          </w:r>
        </w:p>
        <w:p>
          <w:pPr>
            <w:ind w:left="1440"/>
          </w:pPr>
          <w:r>
            <w:t xml:space="preserve">State Bank of India — CBDC at National Scale</w:t>
            <w:rPr>
              <w:sz w:val="22"/>
              <w:rFonts w:ascii="Figtree" w:hAnsi="Figtree"/>
            </w:rPr>
          </w:r>
        </w:p>
        <w:p>
          <w:pPr>
            <w:ind w:left="720"/>
          </w:pPr>
          <w:r>
            <w:t xml:space="preserve">Appendices</w:t>
            <w:rPr>
              <w:sz w:val="22"/>
              <w:rFonts w:ascii="Figtree" w:hAnsi="Figtree"/>
            </w:rPr>
          </w:r>
        </w:p>
        <w:p>
          <w:pPr>
            <w:ind w:left="1440"/>
          </w:pPr>
          <w:r>
            <w:t xml:space="preserve">Appendix A: 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CBDC and Digital Dirham Enabling Infrastructure</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Central Bank of UAE</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CENTRAL-BANK-OF-UAE-RFP-CBDC-DIGITAL-DIRHAM-INFRASTRUCTURE-202603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Central Bank of UAE's Programme Objectives</w:t>
      </w:r>
    </w:p>
    <w:p>
      <w:pPr>
        <w:pStyle w:val="ListParagraph"/>
        <w:numPr>
          <w:ilvl w:val="0"/>
          <w:numId w:val="4"/>
        </w:numPr>
      </w:pPr>
      <w:r>
        <w:rPr>
          <w:rFonts w:ascii="Figtree" w:hAnsi="Figtree"/>
          <w:b w:val="0"/>
          <w:i w:val="0"/>
          <w:sz w:val="22"/>
        </w:rPr>
        <w:t>Proposed DALP Operating Model for Digital Dirham Infrastructure</w:t>
      </w:r>
    </w:p>
    <w:p>
      <w:pPr>
        <w:pStyle w:val="ListParagraph"/>
        <w:numPr>
          <w:ilvl w:val="0"/>
          <w:numId w:val="4"/>
        </w:numPr>
      </w:pPr>
      <w:r>
        <w:rPr>
          <w:rFonts w:ascii="Figtree" w:hAnsi="Figtree"/>
          <w:b w:val="0"/>
          <w:i w:val="0"/>
          <w:sz w:val="22"/>
        </w:rPr>
        <w:t>Technical Architecture for CBDC Operations</w:t>
      </w:r>
    </w:p>
    <w:p>
      <w:pPr>
        <w:pStyle w:val="ListParagraph"/>
        <w:numPr>
          <w:ilvl w:val="0"/>
          <w:numId w:val="4"/>
        </w:numPr>
      </w:pPr>
      <w:r>
        <w:rPr>
          <w:rFonts w:ascii="Figtree" w:hAnsi="Figtree"/>
          <w:b w:val="0"/>
          <w:i w:val="0"/>
          <w:sz w:val="22"/>
        </w:rPr>
        <w:t>Token Architecture for Digital Dirham</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Distribution, Settlement, and Interoperability</w:t>
      </w:r>
    </w:p>
    <w:p>
      <w:pPr>
        <w:pStyle w:val="ListParagraph"/>
        <w:numPr>
          <w:ilvl w:val="0"/>
          <w:numId w:val="4"/>
        </w:numPr>
      </w:pPr>
      <w:r>
        <w:rPr>
          <w:rFonts w:ascii="Figtree" w:hAnsi="Figtree"/>
          <w:b w:val="0"/>
          <w:i w:val="0"/>
          <w:sz w:val="22"/>
        </w:rPr>
        <w:t>Security, Resilience, and Sovereign-Grade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The Central Bank of UAE (CBUAE) has identified CBDC and Digital Dirham enabling infrastructure as a sovereign-critical capability. This procurement will determine whether the market can supply a platform and implementation model capable of supporting a national digital currency at the transaction volumes, security requirements, and governance standards expected of sovereign monetary infrastructure.</w:t>
      </w:r>
    </w:p>
    <w:p>
      <w:r>
        <w:rPr>
          <w:rFonts w:ascii="Figtree" w:hAnsi="Figtree"/>
          <w:b w:val="0"/>
          <w:i w:val="0"/>
          <w:sz w:val="22"/>
        </w:rPr>
        <w:t>SettleMint's Digital Asset Lifecycle Platform (DALP) directly addresses this requirement. DALP provides the token issuance, distribution, compliance enforcement, and lifecycle management infrastructure required for a production-grade CBDC — with the identity controls, regulatory transparency, and operational resilience that sovereign implementations demand.</w:t>
      </w:r>
    </w:p>
    <w:p>
      <w:r>
        <w:rPr>
          <w:rFonts w:ascii="Figtree" w:hAnsi="Figtree"/>
          <w:b/>
          <w:i w:val="0"/>
          <w:sz w:val="22"/>
        </w:rPr>
        <w:t>Why DALP is suited for the Digital Dirham programme:</w:t>
      </w:r>
    </w:p>
    <w:p>
      <w:pPr>
        <w:pStyle w:val="ListParagraph"/>
        <w:numPr>
          <w:ilvl w:val="0"/>
          <w:numId w:val="4"/>
        </w:numPr>
      </w:pPr>
      <w:r>
        <w:rPr>
          <w:rFonts w:ascii="Figtree" w:hAnsi="Figtree"/>
          <w:b/>
          <w:i w:val="0"/>
          <w:sz w:val="22"/>
        </w:rPr>
        <w:t>Proven CBDC delivery.</w:t>
      </w:r>
      <w:r>
        <w:rPr>
          <w:rFonts w:ascii="Figtree" w:hAnsi="Figtree"/>
          <w:b w:val="0"/>
          <w:i w:val="0"/>
          <w:sz w:val="22"/>
        </w:rPr>
        <w:t xml:space="preserve"> DALP powers the State Bank of India's e-Rupee (eR) CBDC infrastructure — designed for over one billion projected daily transactions. The pilot phase is complete and production deployment is underway. This is the most directly relevant reference for the CBUAE's Digital Dirham programme.</w:t>
      </w:r>
    </w:p>
    <w:p>
      <w:pPr>
        <w:pStyle w:val="ListParagraph"/>
        <w:numPr>
          <w:ilvl w:val="0"/>
          <w:numId w:val="4"/>
        </w:numPr>
      </w:pPr>
      <w:r>
        <w:rPr>
          <w:rFonts w:ascii="Figtree" w:hAnsi="Figtree"/>
          <w:b/>
          <w:i w:val="0"/>
          <w:sz w:val="22"/>
        </w:rPr>
        <w:t>Sovereign-scale architecture.</w:t>
      </w:r>
      <w:r>
        <w:rPr>
          <w:rFonts w:ascii="Figtree" w:hAnsi="Figtree"/>
          <w:b w:val="0"/>
          <w:i w:val="0"/>
          <w:sz w:val="22"/>
        </w:rPr>
        <w:t xml:space="preserve"> DALP's four-layer architecture separates the token logic, compliance enforcement, middleware orchestration, and application interfaces into independently scalable layers. The platform has been deployed at country scale for Saudi Arabia's Real Estate Registry, processing live production transactions since January 2026.</w:t>
      </w:r>
    </w:p>
    <w:p>
      <w:pPr>
        <w:pStyle w:val="ListParagraph"/>
        <w:numPr>
          <w:ilvl w:val="0"/>
          <w:numId w:val="4"/>
        </w:numPr>
      </w:pPr>
      <w:r>
        <w:rPr>
          <w:rFonts w:ascii="Figtree" w:hAnsi="Figtree"/>
          <w:b/>
          <w:i w:val="0"/>
          <w:sz w:val="22"/>
        </w:rPr>
        <w:t>Compliance-embedded design.</w:t>
      </w:r>
      <w:r>
        <w:rPr>
          <w:rFonts w:ascii="Figtree" w:hAnsi="Figtree"/>
          <w:b w:val="0"/>
          <w:i w:val="0"/>
          <w:sz w:val="22"/>
        </w:rPr>
        <w:t xml:space="preserve"> DALP's compliance engine enforces KYC/AML verification, jurisdiction controls, transaction limits, and regulatory reporting at the smart contract level. For a CBDC, this means every digital dirham transaction carries its compliance context — identity verification, sanctions screening integration, and transaction monitoring hooks — as structural properties of the currency, not application-layer overlays.</w:t>
      </w:r>
    </w:p>
    <w:p>
      <w:pPr>
        <w:pStyle w:val="ListParagraph"/>
        <w:numPr>
          <w:ilvl w:val="0"/>
          <w:numId w:val="4"/>
        </w:numPr>
      </w:pPr>
      <w:r>
        <w:rPr>
          <w:rFonts w:ascii="Figtree" w:hAnsi="Figtree"/>
          <w:b/>
          <w:i w:val="0"/>
          <w:sz w:val="22"/>
        </w:rPr>
        <w:t>Cross-border interoperability.</w:t>
      </w:r>
      <w:r>
        <w:rPr>
          <w:rFonts w:ascii="Figtree" w:hAnsi="Figtree"/>
          <w:b w:val="0"/>
          <w:i w:val="0"/>
          <w:sz w:val="22"/>
        </w:rPr>
        <w:t xml:space="preserve"> DALP supports multi-network deployment and cross-chain settlement. For the CBUAE's cross-border ambitions — building on Project Aber with Saudi Arabia and mBridge with HKMA, BIS, and others — the platform provides the interoperability layer required for cross-border CBDC settlement.</w:t>
      </w:r>
    </w:p>
    <w:p>
      <w:r>
        <w:rPr>
          <w:rFonts w:ascii="Figtree" w:hAnsi="Figtree"/>
          <w:i/>
          <w:sz w:val="22"/>
        </w:rPr>
        <w:t>[Diagram 1 — render failed, see markdown source]</w:t>
      </w:r>
    </w:p>
    <w:p>
      <w:r>
        <w:br w:type="page"/>
      </w:r>
    </w:p>
    <w:p>
      <w:pPr>
        <w:pStyle w:val="H2"/>
        <w:numPr>
          <w:ilvl w:val="1"/>
          <w:numId w:val="1"/>
        </w:numPr>
      </w:pPr>
      <w:r>
        <w:t>Understanding the Central Bank of UAE's Programme Objectives</w:t>
      </w:r>
    </w:p>
    <w:p>
      <w:pPr>
        <w:pStyle w:val="H3"/>
        <w:numPr>
          <w:ilvl w:val="2"/>
          <w:numId w:val="1"/>
        </w:numPr>
      </w:pPr>
      <w:r>
        <w:t>The Digital Dirham Vision</w:t>
      </w:r>
    </w:p>
    <w:p>
      <w:r>
        <w:rPr>
          <w:rFonts w:ascii="Figtree" w:hAnsi="Figtree"/>
          <w:b w:val="0"/>
          <w:i w:val="0"/>
          <w:sz w:val="22"/>
        </w:rPr>
        <w:t>The CBUAE's Digital Dirham programme represents the UAE's commitment to sovereign digital currency infrastructure. Building on Project Aber (cross-border CBDC with Saudi Arabia) and participation in mBridge (multi-CBDC platform with HKMA, Bank of Thailand, and People's Bank of China via BIS), the CBUAE requires infrastructure that supports:</w:t>
      </w:r>
    </w:p>
    <w:p>
      <w:pPr>
        <w:pStyle w:val="ListParagraph"/>
        <w:numPr>
          <w:ilvl w:val="0"/>
          <w:numId w:val="6"/>
        </w:numPr>
      </w:pPr>
      <w:r>
        <w:rPr>
          <w:rFonts w:ascii="Figtree" w:hAnsi="Figtree"/>
          <w:b/>
          <w:i w:val="0"/>
          <w:sz w:val="22"/>
        </w:rPr>
        <w:t>Wholesale CBDC</w:t>
      </w:r>
      <w:r>
        <w:rPr>
          <w:rFonts w:ascii="Figtree" w:hAnsi="Figtree"/>
          <w:b w:val="0"/>
          <w:i w:val="0"/>
          <w:sz w:val="22"/>
        </w:rPr>
        <w:t xml:space="preserve"> for interbank settlement with deterministic finality</w:t>
      </w:r>
    </w:p>
    <w:p>
      <w:pPr>
        <w:pStyle w:val="ListParagraph"/>
        <w:numPr>
          <w:ilvl w:val="0"/>
          <w:numId w:val="6"/>
        </w:numPr>
      </w:pPr>
      <w:r>
        <w:rPr>
          <w:rFonts w:ascii="Figtree" w:hAnsi="Figtree"/>
          <w:b/>
          <w:i w:val="0"/>
          <w:sz w:val="22"/>
        </w:rPr>
        <w:t>Retail CBDC</w:t>
      </w:r>
      <w:r>
        <w:rPr>
          <w:rFonts w:ascii="Figtree" w:hAnsi="Figtree"/>
          <w:b w:val="0"/>
          <w:i w:val="0"/>
          <w:sz w:val="22"/>
        </w:rPr>
        <w:t xml:space="preserve"> for consumer and merchant payments with offline capability considerations</w:t>
      </w:r>
    </w:p>
    <w:p>
      <w:pPr>
        <w:pStyle w:val="ListParagraph"/>
        <w:numPr>
          <w:ilvl w:val="0"/>
          <w:numId w:val="6"/>
        </w:numPr>
      </w:pPr>
      <w:r>
        <w:rPr>
          <w:rFonts w:ascii="Figtree" w:hAnsi="Figtree"/>
          <w:b/>
          <w:i w:val="0"/>
          <w:sz w:val="22"/>
        </w:rPr>
        <w:t>Cross-border settlement</w:t>
      </w:r>
      <w:r>
        <w:rPr>
          <w:rFonts w:ascii="Figtree" w:hAnsi="Figtree"/>
          <w:b w:val="0"/>
          <w:i w:val="0"/>
          <w:sz w:val="22"/>
        </w:rPr>
        <w:t xml:space="preserve"> building on Project Aber and mBridge architecture</w:t>
      </w:r>
    </w:p>
    <w:p>
      <w:pPr>
        <w:pStyle w:val="ListParagraph"/>
        <w:numPr>
          <w:ilvl w:val="0"/>
          <w:numId w:val="6"/>
        </w:numPr>
      </w:pPr>
      <w:r>
        <w:rPr>
          <w:rFonts w:ascii="Figtree" w:hAnsi="Figtree"/>
          <w:b/>
          <w:i w:val="0"/>
          <w:sz w:val="22"/>
        </w:rPr>
        <w:t>Programmable money</w:t>
      </w:r>
      <w:r>
        <w:rPr>
          <w:rFonts w:ascii="Figtree" w:hAnsi="Figtree"/>
          <w:b w:val="0"/>
          <w:i w:val="0"/>
          <w:sz w:val="22"/>
        </w:rPr>
        <w:t xml:space="preserve"> for government disbursements, subsidy distribution, and conditional payments</w:t>
      </w:r>
    </w:p>
    <w:p>
      <w:pPr>
        <w:pStyle w:val="H3"/>
        <w:numPr>
          <w:ilvl w:val="2"/>
          <w:numId w:val="1"/>
        </w:numPr>
      </w:pPr>
      <w:r>
        <w:t>Sovereign-Grade Requirements</w:t>
      </w:r>
    </w:p>
    <w:p>
      <w:r>
        <w:rPr>
          <w:rFonts w:ascii="Figtree" w:hAnsi="Figtree"/>
          <w:b w:val="0"/>
          <w:i w:val="0"/>
          <w:sz w:val="22"/>
        </w:rPr>
        <w:t>A CBDC platform for the CBUAE must meet requirements fundamentally different from commercial tokenization:</w:t>
      </w:r>
    </w:p>
    <w:p>
      <w:pPr>
        <w:pStyle w:val="ListParagraph"/>
        <w:numPr>
          <w:ilvl w:val="0"/>
          <w:numId w:val="4"/>
        </w:numPr>
      </w:pPr>
      <w:r>
        <w:rPr>
          <w:rFonts w:ascii="Figtree" w:hAnsi="Figtree"/>
          <w:b/>
          <w:i w:val="0"/>
          <w:sz w:val="22"/>
        </w:rPr>
        <w:t>Monetary sovereignty:</w:t>
      </w:r>
      <w:r>
        <w:rPr>
          <w:rFonts w:ascii="Figtree" w:hAnsi="Figtree"/>
          <w:b w:val="0"/>
          <w:i w:val="0"/>
          <w:sz w:val="22"/>
        </w:rPr>
        <w:t xml:space="preserve"> The CBUAE must retain absolute control over issuance, supply management, and monetary policy enforcement</w:t>
      </w:r>
    </w:p>
    <w:p>
      <w:pPr>
        <w:pStyle w:val="ListParagraph"/>
        <w:numPr>
          <w:ilvl w:val="0"/>
          <w:numId w:val="4"/>
        </w:numPr>
      </w:pPr>
      <w:r>
        <w:rPr>
          <w:rFonts w:ascii="Figtree" w:hAnsi="Figtree"/>
          <w:b/>
          <w:i w:val="0"/>
          <w:sz w:val="22"/>
        </w:rPr>
        <w:t>Universal accessibility:</w:t>
      </w:r>
      <w:r>
        <w:rPr>
          <w:rFonts w:ascii="Figtree" w:hAnsi="Figtree"/>
          <w:b w:val="0"/>
          <w:i w:val="0"/>
          <w:sz w:val="22"/>
        </w:rPr>
        <w:t xml:space="preserve"> The infrastructure must support the entire UAE financial ecosystem — banks, payment providers, merchants, and consumers</w:t>
      </w:r>
    </w:p>
    <w:p>
      <w:pPr>
        <w:pStyle w:val="ListParagraph"/>
        <w:numPr>
          <w:ilvl w:val="0"/>
          <w:numId w:val="4"/>
        </w:numPr>
      </w:pPr>
      <w:r>
        <w:rPr>
          <w:rFonts w:ascii="Figtree" w:hAnsi="Figtree"/>
          <w:b/>
          <w:i w:val="0"/>
          <w:sz w:val="22"/>
        </w:rPr>
        <w:t>Regulatory transparency:</w:t>
      </w:r>
      <w:r>
        <w:rPr>
          <w:rFonts w:ascii="Figtree" w:hAnsi="Figtree"/>
          <w:b w:val="0"/>
          <w:i w:val="0"/>
          <w:sz w:val="22"/>
        </w:rPr>
        <w:t xml:space="preserve"> Every transaction must be available for regulatory review while preserving appropriate privacy boundaries</w:t>
      </w:r>
    </w:p>
    <w:p>
      <w:pPr>
        <w:pStyle w:val="ListParagraph"/>
        <w:numPr>
          <w:ilvl w:val="0"/>
          <w:numId w:val="4"/>
        </w:numPr>
      </w:pPr>
      <w:r>
        <w:rPr>
          <w:rFonts w:ascii="Figtree" w:hAnsi="Figtree"/>
          <w:b/>
          <w:i w:val="0"/>
          <w:sz w:val="22"/>
        </w:rPr>
        <w:t>Resilience at national scale:</w:t>
      </w:r>
      <w:r>
        <w:rPr>
          <w:rFonts w:ascii="Figtree" w:hAnsi="Figtree"/>
          <w:b w:val="0"/>
          <w:i w:val="0"/>
          <w:sz w:val="22"/>
        </w:rPr>
        <w:t xml:space="preserve"> The platform must operate with the same availability expectations as core national payment infrastructure</w:t>
      </w:r>
    </w:p>
    <w:p>
      <w:pPr>
        <w:jc w:val="center"/>
      </w:pPr>
      <w:r>
        <w:drawing>
          <wp:inline xmlns:a="http://schemas.openxmlformats.org/drawingml/2006/main" xmlns:pic="http://schemas.openxmlformats.org/drawingml/2006/picture">
            <wp:extent cx="5486400" cy="2778190"/>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5486400" cy="2778190"/>
                    </a:xfrm>
                    <a:prstGeom prst="rect"/>
                  </pic:spPr>
                </pic:pic>
              </a:graphicData>
            </a:graphic>
          </wp:inline>
        </w:drawing>
      </w:r>
    </w:p>
    <w:p>
      <w:r>
        <w:br w:type="page"/>
      </w:r>
    </w:p>
    <w:p>
      <w:pPr>
        <w:pStyle w:val="H2"/>
        <w:numPr>
          <w:ilvl w:val="1"/>
          <w:numId w:val="1"/>
        </w:numPr>
      </w:pPr>
      <w:r>
        <w:t>Technical Architecture for CBDC Operations</w:t>
      </w:r>
    </w:p>
    <w:p>
      <w:pPr>
        <w:pStyle w:val="H3"/>
        <w:numPr>
          <w:ilvl w:val="2"/>
          <w:numId w:val="1"/>
        </w:numPr>
      </w:pPr>
      <w:r>
        <w:t>Four-Layer Architecture Adapted for CBDC</w:t>
      </w:r>
    </w:p>
    <w:p>
      <w:r>
        <w:rPr>
          <w:rFonts w:ascii="Figtree" w:hAnsi="Figtree"/>
          <w:b w:val="0"/>
          <w:i w:val="0"/>
          <w:sz w:val="22"/>
        </w:rPr>
        <w:t>DALP's architecture is adapted for CBDC requirements with emphasis on sovereign control, high-throughput transaction processing, and multi-tier distribution:</w:t>
      </w:r>
    </w:p>
    <w:p>
      <w:pPr>
        <w:jc w:val="center"/>
      </w:pPr>
      <w:r>
        <w:drawing>
          <wp:inline xmlns:a="http://schemas.openxmlformats.org/drawingml/2006/main" xmlns:pic="http://schemas.openxmlformats.org/drawingml/2006/picture">
            <wp:extent cx="5486400" cy="5682343"/>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5682343"/>
                    </a:xfrm>
                    <a:prstGeom prst="rect"/>
                  </pic:spPr>
                </pic:pic>
              </a:graphicData>
            </a:graphic>
          </wp:inline>
        </w:drawing>
      </w:r>
    </w:p>
    <w:p>
      <w:pPr>
        <w:pStyle w:val="H3"/>
        <w:numPr>
          <w:ilvl w:val="2"/>
          <w:numId w:val="1"/>
        </w:numPr>
      </w:pPr>
      <w:r>
        <w:t>Network Architecture</w:t>
      </w:r>
    </w:p>
    <w:p>
      <w:r>
        <w:rPr>
          <w:rFonts w:ascii="Figtree" w:hAnsi="Figtree"/>
          <w:b w:val="0"/>
          <w:i w:val="0"/>
          <w:sz w:val="22"/>
        </w:rPr>
        <w:t xml:space="preserve">For the CBUAE, we recommend a </w:t>
      </w:r>
      <w:r>
        <w:rPr>
          <w:rFonts w:ascii="Figtree" w:hAnsi="Figtree"/>
          <w:b/>
          <w:i w:val="0"/>
          <w:sz w:val="22"/>
        </w:rPr>
        <w:t>permissioned Hyperledger Besu network</w:t>
      </w:r>
      <w:r>
        <w:rPr>
          <w:rFonts w:ascii="Figtree" w:hAnsi="Figtree"/>
          <w:b w:val="0"/>
          <w:i w:val="0"/>
          <w:sz w:val="22"/>
        </w:rPr>
        <w:t xml:space="preserve"> with IBFT 2.0 consensus: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Component</w:t>
            </w:r>
          </w:p>
        </w:tc>
        <w:tc>
          <w:tcPr>
            <w:tcW w:type="dxa" w:w="3249"/>
            <w:vAlign w:val="center"/>
            <w:shd w:fill="000099" w:val="clear"/>
          </w:tcPr>
          <w:p>
            <w:r>
              <w:rPr>
                <w:b/>
                <w:color w:val="FFFFFF"/>
              </w:rPr>
            </w:r>
            <w:r>
              <w:rPr>
                <w:rFonts w:ascii="Figtree" w:hAnsi="Figtree"/>
                <w:b/>
                <w:i w:val="0"/>
                <w:color w:val="FFFFFF"/>
                <w:sz w:val="22"/>
              </w:rPr>
              <w:t>Configuration</w:t>
            </w:r>
          </w:p>
        </w:tc>
        <w:tc>
          <w:tcPr>
            <w:tcW w:type="dxa" w:w="3249"/>
            <w:vAlign w:val="center"/>
            <w:shd w:fill="000099" w:val="clear"/>
          </w:tcPr>
          <w:p>
            <w:r>
              <w:rPr>
                <w:b/>
                <w:color w:val="FFFFFF"/>
              </w:rPr>
            </w:r>
            <w:r>
              <w:rPr>
                <w:rFonts w:ascii="Figtree" w:hAnsi="Figtree"/>
                <w:b/>
                <w:i w:val="0"/>
                <w:color w:val="FFFFFF"/>
                <w:sz w:val="22"/>
              </w:rPr>
              <w:t>Rationale</w:t>
            </w:r>
          </w:p>
        </w:tc>
      </w:tr>
      <w:tr>
        <w:trPr>
          <w:trHeight w:val="454" w:hRule="atLeast"/>
        </w:trPr>
        <w:tc>
          <w:tcPr>
            <w:tcW w:type="dxa" w:w="3249"/>
            <w:vAlign w:val="center"/>
          </w:tcPr>
          <w:p>
            <w:r/>
            <w:r>
              <w:rPr>
                <w:rFonts w:ascii="Figtree" w:hAnsi="Figtree"/>
                <w:b w:val="0"/>
                <w:i w:val="0"/>
                <w:sz w:val="22"/>
              </w:rPr>
              <w:t>Consensus</w:t>
            </w:r>
          </w:p>
        </w:tc>
        <w:tc>
          <w:tcPr>
            <w:tcW w:type="dxa" w:w="3249"/>
            <w:vAlign w:val="center"/>
          </w:tcPr>
          <w:p>
            <w:r/>
            <w:r>
              <w:rPr>
                <w:rFonts w:ascii="Figtree" w:hAnsi="Figtree"/>
                <w:b w:val="0"/>
                <w:i w:val="0"/>
                <w:sz w:val="22"/>
              </w:rPr>
              <w:t>IBFT 2.0 (Istanbul BFT)</w:t>
            </w:r>
          </w:p>
        </w:tc>
        <w:tc>
          <w:tcPr>
            <w:tcW w:type="dxa" w:w="3249"/>
            <w:vAlign w:val="center"/>
          </w:tcPr>
          <w:p>
            <w:r/>
            <w:r>
              <w:rPr>
                <w:rFonts w:ascii="Figtree" w:hAnsi="Figtree"/>
                <w:b w:val="0"/>
                <w:i w:val="0"/>
                <w:sz w:val="22"/>
              </w:rPr>
              <w:t>Deterministic finality, regulatory-compliant</w:t>
            </w:r>
          </w:p>
        </w:tc>
      </w:tr>
      <w:tr>
        <w:trPr>
          <w:trHeight w:val="454" w:hRule="atLeast"/>
        </w:trPr>
        <w:tc>
          <w:tcPr>
            <w:tcW w:type="dxa" w:w="3249"/>
            <w:vAlign w:val="center"/>
          </w:tcPr>
          <w:p>
            <w:r/>
            <w:r>
              <w:rPr>
                <w:rFonts w:ascii="Figtree" w:hAnsi="Figtree"/>
                <w:b w:val="0"/>
                <w:i w:val="0"/>
                <w:sz w:val="22"/>
              </w:rPr>
              <w:t>Validator nodes</w:t>
            </w:r>
          </w:p>
        </w:tc>
        <w:tc>
          <w:tcPr>
            <w:tcW w:type="dxa" w:w="3249"/>
            <w:vAlign w:val="center"/>
          </w:tcPr>
          <w:p>
            <w:r/>
            <w:r>
              <w:rPr>
                <w:rFonts w:ascii="Figtree" w:hAnsi="Figtree"/>
                <w:b w:val="0"/>
                <w:i w:val="0"/>
                <w:sz w:val="22"/>
              </w:rPr>
              <w:t>Operated by CBUAE + selected licensed banks</w:t>
            </w:r>
          </w:p>
        </w:tc>
        <w:tc>
          <w:tcPr>
            <w:tcW w:type="dxa" w:w="3249"/>
            <w:vAlign w:val="center"/>
          </w:tcPr>
          <w:p>
            <w:r/>
            <w:r>
              <w:rPr>
                <w:rFonts w:ascii="Figtree" w:hAnsi="Figtree"/>
                <w:b w:val="0"/>
                <w:i w:val="0"/>
                <w:sz w:val="22"/>
              </w:rPr>
              <w:t>Sovereign control over network governance</w:t>
            </w:r>
          </w:p>
        </w:tc>
      </w:tr>
      <w:tr>
        <w:trPr>
          <w:trHeight w:val="454" w:hRule="atLeast"/>
        </w:trPr>
        <w:tc>
          <w:tcPr>
            <w:tcW w:type="dxa" w:w="3249"/>
            <w:vAlign w:val="center"/>
          </w:tcPr>
          <w:p>
            <w:r/>
            <w:r>
              <w:rPr>
                <w:rFonts w:ascii="Figtree" w:hAnsi="Figtree"/>
                <w:b w:val="0"/>
                <w:i w:val="0"/>
                <w:sz w:val="22"/>
              </w:rPr>
              <w:t>Transaction privacy</w:t>
            </w:r>
          </w:p>
        </w:tc>
        <w:tc>
          <w:tcPr>
            <w:tcW w:type="dxa" w:w="3249"/>
            <w:vAlign w:val="center"/>
          </w:tcPr>
          <w:p>
            <w:r/>
            <w:r>
              <w:rPr>
                <w:rFonts w:ascii="Figtree" w:hAnsi="Figtree"/>
                <w:b w:val="0"/>
                <w:i w:val="0"/>
                <w:sz w:val="22"/>
              </w:rPr>
              <w:t>Private transaction groups per Besu privacy</w:t>
            </w:r>
          </w:p>
        </w:tc>
        <w:tc>
          <w:tcPr>
            <w:tcW w:type="dxa" w:w="3249"/>
            <w:vAlign w:val="center"/>
          </w:tcPr>
          <w:p>
            <w:r/>
            <w:r>
              <w:rPr>
                <w:rFonts w:ascii="Figtree" w:hAnsi="Figtree"/>
                <w:b w:val="0"/>
                <w:i w:val="0"/>
                <w:sz w:val="22"/>
              </w:rPr>
              <w:t>Selective disclosure for regulatory vs. commercial data</w:t>
            </w:r>
          </w:p>
        </w:tc>
      </w:tr>
      <w:tr>
        <w:trPr>
          <w:trHeight w:val="454" w:hRule="atLeast"/>
        </w:trPr>
        <w:tc>
          <w:tcPr>
            <w:tcW w:type="dxa" w:w="3249"/>
            <w:vAlign w:val="center"/>
          </w:tcPr>
          <w:p>
            <w:r/>
            <w:r>
              <w:rPr>
                <w:rFonts w:ascii="Figtree" w:hAnsi="Figtree"/>
                <w:b w:val="0"/>
                <w:i w:val="0"/>
                <w:sz w:val="22"/>
              </w:rPr>
              <w:t>Network throughput</w:t>
            </w:r>
          </w:p>
        </w:tc>
        <w:tc>
          <w:tcPr>
            <w:tcW w:type="dxa" w:w="3249"/>
            <w:vAlign w:val="center"/>
          </w:tcPr>
          <w:p>
            <w:r/>
            <w:r>
              <w:rPr>
                <w:rFonts w:ascii="Figtree" w:hAnsi="Figtree"/>
                <w:b w:val="0"/>
                <w:i w:val="0"/>
                <w:sz w:val="22"/>
              </w:rPr>
              <w:t>Tested at 500+ concurrent settlement instructions</w:t>
            </w:r>
          </w:p>
        </w:tc>
        <w:tc>
          <w:tcPr>
            <w:tcW w:type="dxa" w:w="3249"/>
            <w:vAlign w:val="center"/>
          </w:tcPr>
          <w:p>
            <w:r/>
            <w:r>
              <w:rPr>
                <w:rFonts w:ascii="Figtree" w:hAnsi="Figtree"/>
                <w:b w:val="0"/>
                <w:i w:val="0"/>
                <w:sz w:val="22"/>
              </w:rPr>
              <w:t>Scalable to CBDC transaction volumes</w:t>
            </w:r>
          </w:p>
        </w:tc>
      </w:tr>
      <w:tr>
        <w:trPr>
          <w:trHeight w:val="454" w:hRule="atLeast"/>
        </w:trPr>
        <w:tc>
          <w:tcPr>
            <w:tcW w:type="dxa" w:w="3249"/>
            <w:vAlign w:val="center"/>
          </w:tcPr>
          <w:p>
            <w:r/>
            <w:r>
              <w:rPr>
                <w:rFonts w:ascii="Figtree" w:hAnsi="Figtree"/>
                <w:b w:val="0"/>
                <w:i w:val="0"/>
                <w:sz w:val="22"/>
              </w:rPr>
              <w:t>Finality</w:t>
            </w:r>
          </w:p>
        </w:tc>
        <w:tc>
          <w:tcPr>
            <w:tcW w:type="dxa" w:w="3249"/>
            <w:vAlign w:val="center"/>
          </w:tcPr>
          <w:p>
            <w:r/>
            <w:r>
              <w:rPr>
                <w:rFonts w:ascii="Figtree" w:hAnsi="Figtree"/>
                <w:b w:val="0"/>
                <w:i w:val="0"/>
                <w:sz w:val="22"/>
              </w:rPr>
              <w:t>Under 3 seconds median, 4.1 seconds P99</w:t>
            </w:r>
          </w:p>
        </w:tc>
        <w:tc>
          <w:tcPr>
            <w:tcW w:type="dxa" w:w="3249"/>
            <w:vAlign w:val="center"/>
          </w:tcPr>
          <w:p>
            <w:r/>
            <w:r>
              <w:rPr>
                <w:rFonts w:ascii="Figtree" w:hAnsi="Figtree"/>
                <w:b w:val="0"/>
                <w:i w:val="0"/>
                <w:sz w:val="22"/>
              </w:rPr>
              <w:t>Deterministic, not probabilistic</w:t>
            </w:r>
          </w:p>
        </w:tc>
      </w:tr>
    </w:tbl>
    <w:p>
      <w:pPr>
        <w:pStyle w:val="H3"/>
        <w:numPr>
          <w:ilvl w:val="2"/>
          <w:numId w:val="1"/>
        </w:numPr>
      </w:pPr>
      <w:r>
        <w:t>Deployment for UAE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Environment</w:t>
            </w:r>
          </w:p>
        </w:tc>
        <w:tc>
          <w:tcPr>
            <w:tcW w:type="dxa" w:w="4873"/>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4873"/>
            <w:vAlign w:val="center"/>
          </w:tcPr>
          <w:p>
            <w:r/>
            <w:r>
              <w:rPr>
                <w:rFonts w:ascii="Figtree" w:hAnsi="Figtree"/>
                <w:b w:val="0"/>
                <w:i w:val="0"/>
                <w:sz w:val="22"/>
              </w:rPr>
              <w:t>Development</w:t>
            </w:r>
          </w:p>
        </w:tc>
        <w:tc>
          <w:tcPr>
            <w:tcW w:type="dxa" w:w="4873"/>
            <w:vAlign w:val="center"/>
          </w:tcPr>
          <w:p>
            <w:r/>
            <w:r>
              <w:rPr>
                <w:rFonts w:ascii="Figtree" w:hAnsi="Figtree"/>
                <w:b w:val="0"/>
                <w:i w:val="0"/>
                <w:sz w:val="22"/>
              </w:rPr>
              <w:t>Feature development, API integration testing</w:t>
            </w:r>
          </w:p>
        </w:tc>
      </w:tr>
      <w:tr>
        <w:trPr>
          <w:trHeight w:val="454" w:hRule="atLeast"/>
        </w:trPr>
        <w:tc>
          <w:tcPr>
            <w:tcW w:type="dxa" w:w="4873"/>
            <w:vAlign w:val="center"/>
          </w:tcPr>
          <w:p>
            <w:r/>
            <w:r>
              <w:rPr>
                <w:rFonts w:ascii="Figtree" w:hAnsi="Figtree"/>
                <w:b w:val="0"/>
                <w:i w:val="0"/>
                <w:sz w:val="22"/>
              </w:rPr>
              <w:t>UAT / Staging</w:t>
            </w:r>
          </w:p>
        </w:tc>
        <w:tc>
          <w:tcPr>
            <w:tcW w:type="dxa" w:w="4873"/>
            <w:vAlign w:val="center"/>
          </w:tcPr>
          <w:p>
            <w:r/>
            <w:r>
              <w:rPr>
                <w:rFonts w:ascii="Figtree" w:hAnsi="Figtree"/>
                <w:b w:val="0"/>
                <w:i w:val="0"/>
                <w:sz w:val="22"/>
              </w:rPr>
              <w:t>Bank integration testing, regulatory review</w:t>
            </w:r>
          </w:p>
        </w:tc>
      </w:tr>
      <w:tr>
        <w:trPr>
          <w:trHeight w:val="454" w:hRule="atLeast"/>
        </w:trPr>
        <w:tc>
          <w:tcPr>
            <w:tcW w:type="dxa" w:w="4873"/>
            <w:vAlign w:val="center"/>
          </w:tcPr>
          <w:p>
            <w:r/>
            <w:r>
              <w:rPr>
                <w:rFonts w:ascii="Figtree" w:hAnsi="Figtree"/>
                <w:b w:val="0"/>
                <w:i w:val="0"/>
                <w:sz w:val="22"/>
              </w:rPr>
              <w:t>Disaster Recovery</w:t>
            </w:r>
          </w:p>
        </w:tc>
        <w:tc>
          <w:tcPr>
            <w:tcW w:type="dxa" w:w="4873"/>
            <w:vAlign w:val="center"/>
          </w:tcPr>
          <w:p>
            <w:r/>
            <w:r>
              <w:rPr>
                <w:rFonts w:ascii="Figtree" w:hAnsi="Figtree"/>
                <w:b w:val="0"/>
                <w:i w:val="0"/>
                <w:sz w:val="22"/>
              </w:rPr>
              <w:t>Geo-separated within UAE</w:t>
            </w:r>
          </w:p>
        </w:tc>
      </w:tr>
      <w:tr>
        <w:trPr>
          <w:trHeight w:val="454" w:hRule="atLeast"/>
        </w:trPr>
        <w:tc>
          <w:tcPr>
            <w:tcW w:type="dxa" w:w="4873"/>
            <w:vAlign w:val="center"/>
          </w:tcPr>
          <w:p>
            <w:r/>
            <w:r>
              <w:rPr>
                <w:rFonts w:ascii="Figtree" w:hAnsi="Figtree"/>
                <w:b w:val="0"/>
                <w:i w:val="0"/>
                <w:sz w:val="22"/>
              </w:rPr>
              <w:t>Production</w:t>
            </w:r>
          </w:p>
        </w:tc>
        <w:tc>
          <w:tcPr>
            <w:tcW w:type="dxa" w:w="4873"/>
            <w:vAlign w:val="center"/>
          </w:tcPr>
          <w:p>
            <w:r/>
            <w:r>
              <w:rPr>
                <w:rFonts w:ascii="Figtree" w:hAnsi="Figtree"/>
                <w:b w:val="0"/>
                <w:i w:val="0"/>
                <w:sz w:val="22"/>
              </w:rPr>
              <w:t>Full HA configuration, UAE-resident data centers</w:t>
            </w:r>
          </w:p>
        </w:tc>
      </w:tr>
      <w:tr>
        <w:trPr>
          <w:trHeight w:val="454" w:hRule="atLeast"/>
        </w:trPr>
        <w:tc>
          <w:tcPr>
            <w:tcW w:type="dxa" w:w="4873"/>
            <w:vAlign w:val="center"/>
          </w:tcPr>
          <w:p>
            <w:r/>
            <w:r>
              <w:rPr>
                <w:rFonts w:ascii="Figtree" w:hAnsi="Figtree"/>
                <w:b w:val="0"/>
                <w:i w:val="0"/>
                <w:sz w:val="22"/>
              </w:rPr>
              <w:t>Sandbox</w:t>
            </w:r>
          </w:p>
        </w:tc>
        <w:tc>
          <w:tcPr>
            <w:tcW w:type="dxa" w:w="4873"/>
            <w:vAlign w:val="center"/>
          </w:tcPr>
          <w:p>
            <w:r/>
            <w:r>
              <w:rPr>
                <w:rFonts w:ascii="Figtree" w:hAnsi="Figtree"/>
                <w:b w:val="0"/>
                <w:i w:val="0"/>
                <w:sz w:val="22"/>
              </w:rPr>
              <w:t>External developer testing environment</w:t>
            </w:r>
          </w:p>
        </w:tc>
      </w:tr>
    </w:tbl>
    <w:p>
      <w:r>
        <w:br w:type="page"/>
      </w:r>
    </w:p>
    <w:p>
      <w:pPr>
        <w:pStyle w:val="H2"/>
        <w:numPr>
          <w:ilvl w:val="1"/>
          <w:numId w:val="1"/>
        </w:numPr>
      </w:pPr>
      <w:r>
        <w:t>Token Architecture for Digital Dirham</w:t>
      </w:r>
    </w:p>
    <w:p>
      <w:pPr>
        <w:pStyle w:val="H3"/>
        <w:numPr>
          <w:ilvl w:val="2"/>
          <w:numId w:val="1"/>
        </w:numPr>
      </w:pPr>
      <w:r>
        <w:t>Digital Dirham Token Design</w:t>
      </w:r>
    </w:p>
    <w:p>
      <w:r>
        <w:rPr>
          <w:rFonts w:ascii="Figtree" w:hAnsi="Figtree"/>
          <w:b w:val="0"/>
          <w:i w:val="0"/>
          <w:sz w:val="22"/>
        </w:rPr>
        <w:t>The Digital Dirham is configured as a DALPAsset with CBDC-specific features: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Feature</w:t>
            </w:r>
          </w:p>
        </w:tc>
        <w:tc>
          <w:tcPr>
            <w:tcW w:type="dxa" w:w="3249"/>
            <w:vAlign w:val="center"/>
            <w:shd w:fill="000099" w:val="clear"/>
          </w:tcPr>
          <w:p>
            <w:r>
              <w:rPr>
                <w:b/>
                <w:color w:val="FFFFFF"/>
              </w:rPr>
            </w:r>
            <w:r>
              <w:rPr>
                <w:rFonts w:ascii="Figtree" w:hAnsi="Figtree"/>
                <w:b/>
                <w:i w:val="0"/>
                <w:color w:val="FFFFFF"/>
                <w:sz w:val="22"/>
              </w:rPr>
              <w:t>Configuration</w:t>
            </w:r>
          </w:p>
        </w:tc>
        <w:tc>
          <w:tcPr>
            <w:tcW w:type="dxa" w:w="3249"/>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3249"/>
            <w:vAlign w:val="center"/>
          </w:tcPr>
          <w:p>
            <w:r/>
            <w:r>
              <w:rPr>
                <w:rFonts w:ascii="Figtree" w:hAnsi="Figtree"/>
                <w:b w:val="0"/>
                <w:i w:val="0"/>
                <w:sz w:val="22"/>
              </w:rPr>
              <w:t>Supply management</w:t>
            </w:r>
          </w:p>
        </w:tc>
        <w:tc>
          <w:tcPr>
            <w:tcW w:type="dxa" w:w="3249"/>
            <w:vAlign w:val="center"/>
          </w:tcPr>
          <w:p>
            <w:r/>
            <w:r>
              <w:rPr>
                <w:rFonts w:ascii="Figtree" w:hAnsi="Figtree"/>
                <w:b w:val="0"/>
                <w:i w:val="0"/>
                <w:sz w:val="22"/>
              </w:rPr>
              <w:t>Central bank-exclusive minting/burning authority</w:t>
            </w:r>
          </w:p>
        </w:tc>
        <w:tc>
          <w:tcPr>
            <w:tcW w:type="dxa" w:w="3249"/>
            <w:vAlign w:val="center"/>
          </w:tcPr>
          <w:p>
            <w:r/>
            <w:r>
              <w:rPr>
                <w:rFonts w:ascii="Figtree" w:hAnsi="Figtree"/>
                <w:b w:val="0"/>
                <w:i w:val="0"/>
                <w:sz w:val="22"/>
              </w:rPr>
              <w:t>Monetary sovereignty</w:t>
            </w:r>
          </w:p>
        </w:tc>
      </w:tr>
      <w:tr>
        <w:trPr>
          <w:trHeight w:val="454" w:hRule="atLeast"/>
        </w:trPr>
        <w:tc>
          <w:tcPr>
            <w:tcW w:type="dxa" w:w="3249"/>
            <w:vAlign w:val="center"/>
          </w:tcPr>
          <w:p>
            <w:r/>
            <w:r>
              <w:rPr>
                <w:rFonts w:ascii="Figtree" w:hAnsi="Figtree"/>
                <w:b w:val="0"/>
                <w:i w:val="0"/>
                <w:sz w:val="22"/>
              </w:rPr>
              <w:t>Transaction limits</w:t>
            </w:r>
          </w:p>
        </w:tc>
        <w:tc>
          <w:tcPr>
            <w:tcW w:type="dxa" w:w="3249"/>
            <w:vAlign w:val="center"/>
          </w:tcPr>
          <w:p>
            <w:r/>
            <w:r>
              <w:rPr>
                <w:rFonts w:ascii="Figtree" w:hAnsi="Figtree"/>
                <w:b w:val="0"/>
                <w:i w:val="0"/>
                <w:sz w:val="22"/>
              </w:rPr>
              <w:t>Configurable per wallet tier (individual, merchant, bank)</w:t>
            </w:r>
          </w:p>
        </w:tc>
        <w:tc>
          <w:tcPr>
            <w:tcW w:type="dxa" w:w="3249"/>
            <w:vAlign w:val="center"/>
          </w:tcPr>
          <w:p>
            <w:r/>
            <w:r>
              <w:rPr>
                <w:rFonts w:ascii="Figtree" w:hAnsi="Figtree"/>
                <w:b w:val="0"/>
                <w:i w:val="0"/>
                <w:sz w:val="22"/>
              </w:rPr>
              <w:t>AML/CFT and monetary policy</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Mandatory OnchainID for all wallet holders</w:t>
            </w:r>
          </w:p>
        </w:tc>
        <w:tc>
          <w:tcPr>
            <w:tcW w:type="dxa" w:w="3249"/>
            <w:vAlign w:val="center"/>
          </w:tcPr>
          <w:p>
            <w:r/>
            <w:r>
              <w:rPr>
                <w:rFonts w:ascii="Figtree" w:hAnsi="Figtree"/>
                <w:b w:val="0"/>
                <w:i w:val="0"/>
                <w:sz w:val="22"/>
              </w:rPr>
              <w:t>KYC/AML compliance</w:t>
            </w:r>
          </w:p>
        </w:tc>
      </w:tr>
      <w:tr>
        <w:trPr>
          <w:trHeight w:val="454" w:hRule="atLeast"/>
        </w:trPr>
        <w:tc>
          <w:tcPr>
            <w:tcW w:type="dxa" w:w="3249"/>
            <w:vAlign w:val="center"/>
          </w:tcPr>
          <w:p>
            <w:r/>
            <w:r>
              <w:rPr>
                <w:rFonts w:ascii="Figtree" w:hAnsi="Figtree"/>
                <w:b w:val="0"/>
                <w:i w:val="0"/>
                <w:sz w:val="22"/>
              </w:rPr>
              <w:t>Country restrictions</w:t>
            </w:r>
          </w:p>
        </w:tc>
        <w:tc>
          <w:tcPr>
            <w:tcW w:type="dxa" w:w="3249"/>
            <w:vAlign w:val="center"/>
          </w:tcPr>
          <w:p>
            <w:r/>
            <w:r>
              <w:rPr>
                <w:rFonts w:ascii="Figtree" w:hAnsi="Figtree"/>
                <w:b w:val="0"/>
                <w:i w:val="0"/>
                <w:sz w:val="22"/>
              </w:rPr>
              <w:t>UAE-resident wallets, with cross-border corridors</w:t>
            </w:r>
          </w:p>
        </w:tc>
        <w:tc>
          <w:tcPr>
            <w:tcW w:type="dxa" w:w="3249"/>
            <w:vAlign w:val="center"/>
          </w:tcPr>
          <w:p>
            <w:r/>
            <w:r>
              <w:rPr>
                <w:rFonts w:ascii="Figtree" w:hAnsi="Figtree"/>
                <w:b w:val="0"/>
                <w:i w:val="0"/>
                <w:sz w:val="22"/>
              </w:rPr>
              <w:t>Jurisdictional control</w:t>
            </w:r>
          </w:p>
        </w:tc>
      </w:tr>
      <w:tr>
        <w:trPr>
          <w:trHeight w:val="454" w:hRule="atLeast"/>
        </w:trPr>
        <w:tc>
          <w:tcPr>
            <w:tcW w:type="dxa" w:w="3249"/>
            <w:vAlign w:val="center"/>
          </w:tcPr>
          <w:p>
            <w:r/>
            <w:r>
              <w:rPr>
                <w:rFonts w:ascii="Figtree" w:hAnsi="Figtree"/>
                <w:b w:val="0"/>
                <w:i w:val="0"/>
                <w:sz w:val="22"/>
              </w:rPr>
              <w:t>Programmable conditions</w:t>
            </w:r>
          </w:p>
        </w:tc>
        <w:tc>
          <w:tcPr>
            <w:tcW w:type="dxa" w:w="3249"/>
            <w:vAlign w:val="center"/>
          </w:tcPr>
          <w:p>
            <w:r/>
            <w:r>
              <w:rPr>
                <w:rFonts w:ascii="Figtree" w:hAnsi="Figtree"/>
                <w:b w:val="0"/>
                <w:i w:val="0"/>
                <w:sz w:val="22"/>
              </w:rPr>
              <w:t>Conditional transfers for government disbursements</w:t>
            </w:r>
          </w:p>
        </w:tc>
        <w:tc>
          <w:tcPr>
            <w:tcW w:type="dxa" w:w="3249"/>
            <w:vAlign w:val="center"/>
          </w:tcPr>
          <w:p>
            <w:r/>
            <w:r>
              <w:rPr>
                <w:rFonts w:ascii="Figtree" w:hAnsi="Figtree"/>
                <w:b w:val="0"/>
                <w:i w:val="0"/>
                <w:sz w:val="22"/>
              </w:rPr>
              <w:t>Targeted monetary policy</w:t>
            </w:r>
          </w:p>
        </w:tc>
      </w:tr>
      <w:tr>
        <w:trPr>
          <w:trHeight w:val="454" w:hRule="atLeast"/>
        </w:trPr>
        <w:tc>
          <w:tcPr>
            <w:tcW w:type="dxa" w:w="3249"/>
            <w:vAlign w:val="center"/>
          </w:tcPr>
          <w:p>
            <w:r/>
            <w:r>
              <w:rPr>
                <w:rFonts w:ascii="Figtree" w:hAnsi="Figtree"/>
                <w:b w:val="0"/>
                <w:i w:val="0"/>
                <w:sz w:val="22"/>
              </w:rPr>
              <w:t>Historical balances</w:t>
            </w:r>
          </w:p>
        </w:tc>
        <w:tc>
          <w:tcPr>
            <w:tcW w:type="dxa" w:w="3249"/>
            <w:vAlign w:val="center"/>
          </w:tcPr>
          <w:p>
            <w:r/>
            <w:r>
              <w:rPr>
                <w:rFonts w:ascii="Figtree" w:hAnsi="Figtree"/>
                <w:b w:val="0"/>
                <w:i w:val="0"/>
                <w:sz w:val="22"/>
              </w:rPr>
              <w:t>Snapshot-based audit trail</w:t>
            </w:r>
          </w:p>
        </w:tc>
        <w:tc>
          <w:tcPr>
            <w:tcW w:type="dxa" w:w="3249"/>
            <w:vAlign w:val="center"/>
          </w:tcPr>
          <w:p>
            <w:r/>
            <w:r>
              <w:rPr>
                <w:rFonts w:ascii="Figtree" w:hAnsi="Figtree"/>
                <w:b w:val="0"/>
                <w:i w:val="0"/>
                <w:sz w:val="22"/>
              </w:rPr>
              <w:t>Regulatory examination</w:t>
            </w:r>
          </w:p>
        </w:tc>
      </w:tr>
    </w:tbl>
    <w:p>
      <w:pPr>
        <w:pStyle w:val="H3"/>
        <w:numPr>
          <w:ilvl w:val="2"/>
          <w:numId w:val="1"/>
        </w:numPr>
      </w:pPr>
      <w:r>
        <w:t>Two-Tier Distribution Model</w:t>
      </w:r>
    </w:p>
    <w:p>
      <w:pPr>
        <w:jc w:val="center"/>
      </w:pPr>
      <w:r>
        <w:drawing>
          <wp:inline xmlns:a="http://schemas.openxmlformats.org/drawingml/2006/main" xmlns:pic="http://schemas.openxmlformats.org/drawingml/2006/picture">
            <wp:extent cx="5486400" cy="4058816"/>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4058816"/>
                    </a:xfrm>
                    <a:prstGeom prst="rect"/>
                  </pic:spPr>
                </pic:pic>
              </a:graphicData>
            </a:graphic>
          </wp:inline>
        </w:drawing>
      </w:r>
    </w:p>
    <w:p>
      <w:r>
        <w:br w:type="page"/>
      </w:r>
    </w:p>
    <w:p>
      <w:pPr>
        <w:pStyle w:val="H2"/>
        <w:numPr>
          <w:ilvl w:val="1"/>
          <w:numId w:val="1"/>
        </w:numPr>
      </w:pPr>
      <w:r>
        <w:t>Identity, Compliance, and Regulatory Controls</w:t>
      </w:r>
    </w:p>
    <w:p>
      <w:pPr>
        <w:pStyle w:val="H3"/>
        <w:numPr>
          <w:ilvl w:val="2"/>
          <w:numId w:val="1"/>
        </w:numPr>
      </w:pPr>
      <w:r>
        <w:t>Multi-Tier Identity Model</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Tier</w:t>
            </w:r>
          </w:p>
        </w:tc>
        <w:tc>
          <w:tcPr>
            <w:tcW w:type="dxa" w:w="1949"/>
            <w:vAlign w:val="center"/>
            <w:shd w:fill="000099" w:val="clear"/>
          </w:tcPr>
          <w:p>
            <w:r>
              <w:rPr>
                <w:b/>
                <w:color w:val="FFFFFF"/>
              </w:rPr>
            </w:r>
            <w:r>
              <w:rPr>
                <w:rFonts w:ascii="Figtree" w:hAnsi="Figtree"/>
                <w:b/>
                <w:i w:val="0"/>
                <w:color w:val="FFFFFF"/>
                <w:sz w:val="22"/>
              </w:rPr>
              <w:t>Wallet Type</w:t>
            </w:r>
          </w:p>
        </w:tc>
        <w:tc>
          <w:tcPr>
            <w:tcW w:type="dxa" w:w="1949"/>
            <w:vAlign w:val="center"/>
            <w:shd w:fill="000099" w:val="clear"/>
          </w:tcPr>
          <w:p>
            <w:r>
              <w:rPr>
                <w:b/>
                <w:color w:val="FFFFFF"/>
              </w:rPr>
            </w:r>
            <w:r>
              <w:rPr>
                <w:rFonts w:ascii="Figtree" w:hAnsi="Figtree"/>
                <w:b/>
                <w:i w:val="0"/>
                <w:color w:val="FFFFFF"/>
                <w:sz w:val="22"/>
              </w:rPr>
              <w:t>KYC Level</w:t>
            </w:r>
          </w:p>
        </w:tc>
        <w:tc>
          <w:tcPr>
            <w:tcW w:type="dxa" w:w="1949"/>
            <w:vAlign w:val="center"/>
            <w:shd w:fill="000099" w:val="clear"/>
          </w:tcPr>
          <w:p>
            <w:r>
              <w:rPr>
                <w:b/>
                <w:color w:val="FFFFFF"/>
              </w:rPr>
            </w:r>
            <w:r>
              <w:rPr>
                <w:rFonts w:ascii="Figtree" w:hAnsi="Figtree"/>
                <w:b/>
                <w:i w:val="0"/>
                <w:color w:val="FFFFFF"/>
                <w:sz w:val="22"/>
              </w:rPr>
              <w:t>Transaction Limits</w:t>
            </w:r>
          </w:p>
        </w:tc>
        <w:tc>
          <w:tcPr>
            <w:tcW w:type="dxa" w:w="1949"/>
            <w:vAlign w:val="center"/>
            <w:shd w:fill="000099" w:val="clear"/>
          </w:tcPr>
          <w:p>
            <w:r>
              <w:rPr>
                <w:b/>
                <w:color w:val="FFFFFF"/>
              </w:rPr>
            </w:r>
            <w:r>
              <w:rPr>
                <w:rFonts w:ascii="Figtree" w:hAnsi="Figtree"/>
                <w:b/>
                <w:i w:val="0"/>
                <w:color w:val="FFFFFF"/>
                <w:sz w:val="22"/>
              </w:rPr>
              <w:t>Identity Method</w:t>
            </w:r>
          </w:p>
        </w:tc>
      </w:tr>
      <w:tr>
        <w:trPr>
          <w:trHeight w:val="454" w:hRule="atLeast"/>
        </w:trPr>
        <w:tc>
          <w:tcPr>
            <w:tcW w:type="dxa" w:w="1949"/>
            <w:vAlign w:val="center"/>
          </w:tcPr>
          <w:p>
            <w:r/>
            <w:r>
              <w:rPr>
                <w:rFonts w:ascii="Figtree" w:hAnsi="Figtree"/>
                <w:b w:val="0"/>
                <w:i w:val="0"/>
                <w:sz w:val="22"/>
              </w:rPr>
              <w:t>Tier 0</w:t>
            </w:r>
          </w:p>
        </w:tc>
        <w:tc>
          <w:tcPr>
            <w:tcW w:type="dxa" w:w="1949"/>
            <w:vAlign w:val="center"/>
          </w:tcPr>
          <w:p>
            <w:r/>
            <w:r>
              <w:rPr>
                <w:rFonts w:ascii="Figtree" w:hAnsi="Figtree"/>
                <w:b w:val="0"/>
                <w:i w:val="0"/>
                <w:sz w:val="22"/>
              </w:rPr>
              <w:t>Interbank (wholesale)</w:t>
            </w:r>
          </w:p>
        </w:tc>
        <w:tc>
          <w:tcPr>
            <w:tcW w:type="dxa" w:w="1949"/>
            <w:vAlign w:val="center"/>
          </w:tcPr>
          <w:p>
            <w:r/>
            <w:r>
              <w:rPr>
                <w:rFonts w:ascii="Figtree" w:hAnsi="Figtree"/>
                <w:b w:val="0"/>
                <w:i w:val="0"/>
                <w:sz w:val="22"/>
              </w:rPr>
              <w:t>Full institutional KYC</w:t>
            </w:r>
          </w:p>
        </w:tc>
        <w:tc>
          <w:tcPr>
            <w:tcW w:type="dxa" w:w="1949"/>
            <w:vAlign w:val="center"/>
          </w:tcPr>
          <w:p>
            <w:r/>
            <w:r>
              <w:rPr>
                <w:rFonts w:ascii="Figtree" w:hAnsi="Figtree"/>
                <w:b w:val="0"/>
                <w:i w:val="0"/>
                <w:sz w:val="22"/>
              </w:rPr>
              <w:t>Unlimited</w:t>
            </w:r>
          </w:p>
        </w:tc>
        <w:tc>
          <w:tcPr>
            <w:tcW w:type="dxa" w:w="1949"/>
            <w:vAlign w:val="center"/>
          </w:tcPr>
          <w:p>
            <w:r/>
            <w:r>
              <w:rPr>
                <w:rFonts w:ascii="Figtree" w:hAnsi="Figtree"/>
                <w:b w:val="0"/>
                <w:i w:val="0"/>
                <w:sz w:val="22"/>
              </w:rPr>
              <w:t>Institutional OnchainID</w:t>
            </w:r>
          </w:p>
        </w:tc>
      </w:tr>
      <w:tr>
        <w:trPr>
          <w:trHeight w:val="454" w:hRule="atLeast"/>
        </w:trPr>
        <w:tc>
          <w:tcPr>
            <w:tcW w:type="dxa" w:w="1949"/>
            <w:vAlign w:val="center"/>
          </w:tcPr>
          <w:p>
            <w:r/>
            <w:r>
              <w:rPr>
                <w:rFonts w:ascii="Figtree" w:hAnsi="Figtree"/>
                <w:b w:val="0"/>
                <w:i w:val="0"/>
                <w:sz w:val="22"/>
              </w:rPr>
              <w:t>Tier 1</w:t>
            </w:r>
          </w:p>
        </w:tc>
        <w:tc>
          <w:tcPr>
            <w:tcW w:type="dxa" w:w="1949"/>
            <w:vAlign w:val="center"/>
          </w:tcPr>
          <w:p>
            <w:r/>
            <w:r>
              <w:rPr>
                <w:rFonts w:ascii="Figtree" w:hAnsi="Figtree"/>
                <w:b w:val="0"/>
                <w:i w:val="0"/>
                <w:sz w:val="22"/>
              </w:rPr>
              <w:t>Licensed bank</w:t>
            </w:r>
          </w:p>
        </w:tc>
        <w:tc>
          <w:tcPr>
            <w:tcW w:type="dxa" w:w="1949"/>
            <w:vAlign w:val="center"/>
          </w:tcPr>
          <w:p>
            <w:r/>
            <w:r>
              <w:rPr>
                <w:rFonts w:ascii="Figtree" w:hAnsi="Figtree"/>
                <w:b w:val="0"/>
                <w:i w:val="0"/>
                <w:sz w:val="22"/>
              </w:rPr>
              <w:t>Full institutional KYC</w:t>
            </w:r>
          </w:p>
        </w:tc>
        <w:tc>
          <w:tcPr>
            <w:tcW w:type="dxa" w:w="1949"/>
            <w:vAlign w:val="center"/>
          </w:tcPr>
          <w:p>
            <w:r/>
            <w:r>
              <w:rPr>
                <w:rFonts w:ascii="Figtree" w:hAnsi="Figtree"/>
                <w:b w:val="0"/>
                <w:i w:val="0"/>
                <w:sz w:val="22"/>
              </w:rPr>
              <w:t>Per monetary policy</w:t>
            </w:r>
          </w:p>
        </w:tc>
        <w:tc>
          <w:tcPr>
            <w:tcW w:type="dxa" w:w="1949"/>
            <w:vAlign w:val="center"/>
          </w:tcPr>
          <w:p>
            <w:r/>
            <w:r>
              <w:rPr>
                <w:rFonts w:ascii="Figtree" w:hAnsi="Figtree"/>
                <w:b w:val="0"/>
                <w:i w:val="0"/>
                <w:sz w:val="22"/>
              </w:rPr>
              <w:t>Institutional OnchainID</w:t>
            </w:r>
          </w:p>
        </w:tc>
      </w:tr>
      <w:tr>
        <w:trPr>
          <w:trHeight w:val="454" w:hRule="atLeast"/>
        </w:trPr>
        <w:tc>
          <w:tcPr>
            <w:tcW w:type="dxa" w:w="1949"/>
            <w:vAlign w:val="center"/>
          </w:tcPr>
          <w:p>
            <w:r/>
            <w:r>
              <w:rPr>
                <w:rFonts w:ascii="Figtree" w:hAnsi="Figtree"/>
                <w:b w:val="0"/>
                <w:i w:val="0"/>
                <w:sz w:val="22"/>
              </w:rPr>
              <w:t>Tier 2</w:t>
            </w:r>
          </w:p>
        </w:tc>
        <w:tc>
          <w:tcPr>
            <w:tcW w:type="dxa" w:w="1949"/>
            <w:vAlign w:val="center"/>
          </w:tcPr>
          <w:p>
            <w:r/>
            <w:r>
              <w:rPr>
                <w:rFonts w:ascii="Figtree" w:hAnsi="Figtree"/>
                <w:b w:val="0"/>
                <w:i w:val="0"/>
                <w:sz w:val="22"/>
              </w:rPr>
              <w:t>Corporate</w:t>
            </w:r>
          </w:p>
        </w:tc>
        <w:tc>
          <w:tcPr>
            <w:tcW w:type="dxa" w:w="1949"/>
            <w:vAlign w:val="center"/>
          </w:tcPr>
          <w:p>
            <w:r/>
            <w:r>
              <w:rPr>
                <w:rFonts w:ascii="Figtree" w:hAnsi="Figtree"/>
                <w:b w:val="0"/>
                <w:i w:val="0"/>
                <w:sz w:val="22"/>
              </w:rPr>
              <w:t>Enhanced KYC</w:t>
            </w:r>
          </w:p>
        </w:tc>
        <w:tc>
          <w:tcPr>
            <w:tcW w:type="dxa" w:w="1949"/>
            <w:vAlign w:val="center"/>
          </w:tcPr>
          <w:p>
            <w:r/>
            <w:r>
              <w:rPr>
                <w:rFonts w:ascii="Figtree" w:hAnsi="Figtree"/>
                <w:b w:val="0"/>
                <w:i w:val="0"/>
                <w:sz w:val="22"/>
              </w:rPr>
              <w:t>Per regulatory limits</w:t>
            </w:r>
          </w:p>
        </w:tc>
        <w:tc>
          <w:tcPr>
            <w:tcW w:type="dxa" w:w="1949"/>
            <w:vAlign w:val="center"/>
          </w:tcPr>
          <w:p>
            <w:r/>
            <w:r>
              <w:rPr>
                <w:rFonts w:ascii="Figtree" w:hAnsi="Figtree"/>
                <w:b w:val="0"/>
                <w:i w:val="0"/>
                <w:sz w:val="22"/>
              </w:rPr>
              <w:t>Corporate OnchainID</w:t>
            </w:r>
          </w:p>
        </w:tc>
      </w:tr>
      <w:tr>
        <w:trPr>
          <w:trHeight w:val="454" w:hRule="atLeast"/>
        </w:trPr>
        <w:tc>
          <w:tcPr>
            <w:tcW w:type="dxa" w:w="1949"/>
            <w:vAlign w:val="center"/>
          </w:tcPr>
          <w:p>
            <w:r/>
            <w:r>
              <w:rPr>
                <w:rFonts w:ascii="Figtree" w:hAnsi="Figtree"/>
                <w:b w:val="0"/>
                <w:i w:val="0"/>
                <w:sz w:val="22"/>
              </w:rPr>
              <w:t>Tier 3</w:t>
            </w:r>
          </w:p>
        </w:tc>
        <w:tc>
          <w:tcPr>
            <w:tcW w:type="dxa" w:w="1949"/>
            <w:vAlign w:val="center"/>
          </w:tcPr>
          <w:p>
            <w:r/>
            <w:r>
              <w:rPr>
                <w:rFonts w:ascii="Figtree" w:hAnsi="Figtree"/>
                <w:b w:val="0"/>
                <w:i w:val="0"/>
                <w:sz w:val="22"/>
              </w:rPr>
              <w:t>Individual (verified)</w:t>
            </w:r>
          </w:p>
        </w:tc>
        <w:tc>
          <w:tcPr>
            <w:tcW w:type="dxa" w:w="1949"/>
            <w:vAlign w:val="center"/>
          </w:tcPr>
          <w:p>
            <w:r/>
            <w:r>
              <w:rPr>
                <w:rFonts w:ascii="Figtree" w:hAnsi="Figtree"/>
                <w:b w:val="0"/>
                <w:i w:val="0"/>
                <w:sz w:val="22"/>
              </w:rPr>
              <w:t>Standard KYC</w:t>
            </w:r>
          </w:p>
        </w:tc>
        <w:tc>
          <w:tcPr>
            <w:tcW w:type="dxa" w:w="1949"/>
            <w:vAlign w:val="center"/>
          </w:tcPr>
          <w:p>
            <w:r/>
            <w:r>
              <w:rPr>
                <w:rFonts w:ascii="Figtree" w:hAnsi="Figtree"/>
                <w:b w:val="0"/>
                <w:i w:val="0"/>
                <w:sz w:val="22"/>
              </w:rPr>
              <w:t>Per individual limits</w:t>
            </w:r>
          </w:p>
        </w:tc>
        <w:tc>
          <w:tcPr>
            <w:tcW w:type="dxa" w:w="1949"/>
            <w:vAlign w:val="center"/>
          </w:tcPr>
          <w:p>
            <w:r/>
            <w:r>
              <w:rPr>
                <w:rFonts w:ascii="Figtree" w:hAnsi="Figtree"/>
                <w:b w:val="0"/>
                <w:i w:val="0"/>
                <w:sz w:val="22"/>
              </w:rPr>
              <w:t>Personal OnchainID</w:t>
            </w:r>
          </w:p>
        </w:tc>
      </w:tr>
      <w:tr>
        <w:trPr>
          <w:trHeight w:val="454" w:hRule="atLeast"/>
        </w:trPr>
        <w:tc>
          <w:tcPr>
            <w:tcW w:type="dxa" w:w="1949"/>
            <w:vAlign w:val="center"/>
          </w:tcPr>
          <w:p>
            <w:r/>
            <w:r>
              <w:rPr>
                <w:rFonts w:ascii="Figtree" w:hAnsi="Figtree"/>
                <w:b w:val="0"/>
                <w:i w:val="0"/>
                <w:sz w:val="22"/>
              </w:rPr>
              <w:t>Tier 4</w:t>
            </w:r>
          </w:p>
        </w:tc>
        <w:tc>
          <w:tcPr>
            <w:tcW w:type="dxa" w:w="1949"/>
            <w:vAlign w:val="center"/>
          </w:tcPr>
          <w:p>
            <w:r/>
            <w:r>
              <w:rPr>
                <w:rFonts w:ascii="Figtree" w:hAnsi="Figtree"/>
                <w:b w:val="0"/>
                <w:i w:val="0"/>
                <w:sz w:val="22"/>
              </w:rPr>
              <w:t>Individual (basic)</w:t>
            </w:r>
          </w:p>
        </w:tc>
        <w:tc>
          <w:tcPr>
            <w:tcW w:type="dxa" w:w="1949"/>
            <w:vAlign w:val="center"/>
          </w:tcPr>
          <w:p>
            <w:r/>
            <w:r>
              <w:rPr>
                <w:rFonts w:ascii="Figtree" w:hAnsi="Figtree"/>
                <w:b w:val="0"/>
                <w:i w:val="0"/>
                <w:sz w:val="22"/>
              </w:rPr>
              <w:t>Simplified KYC</w:t>
            </w:r>
          </w:p>
        </w:tc>
        <w:tc>
          <w:tcPr>
            <w:tcW w:type="dxa" w:w="1949"/>
            <w:vAlign w:val="center"/>
          </w:tcPr>
          <w:p>
            <w:r/>
            <w:r>
              <w:rPr>
                <w:rFonts w:ascii="Figtree" w:hAnsi="Figtree"/>
                <w:b w:val="0"/>
                <w:i w:val="0"/>
                <w:sz w:val="22"/>
              </w:rPr>
              <w:t>Low-value limits</w:t>
            </w:r>
          </w:p>
        </w:tc>
        <w:tc>
          <w:tcPr>
            <w:tcW w:type="dxa" w:w="1949"/>
            <w:vAlign w:val="center"/>
          </w:tcPr>
          <w:p>
            <w:r/>
            <w:r>
              <w:rPr>
                <w:rFonts w:ascii="Figtree" w:hAnsi="Figtree"/>
                <w:b w:val="0"/>
                <w:i w:val="0"/>
                <w:sz w:val="22"/>
              </w:rPr>
              <w:t>Simplified OnchainID</w:t>
            </w:r>
          </w:p>
        </w:tc>
      </w:tr>
    </w:tbl>
    <w:p>
      <w:pPr>
        <w:pStyle w:val="H3"/>
        <w:numPr>
          <w:ilvl w:val="2"/>
          <w:numId w:val="1"/>
        </w:numPr>
      </w:pPr>
      <w:r>
        <w:t>AML/CFT Integration</w:t>
      </w:r>
    </w:p>
    <w:p>
      <w:r>
        <w:rPr>
          <w:rFonts w:ascii="Figtree" w:hAnsi="Figtree"/>
          <w:b w:val="0"/>
          <w:i w:val="0"/>
          <w:sz w:val="22"/>
        </w:rPr>
        <w:t>DALP integrates with the CBUAE's Financial Intelligence Unit through:</w:t>
      </w:r>
    </w:p>
    <w:p>
      <w:pPr>
        <w:pStyle w:val="ListParagraph"/>
        <w:numPr>
          <w:ilvl w:val="0"/>
          <w:numId w:val="4"/>
        </w:numPr>
      </w:pPr>
      <w:r>
        <w:rPr>
          <w:rFonts w:ascii="Figtree" w:hAnsi="Figtree"/>
          <w:b w:val="0"/>
          <w:i w:val="0"/>
          <w:sz w:val="22"/>
        </w:rPr>
        <w:t>Real-time transaction monitoring webhook events</w:t>
      </w:r>
    </w:p>
    <w:p>
      <w:pPr>
        <w:pStyle w:val="ListParagraph"/>
        <w:numPr>
          <w:ilvl w:val="0"/>
          <w:numId w:val="4"/>
        </w:numPr>
      </w:pPr>
      <w:r>
        <w:rPr>
          <w:rFonts w:ascii="Figtree" w:hAnsi="Figtree"/>
          <w:b w:val="0"/>
          <w:i w:val="0"/>
          <w:sz w:val="22"/>
        </w:rPr>
        <w:t>Suspicious transaction report (STR) data extracts</w:t>
      </w:r>
    </w:p>
    <w:p>
      <w:pPr>
        <w:pStyle w:val="ListParagraph"/>
        <w:numPr>
          <w:ilvl w:val="0"/>
          <w:numId w:val="4"/>
        </w:numPr>
      </w:pPr>
      <w:r>
        <w:rPr>
          <w:rFonts w:ascii="Figtree" w:hAnsi="Figtree"/>
          <w:b w:val="0"/>
          <w:i w:val="0"/>
          <w:sz w:val="22"/>
        </w:rPr>
        <w:t>Sanctions screening integration via API</w:t>
      </w:r>
    </w:p>
    <w:p>
      <w:pPr>
        <w:pStyle w:val="ListParagraph"/>
        <w:numPr>
          <w:ilvl w:val="0"/>
          <w:numId w:val="4"/>
        </w:numPr>
      </w:pPr>
      <w:r>
        <w:rPr>
          <w:rFonts w:ascii="Figtree" w:hAnsi="Figtree"/>
          <w:b w:val="0"/>
          <w:i w:val="0"/>
          <w:sz w:val="22"/>
        </w:rPr>
        <w:t>Transaction pattern analytics via the observability stack</w:t>
      </w:r>
    </w:p>
    <w:p>
      <w:pPr>
        <w:pStyle w:val="ListParagraph"/>
        <w:numPr>
          <w:ilvl w:val="0"/>
          <w:numId w:val="4"/>
        </w:numPr>
      </w:pPr>
      <w:r>
        <w:rPr>
          <w:rFonts w:ascii="Figtree" w:hAnsi="Figtree"/>
          <w:b w:val="0"/>
          <w:i w:val="0"/>
          <w:sz w:val="22"/>
        </w:rPr>
        <w:t>Complete audit trail for regulatory examination</w:t>
      </w:r>
    </w:p>
    <w:p>
      <w:r>
        <w:br w:type="page"/>
      </w:r>
    </w:p>
    <w:p>
      <w:pPr>
        <w:pStyle w:val="H2"/>
        <w:numPr>
          <w:ilvl w:val="1"/>
          <w:numId w:val="1"/>
        </w:numPr>
      </w:pPr>
      <w:r>
        <w:t>Distribution, Settlement, and Interoperability</w:t>
      </w:r>
    </w:p>
    <w:p>
      <w:pPr>
        <w:pStyle w:val="H3"/>
        <w:numPr>
          <w:ilvl w:val="2"/>
          <w:numId w:val="1"/>
        </w:numPr>
      </w:pPr>
      <w:r>
        <w:t>Cross-Border Settlement</w:t>
      </w:r>
    </w:p>
    <w:p>
      <w:r>
        <w:rPr>
          <w:rFonts w:ascii="Figtree" w:hAnsi="Figtree"/>
          <w:b w:val="0"/>
          <w:i w:val="0"/>
          <w:sz w:val="22"/>
        </w:rPr>
        <w:t>Building on Project Aber and mBridge architecture, DALP supports cross-border CBDC settlement through:</w:t>
      </w:r>
    </w:p>
    <w:p>
      <w:pPr>
        <w:pStyle w:val="ListParagraph"/>
        <w:numPr>
          <w:ilvl w:val="0"/>
          <w:numId w:val="4"/>
        </w:numPr>
      </w:pPr>
      <w:r>
        <w:rPr>
          <w:rFonts w:ascii="Figtree" w:hAnsi="Figtree"/>
          <w:b w:val="0"/>
          <w:i w:val="0"/>
          <w:sz w:val="22"/>
        </w:rPr>
        <w:t>Multi-network deployment capability — separate chains per jurisdiction</w:t>
      </w:r>
    </w:p>
    <w:p>
      <w:pPr>
        <w:pStyle w:val="ListParagraph"/>
        <w:numPr>
          <w:ilvl w:val="0"/>
          <w:numId w:val="4"/>
        </w:numPr>
      </w:pPr>
      <w:r>
        <w:rPr>
          <w:rFonts w:ascii="Figtree" w:hAnsi="Figtree"/>
          <w:b w:val="0"/>
          <w:i w:val="0"/>
          <w:sz w:val="22"/>
        </w:rPr>
        <w:t>Atomic cross-chain settlement via bridge contracts</w:t>
      </w:r>
    </w:p>
    <w:p>
      <w:pPr>
        <w:pStyle w:val="ListParagraph"/>
        <w:numPr>
          <w:ilvl w:val="0"/>
          <w:numId w:val="4"/>
        </w:numPr>
      </w:pPr>
      <w:r>
        <w:rPr>
          <w:rFonts w:ascii="Figtree" w:hAnsi="Figtree"/>
          <w:b w:val="0"/>
          <w:i w:val="0"/>
          <w:sz w:val="22"/>
        </w:rPr>
        <w:t>Exchange rate feed integration for multi-currency settlement</w:t>
      </w:r>
    </w:p>
    <w:p>
      <w:pPr>
        <w:pStyle w:val="ListParagraph"/>
        <w:numPr>
          <w:ilvl w:val="0"/>
          <w:numId w:val="4"/>
        </w:numPr>
      </w:pPr>
      <w:r>
        <w:rPr>
          <w:rFonts w:ascii="Figtree" w:hAnsi="Figtree"/>
          <w:b w:val="0"/>
          <w:i w:val="0"/>
          <w:sz w:val="22"/>
        </w:rPr>
        <w:t>Regulatory reporting per jurisdiction</w:t>
      </w:r>
    </w:p>
    <w:p>
      <w:pPr>
        <w:pStyle w:val="H3"/>
        <w:numPr>
          <w:ilvl w:val="2"/>
          <w:numId w:val="1"/>
        </w:numPr>
      </w:pPr>
      <w:r>
        <w:t>Wholesale Settlement</w:t>
      </w:r>
    </w:p>
    <w:p>
      <w:r>
        <w:rPr>
          <w:rFonts w:ascii="Figtree" w:hAnsi="Figtree"/>
          <w:b w:val="0"/>
          <w:i w:val="0"/>
          <w:sz w:val="22"/>
        </w:rPr>
        <w:t>For interbank settlement, DALP provides:</w:t>
      </w:r>
    </w:p>
    <w:p>
      <w:pPr>
        <w:pStyle w:val="ListParagraph"/>
        <w:numPr>
          <w:ilvl w:val="0"/>
          <w:numId w:val="4"/>
        </w:numPr>
      </w:pPr>
      <w:r>
        <w:rPr>
          <w:rFonts w:ascii="Figtree" w:hAnsi="Figtree"/>
          <w:b w:val="0"/>
          <w:i w:val="0"/>
          <w:sz w:val="22"/>
        </w:rPr>
        <w:t>Deterministic finality in under 3 seconds (IBFT 2.0 consensus)</w:t>
      </w:r>
    </w:p>
    <w:p>
      <w:pPr>
        <w:pStyle w:val="ListParagraph"/>
        <w:numPr>
          <w:ilvl w:val="0"/>
          <w:numId w:val="4"/>
        </w:numPr>
      </w:pPr>
      <w:r>
        <w:rPr>
          <w:rFonts w:ascii="Figtree" w:hAnsi="Figtree"/>
          <w:b w:val="0"/>
          <w:i w:val="0"/>
          <w:sz w:val="22"/>
        </w:rPr>
        <w:t>Atomic DvP via XvP Settlement addon</w:t>
      </w:r>
    </w:p>
    <w:p>
      <w:pPr>
        <w:pStyle w:val="ListParagraph"/>
        <w:numPr>
          <w:ilvl w:val="0"/>
          <w:numId w:val="4"/>
        </w:numPr>
      </w:pPr>
      <w:r>
        <w:rPr>
          <w:rFonts w:ascii="Figtree" w:hAnsi="Figtree"/>
          <w:b w:val="0"/>
          <w:i w:val="0"/>
          <w:sz w:val="22"/>
        </w:rPr>
        <w:t>Real-time gross settlement (RTGS) compatibility through API integration</w:t>
      </w:r>
    </w:p>
    <w:p>
      <w:pPr>
        <w:pStyle w:val="ListParagraph"/>
        <w:numPr>
          <w:ilvl w:val="0"/>
          <w:numId w:val="4"/>
        </w:numPr>
      </w:pPr>
      <w:r>
        <w:rPr>
          <w:rFonts w:ascii="Figtree" w:hAnsi="Figtree"/>
          <w:b w:val="0"/>
          <w:i w:val="0"/>
          <w:sz w:val="22"/>
        </w:rPr>
        <w:t>Netting and batch settlement support</w:t>
      </w:r>
    </w:p>
    <w:p>
      <w:r>
        <w:br w:type="page"/>
      </w:r>
    </w:p>
    <w:p>
      <w:pPr>
        <w:pStyle w:val="H2"/>
        <w:numPr>
          <w:ilvl w:val="1"/>
          <w:numId w:val="1"/>
        </w:numPr>
      </w:pPr>
      <w:r>
        <w:t>Security, Resilience, and Sovereign-Grade Assurance</w:t>
      </w:r>
    </w:p>
    <w:p>
      <w:pPr>
        <w:pStyle w:val="H3"/>
        <w:numPr>
          <w:ilvl w:val="2"/>
          <w:numId w:val="1"/>
        </w:numPr>
      </w:pPr>
      <w:r>
        <w:t>Security for Sovereign Infrastructure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Control</w:t>
            </w:r>
          </w:p>
        </w:tc>
        <w:tc>
          <w:tcPr>
            <w:tcW w:type="dxa" w:w="4873"/>
            <w:vAlign w:val="center"/>
            <w:shd w:fill="000099" w:val="clear"/>
          </w:tcPr>
          <w:p>
            <w:r>
              <w:rPr>
                <w:b/>
                <w:color w:val="FFFFFF"/>
              </w:rPr>
            </w:r>
            <w:r>
              <w:rPr>
                <w:rFonts w:ascii="Figtree" w:hAnsi="Figtree"/>
                <w:b/>
                <w:i w:val="0"/>
                <w:color w:val="FFFFFF"/>
                <w:sz w:val="22"/>
              </w:rPr>
              <w:t>Implementation</w:t>
            </w:r>
          </w:p>
        </w:tc>
      </w:tr>
      <w:tr>
        <w:trPr>
          <w:trHeight w:val="454" w:hRule="atLeast"/>
        </w:trPr>
        <w:tc>
          <w:tcPr>
            <w:tcW w:type="dxa" w:w="4873"/>
            <w:vAlign w:val="center"/>
          </w:tcPr>
          <w:p>
            <w:r/>
            <w:r>
              <w:rPr>
                <w:rFonts w:ascii="Figtree" w:hAnsi="Figtree"/>
                <w:b w:val="0"/>
                <w:i w:val="0"/>
                <w:sz w:val="22"/>
              </w:rPr>
              <w:t>Key management</w:t>
            </w:r>
          </w:p>
        </w:tc>
        <w:tc>
          <w:tcPr>
            <w:tcW w:type="dxa" w:w="4873"/>
            <w:vAlign w:val="center"/>
          </w:tcPr>
          <w:p>
            <w:r/>
            <w:r>
              <w:rPr>
                <w:rFonts w:ascii="Figtree" w:hAnsi="Figtree"/>
                <w:b w:val="0"/>
                <w:i w:val="0"/>
                <w:sz w:val="22"/>
              </w:rPr>
              <w:t>HSM integration for central bank signing keys</w:t>
            </w:r>
          </w:p>
        </w:tc>
      </w:tr>
      <w:tr>
        <w:trPr>
          <w:trHeight w:val="454" w:hRule="atLeast"/>
        </w:trPr>
        <w:tc>
          <w:tcPr>
            <w:tcW w:type="dxa" w:w="4873"/>
            <w:vAlign w:val="center"/>
          </w:tcPr>
          <w:p>
            <w:r/>
            <w:r>
              <w:rPr>
                <w:rFonts w:ascii="Figtree" w:hAnsi="Figtree"/>
                <w:b w:val="0"/>
                <w:i w:val="0"/>
                <w:sz w:val="22"/>
              </w:rPr>
              <w:t>Network security</w:t>
            </w:r>
          </w:p>
        </w:tc>
        <w:tc>
          <w:tcPr>
            <w:tcW w:type="dxa" w:w="4873"/>
            <w:vAlign w:val="center"/>
          </w:tcPr>
          <w:p>
            <w:r/>
            <w:r>
              <w:rPr>
                <w:rFonts w:ascii="Figtree" w:hAnsi="Figtree"/>
                <w:b w:val="0"/>
                <w:i w:val="0"/>
                <w:sz w:val="22"/>
              </w:rPr>
              <w:t>Permissioned network — no public access to validator layer</w:t>
            </w:r>
          </w:p>
        </w:tc>
      </w:tr>
      <w:tr>
        <w:trPr>
          <w:trHeight w:val="454" w:hRule="atLeast"/>
        </w:trPr>
        <w:tc>
          <w:tcPr>
            <w:tcW w:type="dxa" w:w="4873"/>
            <w:vAlign w:val="center"/>
          </w:tcPr>
          <w:p>
            <w:r/>
            <w:r>
              <w:rPr>
                <w:rFonts w:ascii="Figtree" w:hAnsi="Figtree"/>
                <w:b w:val="0"/>
                <w:i w:val="0"/>
                <w:sz w:val="22"/>
              </w:rPr>
              <w:t>Encryption</w:t>
            </w:r>
          </w:p>
        </w:tc>
        <w:tc>
          <w:tcPr>
            <w:tcW w:type="dxa" w:w="4873"/>
            <w:vAlign w:val="center"/>
          </w:tcPr>
          <w:p>
            <w:r/>
            <w:r>
              <w:rPr>
                <w:rFonts w:ascii="Figtree" w:hAnsi="Figtree"/>
                <w:b w:val="0"/>
                <w:i w:val="0"/>
                <w:sz w:val="22"/>
              </w:rPr>
              <w:t>AES-256 at rest, TLS 1.3 in transit</w:t>
            </w:r>
          </w:p>
        </w:tc>
      </w:tr>
      <w:tr>
        <w:trPr>
          <w:trHeight w:val="454" w:hRule="atLeast"/>
        </w:trPr>
        <w:tc>
          <w:tcPr>
            <w:tcW w:type="dxa" w:w="4873"/>
            <w:vAlign w:val="center"/>
          </w:tcPr>
          <w:p>
            <w:r/>
            <w:r>
              <w:rPr>
                <w:rFonts w:ascii="Figtree" w:hAnsi="Figtree"/>
                <w:b w:val="0"/>
                <w:i w:val="0"/>
                <w:sz w:val="22"/>
              </w:rPr>
              <w:t>Access control</w:t>
            </w:r>
          </w:p>
        </w:tc>
        <w:tc>
          <w:tcPr>
            <w:tcW w:type="dxa" w:w="4873"/>
            <w:vAlign w:val="center"/>
          </w:tcPr>
          <w:p>
            <w:r/>
            <w:r>
              <w:rPr>
                <w:rFonts w:ascii="Figtree" w:hAnsi="Figtree"/>
                <w:b w:val="0"/>
                <w:i w:val="0"/>
                <w:sz w:val="22"/>
              </w:rPr>
              <w:t>Multi-factor authentication, hardware security keys</w:t>
            </w:r>
          </w:p>
        </w:tc>
      </w:tr>
      <w:tr>
        <w:trPr>
          <w:trHeight w:val="454" w:hRule="atLeast"/>
        </w:trPr>
        <w:tc>
          <w:tcPr>
            <w:tcW w:type="dxa" w:w="4873"/>
            <w:vAlign w:val="center"/>
          </w:tcPr>
          <w:p>
            <w:r/>
            <w:r>
              <w:rPr>
                <w:rFonts w:ascii="Figtree" w:hAnsi="Figtree"/>
                <w:b w:val="0"/>
                <w:i w:val="0"/>
                <w:sz w:val="22"/>
              </w:rPr>
              <w:t>Audit</w:t>
            </w:r>
          </w:p>
        </w:tc>
        <w:tc>
          <w:tcPr>
            <w:tcW w:type="dxa" w:w="4873"/>
            <w:vAlign w:val="center"/>
          </w:tcPr>
          <w:p>
            <w:r/>
            <w:r>
              <w:rPr>
                <w:rFonts w:ascii="Figtree" w:hAnsi="Figtree"/>
                <w:b w:val="0"/>
                <w:i w:val="0"/>
                <w:sz w:val="22"/>
              </w:rPr>
              <w:t>Complete immutable transaction log, queryable API</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Target</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Availability</w:t>
            </w:r>
          </w:p>
        </w:tc>
        <w:tc>
          <w:tcPr>
            <w:tcW w:type="dxa" w:w="4873"/>
            <w:vAlign w:val="center"/>
          </w:tcPr>
          <w:p>
            <w:r/>
            <w:r>
              <w:rPr>
                <w:rFonts w:ascii="Figtree" w:hAnsi="Figtree"/>
                <w:b w:val="0"/>
                <w:i w:val="0"/>
                <w:sz w:val="22"/>
              </w:rPr>
              <w:t>99.99% (sovereign-grade)</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&lt; 15 minutes</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&lt; 1 hour</w:t>
            </w:r>
          </w:p>
        </w:tc>
      </w:tr>
      <w:tr>
        <w:trPr>
          <w:trHeight w:val="454" w:hRule="atLeast"/>
        </w:trPr>
        <w:tc>
          <w:tcPr>
            <w:tcW w:type="dxa" w:w="4873"/>
            <w:vAlign w:val="center"/>
          </w:tcPr>
          <w:p>
            <w:r/>
            <w:r>
              <w:rPr>
                <w:rFonts w:ascii="Figtree" w:hAnsi="Figtree"/>
                <w:b w:val="0"/>
                <w:i w:val="0"/>
                <w:sz w:val="22"/>
              </w:rPr>
              <w:t>DR testing</w:t>
            </w:r>
          </w:p>
        </w:tc>
        <w:tc>
          <w:tcPr>
            <w:tcW w:type="dxa" w:w="4873"/>
            <w:vAlign w:val="center"/>
          </w:tcPr>
          <w:p>
            <w:r/>
            <w:r>
              <w:rPr>
                <w:rFonts w:ascii="Figtree" w:hAnsi="Figtree"/>
                <w:b w:val="0"/>
                <w:i w:val="0"/>
                <w:sz w:val="22"/>
              </w:rPr>
              <w:t>Quarterly with documented results</w:t>
            </w:r>
          </w:p>
        </w:tc>
      </w:tr>
      <w:tr>
        <w:trPr>
          <w:trHeight w:val="454" w:hRule="atLeast"/>
        </w:trPr>
        <w:tc>
          <w:tcPr>
            <w:tcW w:type="dxa" w:w="4873"/>
            <w:vAlign w:val="center"/>
          </w:tcPr>
          <w:p>
            <w:r/>
            <w:r>
              <w:rPr>
                <w:rFonts w:ascii="Figtree" w:hAnsi="Figtree"/>
                <w:b w:val="0"/>
                <w:i w:val="0"/>
                <w:sz w:val="22"/>
              </w:rPr>
              <w:t>Incident response</w:t>
            </w:r>
          </w:p>
        </w:tc>
        <w:tc>
          <w:tcPr>
            <w:tcW w:type="dxa" w:w="4873"/>
            <w:vAlign w:val="center"/>
          </w:tcPr>
          <w:p>
            <w:r/>
            <w:r>
              <w:rPr>
                <w:rFonts w:ascii="Figtree" w:hAnsi="Figtree"/>
                <w:b w:val="0"/>
                <w:i w:val="0"/>
                <w:sz w:val="22"/>
              </w:rPr>
              <w:t>24×7 for P1 events</w:t>
            </w:r>
          </w:p>
        </w:tc>
      </w:tr>
    </w:tbl>
    <w:p>
      <w:r>
        <w:br w:type="page"/>
      </w:r>
    </w:p>
    <w:p>
      <w:pPr>
        <w:pStyle w:val="H2"/>
        <w:numPr>
          <w:ilvl w:val="1"/>
          <w:numId w:val="1"/>
        </w:numPr>
      </w:pPr>
      <w:r>
        <w:t>Implementation Approach and Delivery Phases</w:t>
      </w:r>
    </w:p>
    <w:p>
      <w:pPr>
        <w:pStyle w:val="H3"/>
        <w:numPr>
          <w:ilvl w:val="2"/>
          <w:numId w:val="1"/>
        </w:numPr>
      </w:pPr>
      <w:r>
        <w:t>Phased Implementation</w:t>
      </w:r>
    </w:p>
    <w:p>
      <w:r>
        <w:rPr>
          <w:rFonts w:ascii="Figtree" w:hAnsi="Figtree"/>
          <w:b w:val="0"/>
          <w:i w:val="0"/>
          <w:sz w:val="22"/>
        </w:rPr>
        <w:t>Given the sovereign nature of CBDC infrastructure, we recommend a phased approach:</w:t>
      </w:r>
    </w:p>
    <w:p>
      <w:r>
        <w:rPr>
          <w:rFonts w:ascii="Figtree" w:hAnsi="Figtree"/>
          <w:b/>
          <w:i w:val="0"/>
          <w:sz w:val="22"/>
        </w:rPr>
        <w:t>Phase A: Wholesale CBDC (Months 1–6)</w:t>
      </w:r>
    </w:p>
    <w:p>
      <w:pPr>
        <w:pStyle w:val="ListParagraph"/>
        <w:numPr>
          <w:ilvl w:val="0"/>
          <w:numId w:val="4"/>
        </w:numPr>
      </w:pPr>
      <w:r>
        <w:rPr>
          <w:rFonts w:ascii="Figtree" w:hAnsi="Figtree"/>
          <w:b w:val="0"/>
          <w:i w:val="0"/>
          <w:sz w:val="22"/>
        </w:rPr>
        <w:t>Interbank settlement infrastructure</w:t>
      </w:r>
    </w:p>
    <w:p>
      <w:pPr>
        <w:pStyle w:val="ListParagraph"/>
        <w:numPr>
          <w:ilvl w:val="0"/>
          <w:numId w:val="4"/>
        </w:numPr>
      </w:pPr>
      <w:r>
        <w:rPr>
          <w:rFonts w:ascii="Figtree" w:hAnsi="Figtree"/>
          <w:b w:val="0"/>
          <w:i w:val="0"/>
          <w:sz w:val="22"/>
        </w:rPr>
        <w:t>Central bank operations console</w:t>
      </w:r>
    </w:p>
    <w:p>
      <w:pPr>
        <w:pStyle w:val="ListParagraph"/>
        <w:numPr>
          <w:ilvl w:val="0"/>
          <w:numId w:val="4"/>
        </w:numPr>
      </w:pPr>
      <w:r>
        <w:rPr>
          <w:rFonts w:ascii="Figtree" w:hAnsi="Figtree"/>
          <w:b w:val="0"/>
          <w:i w:val="0"/>
          <w:sz w:val="22"/>
        </w:rPr>
        <w:t>Integration with existing RTGS and payment systems</w:t>
      </w:r>
    </w:p>
    <w:p>
      <w:pPr>
        <w:pStyle w:val="ListParagraph"/>
        <w:numPr>
          <w:ilvl w:val="0"/>
          <w:numId w:val="4"/>
        </w:numPr>
      </w:pPr>
      <w:r>
        <w:rPr>
          <w:rFonts w:ascii="Figtree" w:hAnsi="Figtree"/>
          <w:b w:val="0"/>
          <w:i w:val="0"/>
          <w:sz w:val="22"/>
        </w:rPr>
        <w:t>Validator network setup with CBUAE and selected banks</w:t>
      </w:r>
    </w:p>
    <w:p>
      <w:r>
        <w:rPr>
          <w:rFonts w:ascii="Figtree" w:hAnsi="Figtree"/>
          <w:b/>
          <w:i w:val="0"/>
          <w:sz w:val="22"/>
        </w:rPr>
        <w:t>Phase B: Retail CBDC Pilot (Months 7–12)</w:t>
      </w:r>
    </w:p>
    <w:p>
      <w:pPr>
        <w:pStyle w:val="ListParagraph"/>
        <w:numPr>
          <w:ilvl w:val="0"/>
          <w:numId w:val="4"/>
        </w:numPr>
      </w:pPr>
      <w:r>
        <w:rPr>
          <w:rFonts w:ascii="Figtree" w:hAnsi="Figtree"/>
          <w:b w:val="0"/>
          <w:i w:val="0"/>
          <w:sz w:val="22"/>
        </w:rPr>
        <w:t>Two-tier distribution model</w:t>
      </w:r>
    </w:p>
    <w:p>
      <w:pPr>
        <w:pStyle w:val="ListParagraph"/>
        <w:numPr>
          <w:ilvl w:val="0"/>
          <w:numId w:val="4"/>
        </w:numPr>
      </w:pPr>
      <w:r>
        <w:rPr>
          <w:rFonts w:ascii="Figtree" w:hAnsi="Figtree"/>
          <w:b w:val="0"/>
          <w:i w:val="0"/>
          <w:sz w:val="22"/>
        </w:rPr>
        <w:t>Bank distribution portal</w:t>
      </w:r>
    </w:p>
    <w:p>
      <w:pPr>
        <w:pStyle w:val="ListParagraph"/>
        <w:numPr>
          <w:ilvl w:val="0"/>
          <w:numId w:val="4"/>
        </w:numPr>
      </w:pPr>
      <w:r>
        <w:rPr>
          <w:rFonts w:ascii="Figtree" w:hAnsi="Figtree"/>
          <w:b w:val="0"/>
          <w:i w:val="0"/>
          <w:sz w:val="22"/>
        </w:rPr>
        <w:t>Consumer wallet infrastructure</w:t>
      </w:r>
    </w:p>
    <w:p>
      <w:pPr>
        <w:pStyle w:val="ListParagraph"/>
        <w:numPr>
          <w:ilvl w:val="0"/>
          <w:numId w:val="4"/>
        </w:numPr>
      </w:pPr>
      <w:r>
        <w:rPr>
          <w:rFonts w:ascii="Figtree" w:hAnsi="Figtree"/>
          <w:b w:val="0"/>
          <w:i w:val="0"/>
          <w:sz w:val="22"/>
        </w:rPr>
        <w:t>Limited geographic/participant pilot</w:t>
      </w:r>
    </w:p>
    <w:p>
      <w:r>
        <w:rPr>
          <w:rFonts w:ascii="Figtree" w:hAnsi="Figtree"/>
          <w:b/>
          <w:i w:val="0"/>
          <w:sz w:val="22"/>
        </w:rPr>
        <w:t>Phase C: Full Retail Deployment (Months 13–18)</w:t>
      </w:r>
    </w:p>
    <w:p>
      <w:pPr>
        <w:pStyle w:val="ListParagraph"/>
        <w:numPr>
          <w:ilvl w:val="0"/>
          <w:numId w:val="4"/>
        </w:numPr>
      </w:pPr>
      <w:r>
        <w:rPr>
          <w:rFonts w:ascii="Figtree" w:hAnsi="Figtree"/>
          <w:b w:val="0"/>
          <w:i w:val="0"/>
          <w:sz w:val="22"/>
        </w:rPr>
        <w:t>Nationwide rollout</w:t>
      </w:r>
    </w:p>
    <w:p>
      <w:pPr>
        <w:pStyle w:val="ListParagraph"/>
        <w:numPr>
          <w:ilvl w:val="0"/>
          <w:numId w:val="4"/>
        </w:numPr>
      </w:pPr>
      <w:r>
        <w:rPr>
          <w:rFonts w:ascii="Figtree" w:hAnsi="Figtree"/>
          <w:b w:val="0"/>
          <w:i w:val="0"/>
          <w:sz w:val="22"/>
        </w:rPr>
        <w:t>Merchant payment integration</w:t>
      </w:r>
    </w:p>
    <w:p>
      <w:pPr>
        <w:pStyle w:val="ListParagraph"/>
        <w:numPr>
          <w:ilvl w:val="0"/>
          <w:numId w:val="4"/>
        </w:numPr>
      </w:pPr>
      <w:r>
        <w:rPr>
          <w:rFonts w:ascii="Figtree" w:hAnsi="Figtree"/>
          <w:b w:val="0"/>
          <w:i w:val="0"/>
          <w:sz w:val="22"/>
        </w:rPr>
        <w:t>Government disbursement channels</w:t>
      </w:r>
    </w:p>
    <w:p>
      <w:pPr>
        <w:pStyle w:val="ListParagraph"/>
        <w:numPr>
          <w:ilvl w:val="0"/>
          <w:numId w:val="4"/>
        </w:numPr>
      </w:pPr>
      <w:r>
        <w:rPr>
          <w:rFonts w:ascii="Figtree" w:hAnsi="Figtree"/>
          <w:b w:val="0"/>
          <w:i w:val="0"/>
          <w:sz w:val="22"/>
        </w:rPr>
        <w:t>Cross-border corridors (building on Project Aber/mBridge)</w:t>
      </w:r>
    </w:p>
    <w:p>
      <w:pPr>
        <w:jc w:val="center"/>
      </w:pPr>
      <w:r>
        <w:drawing>
          <wp:inline xmlns:a="http://schemas.openxmlformats.org/drawingml/2006/main" xmlns:pic="http://schemas.openxmlformats.org/drawingml/2006/picture">
            <wp:extent cx="5486400" cy="2211355"/>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211355"/>
                    </a:xfrm>
                    <a:prstGeom prst="rect"/>
                  </pic:spPr>
                </pic:pic>
              </a:graphicData>
            </a:graphic>
          </wp:inline>
        </w:drawing>
      </w:r>
    </w:p>
    <w:p>
      <w:r>
        <w:br w:type="page"/>
      </w:r>
    </w:p>
    <w:p>
      <w:pPr>
        <w:pStyle w:val="H2"/>
        <w:numPr>
          <w:ilvl w:val="1"/>
          <w:numId w:val="1"/>
        </w:numPr>
      </w:pPr>
      <w:r>
        <w:t>Current Coverage, Dependencies, and Qualified Gaps</w:t>
      </w:r>
    </w:p>
    <w:p>
      <w:pPr>
        <w:pStyle w:val="H3"/>
        <w:numPr>
          <w:ilvl w:val="2"/>
          <w:numId w:val="1"/>
        </w:numPr>
      </w:pPr>
      <w:r>
        <w:t>Coverage Summary</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Requirement Area</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3249"/>
            <w:vAlign w:val="center"/>
          </w:tcPr>
          <w:p>
            <w:r/>
            <w:r>
              <w:rPr>
                <w:rFonts w:ascii="Figtree" w:hAnsi="Figtree"/>
                <w:b w:val="0"/>
                <w:i w:val="0"/>
                <w:sz w:val="22"/>
              </w:rPr>
              <w:t>Token issuance &amp; supply management</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Central bank-exclusive minting/burning</w:t>
            </w:r>
          </w:p>
        </w:tc>
      </w:tr>
      <w:tr>
        <w:trPr>
          <w:trHeight w:val="454" w:hRule="atLeast"/>
        </w:trPr>
        <w:tc>
          <w:tcPr>
            <w:tcW w:type="dxa" w:w="3249"/>
            <w:vAlign w:val="center"/>
          </w:tcPr>
          <w:p>
            <w:r/>
            <w:r>
              <w:rPr>
                <w:rFonts w:ascii="Figtree" w:hAnsi="Figtree"/>
                <w:b w:val="0"/>
                <w:i w:val="0"/>
                <w:sz w:val="22"/>
              </w:rPr>
              <w:t>Two-tier distribution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Configurable distribution contracts</w:t>
            </w:r>
          </w:p>
        </w:tc>
      </w:tr>
      <w:tr>
        <w:trPr>
          <w:trHeight w:val="454" w:hRule="atLeast"/>
        </w:trPr>
        <w:tc>
          <w:tcPr>
            <w:tcW w:type="dxa" w:w="3249"/>
            <w:vAlign w:val="center"/>
          </w:tcPr>
          <w:p>
            <w:r/>
            <w:r>
              <w:rPr>
                <w:rFonts w:ascii="Figtree" w:hAnsi="Figtree"/>
                <w:b w:val="0"/>
                <w:i w:val="0"/>
                <w:sz w:val="22"/>
              </w:rPr>
              <w:t>AML/CFT integration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Webhook events, API integration</w:t>
            </w:r>
          </w:p>
        </w:tc>
      </w:tr>
      <w:tr>
        <w:trPr>
          <w:trHeight w:val="454" w:hRule="atLeast"/>
        </w:trPr>
        <w:tc>
          <w:tcPr>
            <w:tcW w:type="dxa" w:w="3249"/>
            <w:vAlign w:val="center"/>
          </w:tcPr>
          <w:p>
            <w:r/>
            <w:r>
              <w:rPr>
                <w:rFonts w:ascii="Figtree" w:hAnsi="Figtree"/>
                <w:b w:val="0"/>
                <w:i w:val="0"/>
                <w:sz w:val="22"/>
              </w:rPr>
              <w:t>Transaction limits</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Per-tier configurable limits</w:t>
            </w:r>
          </w:p>
        </w:tc>
      </w:tr>
      <w:tr>
        <w:trPr>
          <w:trHeight w:val="454" w:hRule="atLeast"/>
        </w:trPr>
        <w:tc>
          <w:tcPr>
            <w:tcW w:type="dxa" w:w="3249"/>
            <w:vAlign w:val="center"/>
          </w:tcPr>
          <w:p>
            <w:r/>
            <w:r>
              <w:rPr>
                <w:rFonts w:ascii="Figtree" w:hAnsi="Figtree"/>
                <w:b w:val="0"/>
                <w:i w:val="0"/>
                <w:sz w:val="22"/>
              </w:rPr>
              <w:t>Audit trail</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Complete immutable log</w:t>
            </w:r>
          </w:p>
        </w:tc>
      </w:tr>
      <w:tr>
        <w:trPr>
          <w:trHeight w:val="454" w:hRule="atLeast"/>
        </w:trPr>
        <w:tc>
          <w:tcPr>
            <w:tcW w:type="dxa" w:w="3249"/>
            <w:vAlign w:val="center"/>
          </w:tcPr>
          <w:p>
            <w:r/>
            <w:r>
              <w:rPr>
                <w:rFonts w:ascii="Figtree" w:hAnsi="Figtree"/>
                <w:b w:val="0"/>
                <w:i w:val="0"/>
                <w:sz w:val="22"/>
              </w:rPr>
              <w:t>Cross-border settlement</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Multi-network support available; specific corridor configuration required</w:t>
            </w:r>
          </w:p>
        </w:tc>
      </w:tr>
      <w:tr>
        <w:trPr>
          <w:trHeight w:val="454" w:hRule="atLeast"/>
        </w:trPr>
        <w:tc>
          <w:tcPr>
            <w:tcW w:type="dxa" w:w="3249"/>
            <w:vAlign w:val="center"/>
          </w:tcPr>
          <w:p>
            <w:r/>
            <w:r>
              <w:rPr>
                <w:rFonts w:ascii="Figtree" w:hAnsi="Figtree"/>
                <w:b w:val="0"/>
                <w:i w:val="0"/>
                <w:sz w:val="22"/>
              </w:rPr>
              <w:t>Offline capability</w:t>
            </w:r>
          </w:p>
        </w:tc>
        <w:tc>
          <w:tcPr>
            <w:tcW w:type="dxa" w:w="3249"/>
            <w:vAlign w:val="center"/>
          </w:tcPr>
          <w:p>
            <w:r/>
            <w:r>
              <w:rPr>
                <w:rFonts w:ascii="Figtree" w:hAnsi="Figtree"/>
                <w:b/>
                <w:i w:val="0"/>
                <w:sz w:val="22"/>
              </w:rPr>
              <w:t>Planned</w:t>
            </w:r>
          </w:p>
        </w:tc>
        <w:tc>
          <w:tcPr>
            <w:tcW w:type="dxa" w:w="3249"/>
            <w:vAlign w:val="center"/>
          </w:tcPr>
          <w:p>
            <w:r/>
            <w:r>
              <w:rPr>
                <w:rFonts w:ascii="Figtree" w:hAnsi="Figtree"/>
                <w:b w:val="0"/>
                <w:i w:val="0"/>
                <w:sz w:val="22"/>
              </w:rPr>
              <w:t>Under evaluation — hardware wallet integration pathway</w:t>
            </w:r>
          </w:p>
        </w:tc>
      </w:tr>
      <w:tr>
        <w:trPr>
          <w:trHeight w:val="454" w:hRule="atLeast"/>
        </w:trPr>
        <w:tc>
          <w:tcPr>
            <w:tcW w:type="dxa" w:w="3249"/>
            <w:vAlign w:val="center"/>
          </w:tcPr>
          <w:p>
            <w:r/>
            <w:r>
              <w:rPr>
                <w:rFonts w:ascii="Figtree" w:hAnsi="Figtree"/>
                <w:b w:val="0"/>
                <w:i w:val="0"/>
                <w:sz w:val="22"/>
              </w:rPr>
              <w:t>Privacy-preserving transactions</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Besu private transactions available; zero-knowledge proof integration on roadmap</w:t>
            </w:r>
          </w:p>
        </w:tc>
      </w:tr>
    </w:tbl>
    <w:p>
      <w:pPr>
        <w:pStyle w:val="H3"/>
        <w:numPr>
          <w:ilvl w:val="2"/>
          <w:numId w:val="1"/>
        </w:numPr>
      </w:pPr>
      <w:r>
        <w:t>Qualified Gaps</w:t>
      </w:r>
    </w:p>
    <w:p>
      <w:r>
        <w:rPr>
          <w:rFonts w:ascii="Figtree" w:hAnsi="Figtree"/>
          <w:b/>
          <w:i w:val="0"/>
          <w:sz w:val="22"/>
        </w:rPr>
        <w:t>Offline capability — Planned.</w:t>
      </w:r>
      <w:r>
        <w:rPr>
          <w:rFonts w:ascii="Figtree" w:hAnsi="Figtree"/>
          <w:b w:val="0"/>
          <w:i w:val="0"/>
          <w:sz w:val="22"/>
        </w:rPr>
        <w:t xml:space="preserve"> Retail CBDC offline payments require hardware-based solutions. DALP does not currently provide native offline payment capability. Mitigation: partnership with hardware wallet providers for offline-capable devices, with on-chain reconciliation when connectivity restores. Timeline: evaluated during Phase B design.</w:t>
      </w:r>
    </w:p>
    <w:p>
      <w:r>
        <w:rPr>
          <w:rFonts w:ascii="Figtree" w:hAnsi="Figtree"/>
          <w:b/>
          <w:i w:val="0"/>
          <w:sz w:val="22"/>
        </w:rPr>
        <w:t>Privacy-preserving transactions — Partial.</w:t>
      </w:r>
      <w:r>
        <w:rPr>
          <w:rFonts w:ascii="Figtree" w:hAnsi="Figtree"/>
          <w:b w:val="0"/>
          <w:i w:val="0"/>
          <w:sz w:val="22"/>
        </w:rPr>
        <w:t xml:space="preserve"> Besu private transaction groups provide selective disclosure. Full zero-knowledge proof-based privacy for retail transactions is on the platform roadmap (2027). Mitigation: tiered privacy model using Besu private groups for wholesale and standard pseudonymous transactions for retail with regulatory access.</w:t>
      </w:r>
    </w:p>
    <w:p>
      <w:r>
        <w:br w:type="page"/>
      </w:r>
    </w:p>
    <w:p>
      <w:pPr>
        <w:pStyle w:val="H2"/>
        <w:numPr>
          <w:ilvl w:val="1"/>
          <w:numId w:val="1"/>
        </w:numPr>
      </w:pPr>
      <w:r>
        <w:t>Relevant Delivery Evidence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Region</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State Bank of India (e-Rupee)</w:t>
            </w:r>
          </w:p>
        </w:tc>
        <w:tc>
          <w:tcPr>
            <w:tcW w:type="dxa" w:w="3249"/>
            <w:vAlign w:val="center"/>
          </w:tcPr>
          <w:p>
            <w:r/>
            <w:r>
              <w:rPr>
                <w:rFonts w:ascii="Figtree" w:hAnsi="Figtree"/>
                <w:b w:val="0"/>
                <w:i w:val="0"/>
                <w:sz w:val="22"/>
              </w:rPr>
              <w:t>India</w:t>
            </w:r>
          </w:p>
        </w:tc>
        <w:tc>
          <w:tcPr>
            <w:tcW w:type="dxa" w:w="3249"/>
            <w:vAlign w:val="center"/>
          </w:tcPr>
          <w:p>
            <w:r/>
            <w:r>
              <w:rPr>
                <w:rFonts w:ascii="Figtree" w:hAnsi="Figtree"/>
                <w:b/>
                <w:i w:val="0"/>
                <w:sz w:val="22"/>
              </w:rPr>
              <w:t>Direct</w:t>
            </w:r>
            <w:r>
              <w:rPr>
                <w:rFonts w:ascii="Figtree" w:hAnsi="Figtree"/>
                <w:b w:val="0"/>
                <w:i w:val="0"/>
                <w:sz w:val="22"/>
              </w:rPr>
              <w:t xml:space="preserve"> — CBDC infrastructure at national scale</w:t>
            </w:r>
          </w:p>
        </w:tc>
      </w:tr>
      <w:tr>
        <w:trPr>
          <w:trHeight w:val="454" w:hRule="atLeast"/>
        </w:trPr>
        <w:tc>
          <w:tcPr>
            <w:tcW w:type="dxa" w:w="3249"/>
            <w:vAlign w:val="center"/>
          </w:tcPr>
          <w:p>
            <w:r/>
            <w:r>
              <w:rPr>
                <w:rFonts w:ascii="Figtree" w:hAnsi="Figtree"/>
                <w:b w:val="0"/>
                <w:i w:val="0"/>
                <w:sz w:val="22"/>
              </w:rPr>
              <w:t>Saudi Arabia RER</w:t>
            </w:r>
          </w:p>
        </w:tc>
        <w:tc>
          <w:tcPr>
            <w:tcW w:type="dxa" w:w="3249"/>
            <w:vAlign w:val="center"/>
          </w:tcPr>
          <w:p>
            <w:r/>
            <w:r>
              <w:rPr>
                <w:rFonts w:ascii="Figtree" w:hAnsi="Figtree"/>
                <w:b w:val="0"/>
                <w:i w:val="0"/>
                <w:sz w:val="22"/>
              </w:rPr>
              <w:t>KSA</w:t>
            </w:r>
          </w:p>
        </w:tc>
        <w:tc>
          <w:tcPr>
            <w:tcW w:type="dxa" w:w="3249"/>
            <w:vAlign w:val="center"/>
          </w:tcPr>
          <w:p>
            <w:r/>
            <w:r>
              <w:rPr>
                <w:rFonts w:ascii="Figtree" w:hAnsi="Figtree"/>
                <w:b/>
                <w:i w:val="0"/>
                <w:sz w:val="22"/>
              </w:rPr>
              <w:t>Direct</w:t>
            </w:r>
            <w:r>
              <w:rPr>
                <w:rFonts w:ascii="Figtree" w:hAnsi="Figtree"/>
                <w:b w:val="0"/>
                <w:i w:val="0"/>
                <w:sz w:val="22"/>
              </w:rPr>
              <w:t xml:space="preserve"> — sovereign-scale blockchain, UAE neighbor</w:t>
            </w:r>
          </w:p>
        </w:tc>
      </w:tr>
      <w:tr>
        <w:trPr>
          <w:trHeight w:val="454" w:hRule="atLeast"/>
        </w:trPr>
        <w:tc>
          <w:tcPr>
            <w:tcW w:type="dxa" w:w="3249"/>
            <w:vAlign w:val="center"/>
          </w:tcPr>
          <w:p>
            <w:r/>
            <w:r>
              <w:rPr>
                <w:rFonts w:ascii="Figtree" w:hAnsi="Figtree"/>
                <w:b w:val="0"/>
                <w:i w:val="0"/>
                <w:sz w:val="22"/>
              </w:rPr>
              <w:t>Islamic Development Bank</w:t>
            </w:r>
          </w:p>
        </w:tc>
        <w:tc>
          <w:tcPr>
            <w:tcW w:type="dxa" w:w="3249"/>
            <w:vAlign w:val="center"/>
          </w:tcPr>
          <w:p>
            <w:r/>
            <w:r>
              <w:rPr>
                <w:rFonts w:ascii="Figtree" w:hAnsi="Figtree"/>
                <w:b w:val="0"/>
                <w:i w:val="0"/>
                <w:sz w:val="22"/>
              </w:rPr>
              <w:t>57 countries</w:t>
            </w:r>
          </w:p>
        </w:tc>
        <w:tc>
          <w:tcPr>
            <w:tcW w:type="dxa" w:w="3249"/>
            <w:vAlign w:val="center"/>
          </w:tcPr>
          <w:p>
            <w:r/>
            <w:r>
              <w:rPr>
                <w:rFonts w:ascii="Figtree" w:hAnsi="Figtree"/>
                <w:b w:val="0"/>
                <w:i w:val="0"/>
                <w:sz w:val="22"/>
              </w:rPr>
              <w:t>Sovereign-scale distribution system</w:t>
            </w:r>
          </w:p>
        </w:tc>
      </w:tr>
      <w:tr>
        <w:trPr>
          <w:trHeight w:val="454" w:hRule="atLeast"/>
        </w:trPr>
        <w:tc>
          <w:tcPr>
            <w:tcW w:type="dxa" w:w="3249"/>
            <w:vAlign w:val="center"/>
          </w:tcPr>
          <w:p>
            <w:r/>
            <w:r>
              <w:rPr>
                <w:rFonts w:ascii="Figtree" w:hAnsi="Figtree"/>
                <w:b w:val="0"/>
                <w:i w:val="0"/>
                <w:sz w:val="22"/>
              </w:rPr>
              <w:t>Maybank (Project Photon)</w:t>
            </w:r>
          </w:p>
        </w:tc>
        <w:tc>
          <w:tcPr>
            <w:tcW w:type="dxa" w:w="3249"/>
            <w:vAlign w:val="center"/>
          </w:tcPr>
          <w:p>
            <w:r/>
            <w:r>
              <w:rPr>
                <w:rFonts w:ascii="Figtree" w:hAnsi="Figtree"/>
                <w:b w:val="0"/>
                <w:i w:val="0"/>
                <w:sz w:val="22"/>
              </w:rPr>
              <w:t>Malaysia</w:t>
            </w:r>
          </w:p>
        </w:tc>
        <w:tc>
          <w:tcPr>
            <w:tcW w:type="dxa" w:w="3249"/>
            <w:vAlign w:val="center"/>
          </w:tcPr>
          <w:p>
            <w:r/>
            <w:r>
              <w:rPr>
                <w:rFonts w:ascii="Figtree" w:hAnsi="Figtree"/>
                <w:b w:val="0"/>
                <w:i w:val="0"/>
                <w:sz w:val="22"/>
              </w:rPr>
              <w:t>Cross-border FX settlement</w:t>
            </w:r>
          </w:p>
        </w:tc>
      </w:tr>
      <w:tr>
        <w:trPr>
          <w:trHeight w:val="454" w:hRule="atLeast"/>
        </w:trPr>
        <w:tc>
          <w:tcPr>
            <w:tcW w:type="dxa" w:w="3249"/>
            <w:vAlign w:val="center"/>
          </w:tcPr>
          <w:p>
            <w:r/>
            <w:r>
              <w:rPr>
                <w:rFonts w:ascii="Figtree" w:hAnsi="Figtree"/>
                <w:b w:val="0"/>
                <w:i w:val="0"/>
                <w:sz w:val="22"/>
              </w:rPr>
              <w:t>Standard Chartered Bank</w:t>
            </w:r>
          </w:p>
        </w:tc>
        <w:tc>
          <w:tcPr>
            <w:tcW w:type="dxa" w:w="3249"/>
            <w:vAlign w:val="center"/>
          </w:tcPr>
          <w:p>
            <w:r/>
            <w:r>
              <w:rPr>
                <w:rFonts w:ascii="Figtree" w:hAnsi="Figtree"/>
                <w:b w:val="0"/>
                <w:i w:val="0"/>
                <w:sz w:val="22"/>
              </w:rPr>
              <w:t>Multi-region</w:t>
            </w:r>
          </w:p>
        </w:tc>
        <w:tc>
          <w:tcPr>
            <w:tcW w:type="dxa" w:w="3249"/>
            <w:vAlign w:val="center"/>
          </w:tcPr>
          <w:p>
            <w:r/>
            <w:r>
              <w:rPr>
                <w:rFonts w:ascii="Figtree" w:hAnsi="Figtree"/>
                <w:b w:val="0"/>
                <w:i w:val="0"/>
                <w:sz w:val="22"/>
              </w:rPr>
              <w:t>Multi-jurisdiction bank infrastructure</w:t>
            </w:r>
          </w:p>
        </w:tc>
      </w:tr>
    </w:tbl>
    <w:p>
      <w:pPr>
        <w:pStyle w:val="H3"/>
        <w:numPr>
          <w:ilvl w:val="2"/>
          <w:numId w:val="1"/>
        </w:numPr>
      </w:pPr>
      <w:r>
        <w:t>State Bank of India — CBDC at National Scale</w:t>
      </w:r>
    </w:p>
    <w:p>
      <w:r>
        <w:rPr>
          <w:rFonts w:ascii="Figtree" w:hAnsi="Figtree"/>
          <w:b w:val="0"/>
          <w:i w:val="0"/>
          <w:sz w:val="22"/>
        </w:rPr>
        <w:t>The SBI e-Rupee engagement is the most directly relevant reference:</w:t>
      </w:r>
    </w:p>
    <w:p>
      <w:pPr>
        <w:pStyle w:val="ListParagraph"/>
        <w:numPr>
          <w:ilvl w:val="0"/>
          <w:numId w:val="4"/>
        </w:numPr>
      </w:pPr>
      <w:r>
        <w:rPr>
          <w:rFonts w:ascii="Figtree" w:hAnsi="Figtree"/>
          <w:b w:val="0"/>
          <w:i w:val="0"/>
          <w:sz w:val="22"/>
        </w:rPr>
        <w:t>CBDC infrastructure for India's national digital currency</w:t>
      </w:r>
    </w:p>
    <w:p>
      <w:pPr>
        <w:pStyle w:val="ListParagraph"/>
        <w:numPr>
          <w:ilvl w:val="0"/>
          <w:numId w:val="4"/>
        </w:numPr>
      </w:pPr>
      <w:r>
        <w:rPr>
          <w:rFonts w:ascii="Figtree" w:hAnsi="Figtree"/>
          <w:b w:val="0"/>
          <w:i w:val="0"/>
          <w:sz w:val="22"/>
        </w:rPr>
        <w:t>Designed for one billion+ projected daily transactions</w:t>
      </w:r>
    </w:p>
    <w:p>
      <w:pPr>
        <w:pStyle w:val="ListParagraph"/>
        <w:numPr>
          <w:ilvl w:val="0"/>
          <w:numId w:val="4"/>
        </w:numPr>
      </w:pPr>
      <w:r>
        <w:rPr>
          <w:rFonts w:ascii="Figtree" w:hAnsi="Figtree"/>
          <w:b w:val="0"/>
          <w:i w:val="0"/>
          <w:sz w:val="22"/>
        </w:rPr>
        <w:t>Pilot completed, production deployment underway</w:t>
      </w:r>
    </w:p>
    <w:p>
      <w:pPr>
        <w:pStyle w:val="ListParagraph"/>
        <w:numPr>
          <w:ilvl w:val="0"/>
          <w:numId w:val="4"/>
        </w:numPr>
      </w:pPr>
      <w:r>
        <w:rPr>
          <w:rFonts w:ascii="Figtree" w:hAnsi="Figtree"/>
          <w:b w:val="0"/>
          <w:i w:val="0"/>
          <w:sz w:val="22"/>
        </w:rPr>
        <w:t>Integration with existing banking infrastructure</w:t>
      </w:r>
    </w:p>
    <w:p>
      <w:pPr>
        <w:pStyle w:val="ListParagraph"/>
        <w:numPr>
          <w:ilvl w:val="0"/>
          <w:numId w:val="4"/>
        </w:numPr>
      </w:pPr>
      <w:r>
        <w:rPr>
          <w:rFonts w:ascii="Figtree" w:hAnsi="Figtree"/>
          <w:b w:val="0"/>
          <w:i w:val="0"/>
          <w:sz w:val="22"/>
        </w:rPr>
        <w:t>National-scale identity verification</w:t>
      </w:r>
    </w:p>
    <w:p>
      <w:pPr>
        <w:pStyle w:val="ListParagraph"/>
        <w:numPr>
          <w:ilvl w:val="0"/>
          <w:numId w:val="4"/>
        </w:numPr>
      </w:pPr>
      <w:r>
        <w:rPr>
          <w:rFonts w:ascii="Figtree" w:hAnsi="Figtree"/>
          <w:b w:val="0"/>
          <w:i w:val="0"/>
          <w:sz w:val="22"/>
        </w:rPr>
        <w:t>Cross-border settlement use cases</w:t>
      </w:r>
    </w:p>
    <w:p>
      <w:r>
        <w:br w:type="page"/>
      </w:r>
    </w:p>
    <w:p>
      <w:pPr>
        <w:pStyle w:val="H2"/>
        <w:numPr>
          <w:ilvl w:val="1"/>
          <w:numId w:val="1"/>
        </w:numPr>
      </w:pPr>
      <w:r>
        <w:t>Appendices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CBDC</w:t>
            </w:r>
          </w:p>
        </w:tc>
        <w:tc>
          <w:tcPr>
            <w:tcW w:type="dxa" w:w="4873"/>
            <w:vAlign w:val="center"/>
          </w:tcPr>
          <w:p>
            <w:r/>
            <w:r>
              <w:rPr>
                <w:rFonts w:ascii="Figtree" w:hAnsi="Figtree"/>
                <w:b w:val="0"/>
                <w:i w:val="0"/>
                <w:sz w:val="22"/>
              </w:rPr>
              <w:t>Central Bank Digital Currency</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Digital Dirham</w:t>
            </w:r>
          </w:p>
        </w:tc>
        <w:tc>
          <w:tcPr>
            <w:tcW w:type="dxa" w:w="4873"/>
            <w:vAlign w:val="center"/>
          </w:tcPr>
          <w:p>
            <w:r/>
            <w:r>
              <w:rPr>
                <w:rFonts w:ascii="Figtree" w:hAnsi="Figtree"/>
                <w:b w:val="0"/>
                <w:i w:val="0"/>
                <w:sz w:val="22"/>
              </w:rPr>
              <w:t>CBUAE's proposed central bank digital currency</w:t>
            </w:r>
          </w:p>
        </w:tc>
      </w:tr>
      <w:tr>
        <w:trPr>
          <w:trHeight w:val="454" w:hRule="atLeast"/>
        </w:trPr>
        <w:tc>
          <w:tcPr>
            <w:tcW w:type="dxa" w:w="4873"/>
            <w:vAlign w:val="center"/>
          </w:tcPr>
          <w:p>
            <w:r/>
            <w:r>
              <w:rPr>
                <w:rFonts w:ascii="Figtree" w:hAnsi="Figtree"/>
                <w:b w:val="0"/>
                <w:i w:val="0"/>
                <w:sz w:val="22"/>
              </w:rPr>
              <w:t>IBFT 2.0</w:t>
            </w:r>
          </w:p>
        </w:tc>
        <w:tc>
          <w:tcPr>
            <w:tcW w:type="dxa" w:w="4873"/>
            <w:vAlign w:val="center"/>
          </w:tcPr>
          <w:p>
            <w:r/>
            <w:r>
              <w:rPr>
                <w:rFonts w:ascii="Figtree" w:hAnsi="Figtree"/>
                <w:b w:val="0"/>
                <w:i w:val="0"/>
                <w:sz w:val="22"/>
              </w:rPr>
              <w:t>Istanbul Byzantine Fault Tolerance — consensus mechanism for permissioned networks</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w:t>
            </w:r>
          </w:p>
        </w:tc>
      </w:tr>
      <w:tr>
        <w:trPr>
          <w:trHeight w:val="454" w:hRule="atLeast"/>
        </w:trPr>
        <w:tc>
          <w:tcPr>
            <w:tcW w:type="dxa" w:w="4873"/>
            <w:vAlign w:val="center"/>
          </w:tcPr>
          <w:p>
            <w:r/>
            <w:r>
              <w:rPr>
                <w:rFonts w:ascii="Figtree" w:hAnsi="Figtree"/>
                <w:b w:val="0"/>
                <w:i w:val="0"/>
                <w:sz w:val="22"/>
              </w:rPr>
              <w:t>Project Aber</w:t>
            </w:r>
          </w:p>
        </w:tc>
        <w:tc>
          <w:tcPr>
            <w:tcW w:type="dxa" w:w="4873"/>
            <w:vAlign w:val="center"/>
          </w:tcPr>
          <w:p>
            <w:r/>
            <w:r>
              <w:rPr>
                <w:rFonts w:ascii="Figtree" w:hAnsi="Figtree"/>
                <w:b w:val="0"/>
                <w:i w:val="0"/>
                <w:sz w:val="22"/>
              </w:rPr>
              <w:t>Joint CBDC project between CBUAE and Saudi Central Bank</w:t>
            </w:r>
          </w:p>
        </w:tc>
      </w:tr>
      <w:tr>
        <w:trPr>
          <w:trHeight w:val="454" w:hRule="atLeast"/>
        </w:trPr>
        <w:tc>
          <w:tcPr>
            <w:tcW w:type="dxa" w:w="4873"/>
            <w:vAlign w:val="center"/>
          </w:tcPr>
          <w:p>
            <w:r/>
            <w:r>
              <w:rPr>
                <w:rFonts w:ascii="Figtree" w:hAnsi="Figtree"/>
                <w:b w:val="0"/>
                <w:i w:val="0"/>
                <w:sz w:val="22"/>
              </w:rPr>
              <w:t>mBridge</w:t>
            </w:r>
          </w:p>
        </w:tc>
        <w:tc>
          <w:tcPr>
            <w:tcW w:type="dxa" w:w="4873"/>
            <w:vAlign w:val="center"/>
          </w:tcPr>
          <w:p>
            <w:r/>
            <w:r>
              <w:rPr>
                <w:rFonts w:ascii="Figtree" w:hAnsi="Figtree"/>
                <w:b w:val="0"/>
                <w:i w:val="0"/>
                <w:sz w:val="22"/>
              </w:rPr>
              <w:t>Multi-CBDC platform involving HKMA, BIS, BOT, PBC</w:t>
            </w:r>
          </w:p>
        </w:tc>
      </w:tr>
      <w:tr>
        <w:trPr>
          <w:trHeight w:val="454" w:hRule="atLeast"/>
        </w:trPr>
        <w:tc>
          <w:tcPr>
            <w:tcW w:type="dxa" w:w="4873"/>
            <w:vAlign w:val="center"/>
          </w:tcPr>
          <w:p>
            <w:r/>
            <w:r>
              <w:rPr>
                <w:rFonts w:ascii="Figtree" w:hAnsi="Figtree"/>
                <w:b w:val="0"/>
                <w:i w:val="0"/>
                <w:sz w:val="22"/>
              </w:rPr>
              <w:t>DvP</w:t>
            </w:r>
          </w:p>
        </w:tc>
        <w:tc>
          <w:tcPr>
            <w:tcW w:type="dxa" w:w="4873"/>
            <w:vAlign w:val="center"/>
          </w:tcPr>
          <w:p>
            <w:r/>
            <w:r>
              <w:rPr>
                <w:rFonts w:ascii="Figtree" w:hAnsi="Figtree"/>
                <w:b w:val="0"/>
                <w:i w:val="0"/>
                <w:sz w:val="22"/>
              </w:rPr>
              <w:t>Delivery versus Payment</w:t>
            </w:r>
          </w:p>
        </w:tc>
      </w:tr>
      <w:tr>
        <w:trPr>
          <w:trHeight w:val="454" w:hRule="atLeast"/>
        </w:trPr>
        <w:tc>
          <w:tcPr>
            <w:tcW w:type="dxa" w:w="4873"/>
            <w:vAlign w:val="center"/>
          </w:tcPr>
          <w:p>
            <w:r/>
            <w:r>
              <w:rPr>
                <w:rFonts w:ascii="Figtree" w:hAnsi="Figtree"/>
                <w:b w:val="0"/>
                <w:i w:val="0"/>
                <w:sz w:val="22"/>
              </w:rPr>
              <w:t>RTGS</w:t>
            </w:r>
          </w:p>
        </w:tc>
        <w:tc>
          <w:tcPr>
            <w:tcW w:type="dxa" w:w="4873"/>
            <w:vAlign w:val="center"/>
          </w:tcPr>
          <w:p>
            <w:r/>
            <w:r>
              <w:rPr>
                <w:rFonts w:ascii="Figtree" w:hAnsi="Figtree"/>
                <w:b w:val="0"/>
                <w:i w:val="0"/>
                <w:sz w:val="22"/>
              </w:rPr>
              <w:t>Real-Time Gross Settlement</w:t>
            </w:r>
          </w:p>
        </w:tc>
      </w:tr>
      <w:tr>
        <w:trPr>
          <w:trHeight w:val="454" w:hRule="atLeast"/>
        </w:trPr>
        <w:tc>
          <w:tcPr>
            <w:tcW w:type="dxa" w:w="4873"/>
            <w:vAlign w:val="center"/>
          </w:tcPr>
          <w:p>
            <w:r/>
            <w:r>
              <w:rPr>
                <w:rFonts w:ascii="Figtree" w:hAnsi="Figtree"/>
                <w:b w:val="0"/>
                <w:i w:val="0"/>
                <w:sz w:val="22"/>
              </w:rPr>
              <w:t>HSM</w:t>
            </w:r>
          </w:p>
        </w:tc>
        <w:tc>
          <w:tcPr>
            <w:tcW w:type="dxa" w:w="4873"/>
            <w:vAlign w:val="center"/>
          </w:tcPr>
          <w:p>
            <w:r/>
            <w:r>
              <w:rPr>
                <w:rFonts w:ascii="Figtree" w:hAnsi="Figtree"/>
                <w:b w:val="0"/>
                <w:i w:val="0"/>
                <w:sz w:val="22"/>
              </w:rPr>
              <w:t>Hardware Security Module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