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Licensing: Enterprise Tier</w:t>
            <w:rPr>
              <w:sz w:val="22"/>
              <w:rFonts w:ascii="Figtree" w:hAnsi="Figtree"/>
            </w:rPr>
          </w:r>
        </w:p>
        <w:p>
          <w:pPr>
            <w:ind w:left="720"/>
          </w:pPr>
          <w:r>
            <w:t xml:space="preserve">Implementation Pricing</w:t>
            <w:rPr>
              <w:sz w:val="22"/>
              <w:rFonts w:ascii="Figtree" w:hAnsi="Figtree"/>
            </w:rPr>
          </w:r>
        </w:p>
        <w:p>
          <w:pPr>
            <w:ind w:left="720"/>
          </w:pPr>
          <w:r>
            <w:t xml:space="preserve">Support: Premium Tier</w:t>
            <w:rPr>
              <w:sz w:val="22"/>
              <w:rFonts w:ascii="Figtree" w:hAnsi="Figtree"/>
            </w:rPr>
          </w:r>
        </w:p>
        <w:p>
          <w:pPr>
            <w:ind w:left="720"/>
          </w:pPr>
          <w:r>
            <w:t xml:space="preserve">Three-Year TCO</w:t>
            <w:rPr>
              <w:sz w:val="22"/>
              <w:rFonts w:ascii="Figtree" w:hAnsi="Figtree"/>
            </w:rPr>
          </w:r>
        </w:p>
        <w:p>
          <w:pPr>
            <w:ind w:left="1440"/>
          </w:pPr>
          <w:r>
            <w:t xml:space="preserve">Exclusions</w:t>
            <w:rPr>
              <w:sz w:val="22"/>
              <w:rFonts w:ascii="Figtree" w:hAnsi="Figtree"/>
            </w:rPr>
          </w:r>
        </w:p>
        <w:p>
          <w:pPr>
            <w:ind w:left="720"/>
          </w:pPr>
          <w:r>
            <w:t xml:space="preserve">Contractual Framework</w:t>
            <w:rPr>
              <w:sz w:val="22"/>
              <w:rFonts w:ascii="Figtree" w:hAnsi="Figtree"/>
            </w:rPr>
          </w:r>
        </w:p>
        <w:p>
          <w:pPr>
            <w:ind w:left="720"/>
          </w:pPr>
          <w:r>
            <w:t xml:space="preserve">Decision Summary</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Digital Bonds Issuance Platform</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Deutsche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DEUTSCHE-BANK-RFP-DIGITAL-BONDS-202603</w:t>
            </w:r>
          </w:p>
        </w:tc>
      </w:tr>
    </w:tbl>
    <w:p>
      <w:r>
        <w:br w:type="page"/>
      </w:r>
    </w:p>
    <w:p>
      <w:pPr>
        <w:pStyle w:val="H2"/>
        <w:numPr>
          <w:ilvl w:val="1"/>
          <w:numId w:val="1"/>
        </w:numPr>
      </w:pPr>
      <w:r>
        <w:t>Executive Summary</w:t>
      </w:r>
    </w:p>
    <w:p>
      <w:r>
        <w:rPr>
          <w:rFonts w:ascii="Figtree" w:hAnsi="Figtree"/>
          <w:b w:val="0"/>
          <w:i w:val="0"/>
          <w:sz w:val="22"/>
        </w:rPr>
        <w:t>Deutsche Bank requires a production-grade digital bonds issuance platform that operates within the eWpG and MiCA regulatory framework. This commercial proposal presents SettleMint's licensing, implementation, and support model for DALP.</w:t>
      </w:r>
    </w:p>
    <w:p>
      <w:r>
        <w:rPr>
          <w:rFonts w:ascii="Figtree" w:hAnsi="Figtree"/>
          <w:b/>
          <w:i w:val="0"/>
          <w:sz w:val="22"/>
        </w:rPr>
        <w:t>Recommendation:</w:t>
      </w:r>
      <w:r>
        <w:rPr>
          <w:rFonts w:ascii="Figtree" w:hAnsi="Figtree"/>
          <w:b w:val="0"/>
          <w:i w:val="0"/>
          <w:sz w:val="22"/>
        </w:rPr>
        <w:t xml:space="preserve"> Enterprise tier (Tier 2) with Premium support, 19-week fixed-fee implementation, EU-hosted deployment.</w:t>
      </w:r>
    </w:p>
    <w:p>
      <w:r>
        <w:br w:type="page"/>
      </w:r>
    </w:p>
    <w:p>
      <w:pPr>
        <w:pStyle w:val="H2"/>
        <w:numPr>
          <w:ilvl w:val="1"/>
          <w:numId w:val="1"/>
        </w:numPr>
      </w:pPr>
      <w:r>
        <w:t>Licensing: Enterprise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Included</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Full platform capabilities</w:t>
            </w:r>
          </w:p>
        </w:tc>
        <w:tc>
          <w:tcPr>
            <w:tcW w:type="dxa" w:w="4873"/>
            <w:vAlign w:val="center"/>
          </w:tcPr>
          <w:p>
            <w:r/>
            <w:r>
              <w:rPr>
                <w:rFonts w:ascii="Figtree" w:hAnsi="Figtree"/>
                <w:b w:val="0"/>
                <w:i w:val="0"/>
                <w:sz w:val="22"/>
              </w:rPr>
              <w:t>All lifecycle pillars, compliance modules, API surface</w:t>
            </w:r>
          </w:p>
        </w:tc>
      </w:tr>
      <w:tr>
        <w:trPr>
          <w:trHeight w:val="454" w:hRule="atLeast"/>
        </w:trPr>
        <w:tc>
          <w:tcPr>
            <w:tcW w:type="dxa" w:w="4873"/>
            <w:vAlign w:val="center"/>
          </w:tcPr>
          <w:p>
            <w:r/>
            <w:r>
              <w:rPr>
                <w:rFonts w:ascii="Figtree" w:hAnsi="Figtree"/>
                <w:b w:val="0"/>
                <w:i w:val="0"/>
                <w:sz w:val="22"/>
              </w:rPr>
              <w:t>All asset classes</w:t>
            </w:r>
          </w:p>
        </w:tc>
        <w:tc>
          <w:tcPr>
            <w:tcW w:type="dxa" w:w="4873"/>
            <w:vAlign w:val="center"/>
          </w:tcPr>
          <w:p>
            <w:r/>
            <w:r>
              <w:rPr>
                <w:rFonts w:ascii="Figtree" w:hAnsi="Figtree"/>
                <w:b w:val="0"/>
                <w:i w:val="0"/>
                <w:sz w:val="22"/>
              </w:rPr>
              <w:t>Bond-optimized via DALPAsset configuration</w:t>
            </w:r>
          </w:p>
        </w:tc>
      </w:tr>
      <w:tr>
        <w:trPr>
          <w:trHeight w:val="454" w:hRule="atLeast"/>
        </w:trPr>
        <w:tc>
          <w:tcPr>
            <w:tcW w:type="dxa" w:w="4873"/>
            <w:vAlign w:val="center"/>
          </w:tcPr>
          <w:p>
            <w:r/>
            <w:r>
              <w:rPr>
                <w:rFonts w:ascii="Figtree" w:hAnsi="Figtree"/>
                <w:b w:val="0"/>
                <w:i w:val="0"/>
                <w:sz w:val="22"/>
              </w:rPr>
              <w:t>All 18 compliance modules</w:t>
            </w:r>
          </w:p>
        </w:tc>
        <w:tc>
          <w:tcPr>
            <w:tcW w:type="dxa" w:w="4873"/>
            <w:vAlign w:val="center"/>
          </w:tcPr>
          <w:p>
            <w:r/>
            <w:r>
              <w:rPr>
                <w:rFonts w:ascii="Figtree" w:hAnsi="Figtree"/>
                <w:b w:val="0"/>
                <w:i w:val="0"/>
                <w:sz w:val="22"/>
              </w:rPr>
              <w:t>eWpG, MiCA, MiFID II compliant</w:t>
            </w:r>
          </w:p>
        </w:tc>
      </w:tr>
      <w:tr>
        <w:trPr>
          <w:trHeight w:val="454" w:hRule="atLeast"/>
        </w:trPr>
        <w:tc>
          <w:tcPr>
            <w:tcW w:type="dxa" w:w="4873"/>
            <w:vAlign w:val="center"/>
          </w:tcPr>
          <w:p>
            <w:r/>
            <w:r>
              <w:rPr>
                <w:rFonts w:ascii="Figtree" w:hAnsi="Figtree"/>
                <w:b w:val="0"/>
                <w:i w:val="0"/>
                <w:sz w:val="22"/>
              </w:rPr>
              <w:t>Full API surface</w:t>
            </w:r>
          </w:p>
        </w:tc>
        <w:tc>
          <w:tcPr>
            <w:tcW w:type="dxa" w:w="4873"/>
            <w:vAlign w:val="center"/>
          </w:tcPr>
          <w:p>
            <w:r/>
            <w:r>
              <w:rPr>
                <w:rFonts w:ascii="Figtree" w:hAnsi="Figtree"/>
                <w:b w:val="0"/>
                <w:i w:val="0"/>
                <w:sz w:val="22"/>
              </w:rPr>
              <w:t>REST v2, GraphQL, webhooks, SDK, CLI</w:t>
            </w:r>
          </w:p>
        </w:tc>
      </w:tr>
      <w:tr>
        <w:trPr>
          <w:trHeight w:val="454" w:hRule="atLeast"/>
        </w:trPr>
        <w:tc>
          <w:tcPr>
            <w:tcW w:type="dxa" w:w="4873"/>
            <w:vAlign w:val="center"/>
          </w:tcPr>
          <w:p>
            <w:r/>
            <w:r>
              <w:rPr>
                <w:rFonts w:ascii="Figtree" w:hAnsi="Figtree"/>
                <w:b w:val="0"/>
                <w:i w:val="0"/>
                <w:sz w:val="22"/>
              </w:rPr>
              <w:t>Observability stack</w:t>
            </w:r>
          </w:p>
        </w:tc>
        <w:tc>
          <w:tcPr>
            <w:tcW w:type="dxa" w:w="4873"/>
            <w:vAlign w:val="center"/>
          </w:tcPr>
          <w:p>
            <w:r/>
            <w:r>
              <w:rPr>
                <w:rFonts w:ascii="Figtree" w:hAnsi="Figtree"/>
                <w:b w:val="0"/>
                <w:i w:val="0"/>
                <w:sz w:val="22"/>
              </w:rPr>
              <w:t>Grafana dashboards, three-pillar observability</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All releases including ISO 20022 support (Q3 2026)</w:t>
            </w:r>
          </w:p>
        </w:tc>
      </w:tr>
      <w:tr>
        <w:trPr>
          <w:trHeight w:val="454" w:hRule="atLeast"/>
        </w:trPr>
        <w:tc>
          <w:tcPr>
            <w:tcW w:type="dxa" w:w="4873"/>
            <w:vAlign w:val="center"/>
          </w:tcPr>
          <w:p>
            <w:r/>
            <w:r>
              <w:rPr>
                <w:rFonts w:ascii="Figtree" w:hAnsi="Figtree"/>
                <w:b/>
                <w:i w:val="0"/>
                <w:sz w:val="22"/>
              </w:rPr>
              <w:t>Annual license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Implementation Pricing</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Phase</w:t>
            </w:r>
          </w:p>
        </w:tc>
        <w:tc>
          <w:tcPr>
            <w:tcW w:type="dxa" w:w="3249"/>
            <w:vAlign w:val="center"/>
            <w:shd w:fill="000099" w:val="clear"/>
          </w:tcPr>
          <w:p>
            <w:r>
              <w:rPr>
                <w:b/>
                <w:color w:val="FFFFFF"/>
              </w:rPr>
            </w:r>
            <w:r>
              <w:rPr>
                <w:rFonts w:ascii="Figtree" w:hAnsi="Figtree"/>
                <w:b/>
                <w:i w:val="0"/>
                <w:color w:val="FFFFFF"/>
                <w:sz w:val="22"/>
              </w:rPr>
              <w:t>Duration</w:t>
            </w:r>
          </w:p>
        </w:tc>
        <w:tc>
          <w:tcPr>
            <w:tcW w:type="dxa" w:w="3249"/>
            <w:vAlign w:val="center"/>
            <w:shd w:fill="000099" w:val="clear"/>
          </w:tcPr>
          <w:p>
            <w:r>
              <w:rPr>
                <w:b/>
                <w:color w:val="FFFFFF"/>
              </w:rPr>
            </w:r>
            <w:r>
              <w:rPr>
                <w:rFonts w:ascii="Figtree" w:hAnsi="Figtree"/>
                <w:b/>
                <w:i w:val="0"/>
                <w:color w:val="FFFFFF"/>
                <w:sz w:val="22"/>
              </w:rPr>
              <w:t>Fee</w:t>
            </w:r>
          </w:p>
        </w:tc>
      </w:tr>
      <w:tr>
        <w:trPr>
          <w:trHeight w:val="454" w:hRule="atLeast"/>
        </w:trPr>
        <w:tc>
          <w:tcPr>
            <w:tcW w:type="dxa" w:w="3249"/>
            <w:vAlign w:val="center"/>
          </w:tcPr>
          <w:p>
            <w:r/>
            <w:r>
              <w:rPr>
                <w:rFonts w:ascii="Figtree" w:hAnsi="Figtree"/>
                <w:b w:val="0"/>
                <w:i w:val="0"/>
                <w:sz w:val="22"/>
              </w:rPr>
              <w:t>Phase 1: Discovery</w:t>
            </w:r>
          </w:p>
        </w:tc>
        <w:tc>
          <w:tcPr>
            <w:tcW w:type="dxa" w:w="3249"/>
            <w:vAlign w:val="center"/>
          </w:tcPr>
          <w:p>
            <w:r/>
            <w:r>
              <w:rPr>
                <w:rFonts w:ascii="Figtree" w:hAnsi="Figtree"/>
                <w:b w:val="0"/>
                <w:i w:val="0"/>
                <w:sz w:val="22"/>
              </w:rPr>
              <w:t>2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2: Foundation</w:t>
            </w:r>
          </w:p>
        </w:tc>
        <w:tc>
          <w:tcPr>
            <w:tcW w:type="dxa" w:w="3249"/>
            <w:vAlign w:val="center"/>
          </w:tcPr>
          <w:p>
            <w:r/>
            <w:r>
              <w:rPr>
                <w:rFonts w:ascii="Figtree" w:hAnsi="Figtree"/>
                <w:b w:val="0"/>
                <w:i w:val="0"/>
                <w:sz w:val="22"/>
              </w:rPr>
              <w:t>3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3: Configuration</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4: Integration &amp; Testing</w:t>
            </w:r>
          </w:p>
        </w:tc>
        <w:tc>
          <w:tcPr>
            <w:tcW w:type="dxa" w:w="3249"/>
            <w:vAlign w:val="center"/>
          </w:tcPr>
          <w:p>
            <w:r/>
            <w:r>
              <w:rPr>
                <w:rFonts w:ascii="Figtree" w:hAnsi="Figtree"/>
                <w:b w:val="0"/>
                <w:i w:val="0"/>
                <w:sz w:val="22"/>
              </w:rPr>
              <w:t>4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val="0"/>
                <w:i w:val="0"/>
                <w:sz w:val="22"/>
              </w:rPr>
              <w:t>Phase 5: Go-Live &amp; Hypercare</w:t>
            </w:r>
          </w:p>
        </w:tc>
        <w:tc>
          <w:tcPr>
            <w:tcW w:type="dxa" w:w="3249"/>
            <w:vAlign w:val="center"/>
          </w:tcPr>
          <w:p>
            <w:r/>
            <w:r>
              <w:rPr>
                <w:rFonts w:ascii="Figtree" w:hAnsi="Figtree"/>
                <w:b w:val="0"/>
                <w:i w:val="0"/>
                <w:sz w:val="22"/>
              </w:rPr>
              <w:t>6 weeks</w:t>
            </w:r>
          </w:p>
        </w:tc>
        <w:tc>
          <w:tcPr>
            <w:tcW w:type="dxa" w:w="3249"/>
            <w:vAlign w:val="center"/>
          </w:tcPr>
          <w:p>
            <w:r/>
            <w:r>
              <w:rPr>
                <w:rFonts w:ascii="Figtree" w:hAnsi="Figtree"/>
                <w:b w:val="0"/>
                <w:i w:val="0"/>
                <w:sz w:val="22"/>
              </w:rPr>
              <w:t>Fixed fee</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19 weeks</w:t>
            </w:r>
          </w:p>
        </w:tc>
        <w:tc>
          <w:tcPr>
            <w:tcW w:type="dxa" w:w="3249"/>
            <w:vAlign w:val="center"/>
          </w:tcPr>
          <w:p>
            <w:r/>
            <w:r>
              <w:rPr>
                <w:rFonts w:ascii="Figtree" w:hAnsi="Figtree"/>
                <w:b/>
                <w:i w:val="0"/>
                <w:sz w:val="22"/>
              </w:rPr>
              <w:t>[CLIENT-SPECIFIC]</w:t>
            </w:r>
          </w:p>
        </w:tc>
      </w:tr>
    </w:tbl>
    <w:p>
      <w:r>
        <w:br w:type="page"/>
      </w:r>
    </w:p>
    <w:p>
      <w:pPr>
        <w:pStyle w:val="H2"/>
        <w:numPr>
          <w:ilvl w:val="1"/>
          <w:numId w:val="1"/>
        </w:numPr>
      </w:pPr>
      <w:r>
        <w:t>Support: Premium Tier</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Configuration</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16×5 (Monday–Friday)</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Quarterly reviews</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i w:val="0"/>
                <w:sz w:val="22"/>
              </w:rPr>
              <w:t>Annual fee</w:t>
            </w:r>
          </w:p>
        </w:tc>
        <w:tc>
          <w:tcPr>
            <w:tcW w:type="dxa" w:w="4873"/>
            <w:vAlign w:val="center"/>
          </w:tcPr>
          <w:p>
            <w:r/>
            <w:r>
              <w:rPr>
                <w:rFonts w:ascii="Figtree" w:hAnsi="Figtree"/>
                <w:b/>
                <w:i w:val="0"/>
                <w:sz w:val="22"/>
              </w:rPr>
              <w:t>[CLIENT-SPECIFIC]</w:t>
            </w:r>
          </w:p>
        </w:tc>
      </w:tr>
    </w:tbl>
    <w:p>
      <w:r>
        <w:br w:type="page"/>
      </w:r>
    </w:p>
    <w:p>
      <w:pPr>
        <w:pStyle w:val="H2"/>
        <w:numPr>
          <w:ilvl w:val="1"/>
          <w:numId w:val="1"/>
        </w:numPr>
      </w:pPr>
      <w:r>
        <w:t>Three-Year TCO</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Component</w:t>
            </w:r>
          </w:p>
        </w:tc>
        <w:tc>
          <w:tcPr>
            <w:tcW w:type="dxa" w:w="2436"/>
            <w:vAlign w:val="center"/>
            <w:shd w:fill="000099" w:val="clear"/>
          </w:tcPr>
          <w:p>
            <w:r>
              <w:rPr>
                <w:b/>
                <w:color w:val="FFFFFF"/>
              </w:rPr>
            </w:r>
            <w:r>
              <w:rPr>
                <w:rFonts w:ascii="Figtree" w:hAnsi="Figtree"/>
                <w:b/>
                <w:i w:val="0"/>
                <w:color w:val="FFFFFF"/>
                <w:sz w:val="22"/>
              </w:rPr>
              <w:t>Year 1</w:t>
            </w:r>
          </w:p>
        </w:tc>
        <w:tc>
          <w:tcPr>
            <w:tcW w:type="dxa" w:w="2436"/>
            <w:vAlign w:val="center"/>
            <w:shd w:fill="000099" w:val="clear"/>
          </w:tcPr>
          <w:p>
            <w:r>
              <w:rPr>
                <w:b/>
                <w:color w:val="FFFFFF"/>
              </w:rPr>
            </w:r>
            <w:r>
              <w:rPr>
                <w:rFonts w:ascii="Figtree" w:hAnsi="Figtree"/>
                <w:b/>
                <w:i w:val="0"/>
                <w:color w:val="FFFFFF"/>
                <w:sz w:val="22"/>
              </w:rPr>
              <w:t>Year 2</w:t>
            </w:r>
          </w:p>
        </w:tc>
        <w:tc>
          <w:tcPr>
            <w:tcW w:type="dxa" w:w="2436"/>
            <w:vAlign w:val="center"/>
            <w:shd w:fill="000099" w:val="clear"/>
          </w:tcPr>
          <w:p>
            <w:r>
              <w:rPr>
                <w:b/>
                <w:color w:val="FFFFFF"/>
              </w:rPr>
            </w:r>
            <w:r>
              <w:rPr>
                <w:rFonts w:ascii="Figtree" w:hAnsi="Figtree"/>
                <w:b/>
                <w:i w:val="0"/>
                <w:color w:val="FFFFFF"/>
                <w:sz w:val="22"/>
              </w:rPr>
              <w:t>Year 3</w:t>
            </w:r>
          </w:p>
        </w:tc>
      </w:tr>
      <w:tr>
        <w:trPr>
          <w:trHeight w:val="454" w:hRule="atLeast"/>
        </w:trPr>
        <w:tc>
          <w:tcPr>
            <w:tcW w:type="dxa" w:w="2436"/>
            <w:vAlign w:val="center"/>
          </w:tcPr>
          <w:p>
            <w:r/>
            <w:r>
              <w:rPr>
                <w:rFonts w:ascii="Figtree" w:hAnsi="Figtree"/>
                <w:b w:val="0"/>
                <w:i w:val="0"/>
                <w:sz w:val="22"/>
              </w:rPr>
              <w:t>Platform license</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r>
        <w:trPr>
          <w:trHeight w:val="454" w:hRule="atLeast"/>
        </w:trPr>
        <w:tc>
          <w:tcPr>
            <w:tcW w:type="dxa" w:w="2436"/>
            <w:vAlign w:val="center"/>
          </w:tcPr>
          <w:p>
            <w:r/>
            <w:r>
              <w:rPr>
                <w:rFonts w:ascii="Figtree" w:hAnsi="Figtree"/>
                <w:b w:val="0"/>
                <w:i w:val="0"/>
                <w:sz w:val="22"/>
              </w:rPr>
              <w:t>Implementation</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w:t>
            </w:r>
          </w:p>
        </w:tc>
        <w:tc>
          <w:tcPr>
            <w:tcW w:type="dxa" w:w="2436"/>
            <w:vAlign w:val="center"/>
          </w:tcPr>
          <w:p>
            <w:r/>
            <w:r>
              <w:rPr>
                <w:rFonts w:ascii="Figtree" w:hAnsi="Figtree"/>
                <w:b w:val="0"/>
                <w:i w:val="0"/>
                <w:sz w:val="22"/>
              </w:rPr>
              <w:t>—</w:t>
            </w:r>
          </w:p>
        </w:tc>
      </w:tr>
      <w:tr>
        <w:trPr>
          <w:trHeight w:val="454" w:hRule="atLeast"/>
        </w:trPr>
        <w:tc>
          <w:tcPr>
            <w:tcW w:type="dxa" w:w="2436"/>
            <w:vAlign w:val="center"/>
          </w:tcPr>
          <w:p>
            <w:r/>
            <w:r>
              <w:rPr>
                <w:rFonts w:ascii="Figtree" w:hAnsi="Figtree"/>
                <w:b w:val="0"/>
                <w:i w:val="0"/>
                <w:sz w:val="22"/>
              </w:rPr>
              <w:t>Support</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r>
        <w:trPr>
          <w:trHeight w:val="454" w:hRule="atLeast"/>
        </w:trPr>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c>
          <w:tcPr>
            <w:tcW w:type="dxa" w:w="2436"/>
            <w:vAlign w:val="center"/>
          </w:tcPr>
          <w:p>
            <w:r/>
            <w:r>
              <w:rPr>
                <w:rFonts w:ascii="Figtree" w:hAnsi="Figtree"/>
                <w:b w:val="0"/>
                <w:i w:val="0"/>
                <w:sz w:val="22"/>
              </w:rPr>
              <w:t>[CS]</w:t>
            </w:r>
          </w:p>
        </w:tc>
      </w:tr>
    </w:tbl>
    <w:p>
      <w:pPr>
        <w:pStyle w:val="H3"/>
        <w:numPr>
          <w:ilvl w:val="2"/>
          <w:numId w:val="1"/>
        </w:numPr>
      </w:pPr>
      <w:r>
        <w:t>Exclusions</w:t>
      </w:r>
    </w:p>
    <w:p>
      <w:pPr>
        <w:pStyle w:val="ListParagraph"/>
        <w:numPr>
          <w:ilvl w:val="0"/>
          <w:numId w:val="4"/>
        </w:numPr>
      </w:pPr>
      <w:r>
        <w:rPr>
          <w:rFonts w:ascii="Figtree" w:hAnsi="Figtree"/>
          <w:b w:val="0"/>
          <w:i w:val="0"/>
          <w:sz w:val="22"/>
        </w:rPr>
        <w:t>EU cloud infrastructure (Deutsche Bank responsibility)</w:t>
      </w:r>
    </w:p>
    <w:p>
      <w:pPr>
        <w:pStyle w:val="ListParagraph"/>
        <w:numPr>
          <w:ilvl w:val="0"/>
          <w:numId w:val="4"/>
        </w:numPr>
      </w:pPr>
      <w:r>
        <w:rPr>
          <w:rFonts w:ascii="Figtree" w:hAnsi="Figtree"/>
          <w:b w:val="0"/>
          <w:i w:val="0"/>
          <w:sz w:val="22"/>
        </w:rPr>
        <w:t>T2S connectivity (existing Deutsche Bank infrastructure)</w:t>
      </w:r>
    </w:p>
    <w:p>
      <w:pPr>
        <w:pStyle w:val="ListParagraph"/>
        <w:numPr>
          <w:ilvl w:val="0"/>
          <w:numId w:val="4"/>
        </w:numPr>
      </w:pPr>
      <w:r>
        <w:rPr>
          <w:rFonts w:ascii="Figtree" w:hAnsi="Figtree"/>
          <w:b w:val="0"/>
          <w:i w:val="0"/>
          <w:sz w:val="22"/>
        </w:rPr>
        <w:t>Clearstream integration development (joint effort)</w:t>
      </w:r>
    </w:p>
    <w:p>
      <w:pPr>
        <w:pStyle w:val="ListParagraph"/>
        <w:numPr>
          <w:ilvl w:val="0"/>
          <w:numId w:val="4"/>
        </w:numPr>
      </w:pPr>
      <w:r>
        <w:rPr>
          <w:rFonts w:ascii="Figtree" w:hAnsi="Figtree"/>
          <w:b w:val="0"/>
          <w:i w:val="0"/>
          <w:sz w:val="22"/>
        </w:rPr>
        <w:t>BaFin regulatory filing fees</w:t>
      </w:r>
    </w:p>
    <w:p>
      <w:pPr>
        <w:pStyle w:val="ListParagraph"/>
        <w:numPr>
          <w:ilvl w:val="0"/>
          <w:numId w:val="4"/>
        </w:numPr>
      </w:pPr>
      <w:r>
        <w:rPr>
          <w:rFonts w:ascii="Figtree" w:hAnsi="Figtree"/>
          <w:b w:val="0"/>
          <w:i w:val="0"/>
          <w:sz w:val="22"/>
        </w:rPr>
        <w:t>SWIFT gateway licensing</w:t>
      </w:r>
    </w:p>
    <w:p>
      <w:pPr>
        <w:pStyle w:val="ListParagraph"/>
        <w:numPr>
          <w:ilvl w:val="0"/>
          <w:numId w:val="4"/>
        </w:numPr>
      </w:pPr>
      <w:r>
        <w:rPr>
          <w:rFonts w:ascii="Figtree" w:hAnsi="Figtree"/>
          <w:b w:val="0"/>
          <w:i w:val="0"/>
          <w:sz w:val="22"/>
        </w:rPr>
        <w:t>ISO 20022 middleware (interim — native support Q3 2026)</w:t>
      </w:r>
    </w:p>
    <w:p>
      <w:r>
        <w:br w:type="page"/>
      </w:r>
    </w:p>
    <w:p>
      <w:pPr>
        <w:pStyle w:val="H2"/>
        <w:numPr>
          <w:ilvl w:val="1"/>
          <w:numId w:val="1"/>
        </w:numPr>
      </w:pPr>
      <w:r>
        <w:t>Contractual Framework</w:t>
      </w:r>
    </w:p>
    <w:p>
      <w:pPr>
        <w:pStyle w:val="ListParagraph"/>
        <w:numPr>
          <w:ilvl w:val="0"/>
          <w:numId w:val="4"/>
        </w:numPr>
      </w:pPr>
      <w:r>
        <w:rPr>
          <w:rFonts w:ascii="Figtree" w:hAnsi="Figtree"/>
          <w:b w:val="0"/>
          <w:i w:val="0"/>
          <w:sz w:val="22"/>
        </w:rPr>
        <w:t>Three-year initial term</w:t>
      </w:r>
    </w:p>
    <w:p>
      <w:pPr>
        <w:pStyle w:val="ListParagraph"/>
        <w:numPr>
          <w:ilvl w:val="0"/>
          <w:numId w:val="4"/>
        </w:numPr>
      </w:pPr>
      <w:r>
        <w:rPr>
          <w:rFonts w:ascii="Figtree" w:hAnsi="Figtree"/>
          <w:b w:val="0"/>
          <w:i w:val="0"/>
          <w:sz w:val="22"/>
        </w:rPr>
        <w:t>Milestone-based implementation; annual license in advance</w:t>
      </w:r>
    </w:p>
    <w:p>
      <w:pPr>
        <w:pStyle w:val="ListParagraph"/>
        <w:numPr>
          <w:ilvl w:val="0"/>
          <w:numId w:val="4"/>
        </w:numPr>
      </w:pPr>
      <w:r>
        <w:rPr>
          <w:rFonts w:ascii="Figtree" w:hAnsi="Figtree"/>
          <w:b w:val="0"/>
          <w:i w:val="0"/>
          <w:sz w:val="22"/>
        </w:rPr>
        <w:t>GDPR-compliant data processing agreement</w:t>
      </w:r>
    </w:p>
    <w:p>
      <w:pPr>
        <w:pStyle w:val="ListParagraph"/>
        <w:numPr>
          <w:ilvl w:val="0"/>
          <w:numId w:val="4"/>
        </w:numPr>
      </w:pPr>
      <w:r>
        <w:rPr>
          <w:rFonts w:ascii="Figtree" w:hAnsi="Figtree"/>
          <w:b w:val="0"/>
          <w:i w:val="0"/>
          <w:sz w:val="22"/>
        </w:rPr>
        <w:t>EU data residency guarantee</w:t>
      </w:r>
    </w:p>
    <w:p>
      <w:pPr>
        <w:pStyle w:val="ListParagraph"/>
        <w:numPr>
          <w:ilvl w:val="0"/>
          <w:numId w:val="4"/>
        </w:numPr>
      </w:pPr>
      <w:r>
        <w:rPr>
          <w:rFonts w:ascii="Figtree" w:hAnsi="Figtree"/>
          <w:b w:val="0"/>
          <w:i w:val="0"/>
          <w:sz w:val="22"/>
        </w:rPr>
        <w:t>Annual audit rights</w:t>
      </w:r>
    </w:p>
    <w:p>
      <w:pPr>
        <w:pStyle w:val="ListParagraph"/>
        <w:numPr>
          <w:ilvl w:val="0"/>
          <w:numId w:val="4"/>
        </w:numPr>
      </w:pPr>
      <w:r>
        <w:rPr>
          <w:rFonts w:ascii="Figtree" w:hAnsi="Figtree"/>
          <w:b w:val="0"/>
          <w:i w:val="0"/>
          <w:sz w:val="22"/>
        </w:rPr>
        <w:t>90-day exit support with data export</w:t>
      </w:r>
    </w:p>
    <w:p>
      <w:pPr>
        <w:pStyle w:val="ListParagraph"/>
        <w:numPr>
          <w:ilvl w:val="0"/>
          <w:numId w:val="4"/>
        </w:numPr>
      </w:pPr>
      <w:r>
        <w:rPr>
          <w:rFonts w:ascii="Figtree" w:hAnsi="Figtree"/>
          <w:b w:val="0"/>
          <w:i w:val="0"/>
          <w:sz w:val="22"/>
        </w:rPr>
        <w:t>Subcontractor disclosure and approval</w:t>
      </w:r>
    </w:p>
    <w:p>
      <w:r>
        <w:br w:type="page"/>
      </w:r>
    </w:p>
    <w:p>
      <w:pPr>
        <w:pStyle w:val="H2"/>
        <w:numPr>
          <w:ilvl w:val="1"/>
          <w:numId w:val="1"/>
        </w:numPr>
      </w:pPr>
      <w:r>
        <w:t>Decision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Factor</w:t>
            </w:r>
          </w:p>
        </w:tc>
        <w:tc>
          <w:tcPr>
            <w:tcW w:type="dxa" w:w="4873"/>
            <w:vAlign w:val="center"/>
            <w:shd w:fill="000099" w:val="clear"/>
          </w:tcPr>
          <w:p>
            <w:r>
              <w:rPr>
                <w:b/>
                <w:color w:val="FFFFFF"/>
              </w:rPr>
            </w:r>
            <w:r>
              <w:rPr>
                <w:rFonts w:ascii="Figtree" w:hAnsi="Figtree"/>
                <w:b/>
                <w:i w:val="0"/>
                <w:color w:val="FFFFFF"/>
                <w:sz w:val="22"/>
              </w:rPr>
              <w:t>Position</w:t>
            </w:r>
          </w:p>
        </w:tc>
      </w:tr>
      <w:tr>
        <w:trPr>
          <w:trHeight w:val="454" w:hRule="atLeast"/>
        </w:trPr>
        <w:tc>
          <w:tcPr>
            <w:tcW w:type="dxa" w:w="4873"/>
            <w:vAlign w:val="center"/>
          </w:tcPr>
          <w:p>
            <w:r/>
            <w:r>
              <w:rPr>
                <w:rFonts w:ascii="Figtree" w:hAnsi="Figtree"/>
                <w:b w:val="0"/>
                <w:i w:val="0"/>
                <w:sz w:val="22"/>
              </w:rPr>
              <w:t>German bank reference</w:t>
            </w:r>
          </w:p>
        </w:tc>
        <w:tc>
          <w:tcPr>
            <w:tcW w:type="dxa" w:w="4873"/>
            <w:vAlign w:val="center"/>
          </w:tcPr>
          <w:p>
            <w:r/>
            <w:r>
              <w:rPr>
                <w:rFonts w:ascii="Figtree" w:hAnsi="Figtree"/>
                <w:b w:val="0"/>
                <w:i w:val="0"/>
                <w:sz w:val="22"/>
              </w:rPr>
              <w:t>Commerzbank — Boerse Stuttgart listed ETPs</w:t>
            </w:r>
          </w:p>
        </w:tc>
      </w:tr>
      <w:tr>
        <w:trPr>
          <w:trHeight w:val="454" w:hRule="atLeast"/>
        </w:trPr>
        <w:tc>
          <w:tcPr>
            <w:tcW w:type="dxa" w:w="4873"/>
            <w:vAlign w:val="center"/>
          </w:tcPr>
          <w:p>
            <w:r/>
            <w:r>
              <w:rPr>
                <w:rFonts w:ascii="Figtree" w:hAnsi="Figtree"/>
                <w:b w:val="0"/>
                <w:i w:val="0"/>
                <w:sz w:val="22"/>
              </w:rPr>
              <w:t>Regulatory readiness</w:t>
            </w:r>
          </w:p>
        </w:tc>
        <w:tc>
          <w:tcPr>
            <w:tcW w:type="dxa" w:w="4873"/>
            <w:vAlign w:val="center"/>
          </w:tcPr>
          <w:p>
            <w:r/>
            <w:r>
              <w:rPr>
                <w:rFonts w:ascii="Figtree" w:hAnsi="Figtree"/>
                <w:b w:val="0"/>
                <w:i w:val="0"/>
                <w:sz w:val="22"/>
              </w:rPr>
              <w:t>eWpG, MiCA, MiFID II compliance mapping</w:t>
            </w:r>
          </w:p>
        </w:tc>
      </w:tr>
      <w:tr>
        <w:trPr>
          <w:trHeight w:val="454" w:hRule="atLeast"/>
        </w:trPr>
        <w:tc>
          <w:tcPr>
            <w:tcW w:type="dxa" w:w="4873"/>
            <w:vAlign w:val="center"/>
          </w:tcPr>
          <w:p>
            <w:r/>
            <w:r>
              <w:rPr>
                <w:rFonts w:ascii="Figtree" w:hAnsi="Figtree"/>
                <w:b w:val="0"/>
                <w:i w:val="0"/>
                <w:sz w:val="22"/>
              </w:rPr>
              <w:t>Settlement performance</w:t>
            </w:r>
          </w:p>
        </w:tc>
        <w:tc>
          <w:tcPr>
            <w:tcW w:type="dxa" w:w="4873"/>
            <w:vAlign w:val="center"/>
          </w:tcPr>
          <w:p>
            <w:r/>
            <w:r>
              <w:rPr>
                <w:rFonts w:ascii="Figtree" w:hAnsi="Figtree"/>
                <w:b w:val="0"/>
                <w:i w:val="0"/>
                <w:sz w:val="22"/>
              </w:rPr>
              <w:t>T+0, under 3 seconds median finality</w:t>
            </w:r>
          </w:p>
        </w:tc>
      </w:tr>
      <w:tr>
        <w:trPr>
          <w:trHeight w:val="454" w:hRule="atLeast"/>
        </w:trPr>
        <w:tc>
          <w:tcPr>
            <w:tcW w:type="dxa" w:w="4873"/>
            <w:vAlign w:val="center"/>
          </w:tcPr>
          <w:p>
            <w:r/>
            <w:r>
              <w:rPr>
                <w:rFonts w:ascii="Figtree" w:hAnsi="Figtree"/>
                <w:b w:val="0"/>
                <w:i w:val="0"/>
                <w:sz w:val="22"/>
              </w:rPr>
              <w:t>Pricing model</w:t>
            </w:r>
          </w:p>
        </w:tc>
        <w:tc>
          <w:tcPr>
            <w:tcW w:type="dxa" w:w="4873"/>
            <w:vAlign w:val="center"/>
          </w:tcPr>
          <w:p>
            <w:r/>
            <w:r>
              <w:rPr>
                <w:rFonts w:ascii="Figtree" w:hAnsi="Figtree"/>
                <w:b w:val="0"/>
                <w:i w:val="0"/>
                <w:sz w:val="22"/>
              </w:rPr>
              <w:t>Platform license — zero per-transaction fees</w:t>
            </w:r>
          </w:p>
        </w:tc>
      </w:tr>
      <w:tr>
        <w:trPr>
          <w:trHeight w:val="454" w:hRule="atLeast"/>
        </w:trPr>
        <w:tc>
          <w:tcPr>
            <w:tcW w:type="dxa" w:w="4873"/>
            <w:vAlign w:val="center"/>
          </w:tcPr>
          <w:p>
            <w:r/>
            <w:r>
              <w:rPr>
                <w:rFonts w:ascii="Figtree" w:hAnsi="Figtree"/>
                <w:b w:val="0"/>
                <w:i w:val="0"/>
                <w:sz w:val="22"/>
              </w:rPr>
              <w:t>Integration</w:t>
            </w:r>
          </w:p>
        </w:tc>
        <w:tc>
          <w:tcPr>
            <w:tcW w:type="dxa" w:w="4873"/>
            <w:vAlign w:val="center"/>
          </w:tcPr>
          <w:p>
            <w:r/>
            <w:r>
              <w:rPr>
                <w:rFonts w:ascii="Figtree" w:hAnsi="Figtree"/>
                <w:b w:val="0"/>
                <w:i w:val="0"/>
                <w:sz w:val="22"/>
              </w:rPr>
              <w:t>T2S, SWIFT, Clearstream architecture defined</w:t>
            </w:r>
          </w:p>
        </w:tc>
      </w:tr>
      <w:tr>
        <w:trPr>
          <w:trHeight w:val="454" w:hRule="atLeast"/>
        </w:trPr>
        <w:tc>
          <w:tcPr>
            <w:tcW w:type="dxa" w:w="4873"/>
            <w:vAlign w:val="center"/>
          </w:tcPr>
          <w:p>
            <w:r/>
            <w:r>
              <w:rPr>
                <w:rFonts w:ascii="Figtree" w:hAnsi="Figtree"/>
                <w:b w:val="0"/>
                <w:i w:val="0"/>
                <w:sz w:val="22"/>
              </w:rPr>
              <w:t>Certifications</w:t>
            </w:r>
          </w:p>
        </w:tc>
        <w:tc>
          <w:tcPr>
            <w:tcW w:type="dxa" w:w="4873"/>
            <w:vAlign w:val="center"/>
          </w:tcPr>
          <w:p>
            <w:r/>
            <w:r>
              <w:rPr>
                <w:rFonts w:ascii="Figtree" w:hAnsi="Figtree"/>
                <w:b w:val="0"/>
                <w:i w:val="0"/>
                <w:sz w:val="22"/>
              </w:rPr>
              <w:t>ISO 27001, SOC 2 Type II</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