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Investment Rationale</w:t>
          </w:r>
          <w:r>
            <w:tab/>
          </w:r>
          <w:r>
            <w:t xml:space="preserve">4</w:t>
          </w:r>
        </w:p>
        <w:p>
          <w:pPr>
            <w:pStyle w:val="TOC3"/>
            <w:tabs>
              <w:tab w:val="right" w:leader="dot" w:pos="9072"/>
            </w:tabs>
          </w:pPr>
          <w:r>
            <w:t xml:space="preserve">Cost of Current Approach</w:t>
          </w:r>
          <w:r>
            <w:tab/>
          </w:r>
          <w:r>
            <w:t xml:space="preserve">5</w:t>
          </w:r>
        </w:p>
        <w:p>
          <w:pPr>
            <w:pStyle w:val="TOC3"/>
            <w:tabs>
              <w:tab w:val="right" w:leader="dot" w:pos="9072"/>
            </w:tabs>
          </w:pPr>
          <w:r>
            <w:t xml:space="preserve">Why DALP Changes Economics</w:t>
          </w:r>
          <w:r>
            <w:tab/>
          </w:r>
          <w:r>
            <w:t xml:space="preserve">6</w:t>
          </w:r>
        </w:p>
        <w:p>
          <w:pPr>
            <w:pStyle w:val="TOC3"/>
            <w:tabs>
              <w:tab w:val="right" w:leader="dot" w:pos="9072"/>
            </w:tabs>
          </w:pPr>
          <w:r>
            <w:t xml:space="preserve">ROI Framework</w:t>
          </w:r>
          <w:r>
            <w:tab/>
          </w:r>
          <w:r>
            <w:t xml:space="preserve">7</w:t>
          </w:r>
        </w:p>
        <w:p>
          <w:pPr>
            <w:pStyle w:val="TOC2"/>
            <w:tabs>
              <w:tab w:val="right" w:leader="dot" w:pos="9072"/>
            </w:tabs>
          </w:pPr>
          <w:r>
            <w:t xml:space="preserve">Licensing Model</w:t>
          </w:r>
          <w:r>
            <w:tab/>
          </w:r>
          <w:r>
            <w:t xml:space="preserve">8</w:t>
          </w:r>
        </w:p>
        <w:p>
          <w:pPr>
            <w:pStyle w:val="TOC3"/>
            <w:tabs>
              <w:tab w:val="right" w:leader="dot" w:pos="9072"/>
            </w:tabs>
          </w:pPr>
          <w:r>
            <w:t xml:space="preserve">Platform Licensing Philosophy</w:t>
          </w:r>
          <w:r>
            <w:tab/>
          </w:r>
          <w:r>
            <w:t xml:space="preserve">9</w:t>
          </w:r>
        </w:p>
        <w:p>
          <w:pPr>
            <w:pStyle w:val="TOC3"/>
            <w:tabs>
              <w:tab w:val="right" w:leader="dot" w:pos="9072"/>
            </w:tabs>
          </w:pPr>
          <w:r>
            <w:t xml:space="preserve">What the License Includes</w:t>
          </w:r>
          <w:r>
            <w:tab/>
          </w:r>
          <w:r>
            <w:t xml:space="preserve">10</w:t>
          </w:r>
        </w:p>
        <w:p>
          <w:pPr>
            <w:pStyle w:val="TOC3"/>
            <w:tabs>
              <w:tab w:val="right" w:leader="dot" w:pos="9072"/>
            </w:tabs>
          </w:pPr>
          <w:r>
            <w:t xml:space="preserve">Recommended Tier: Enterprise (Tier 2)</w:t>
          </w:r>
          <w:r>
            <w:tab/>
          </w:r>
          <w:r>
            <w:t xml:space="preserve">11</w:t>
          </w:r>
        </w:p>
        <w:p>
          <w:pPr>
            <w:pStyle w:val="TOC2"/>
            <w:tabs>
              <w:tab w:val="right" w:leader="dot" w:pos="9072"/>
            </w:tabs>
          </w:pPr>
          <w:r>
            <w:t xml:space="preserve">Implementation Pricing</w:t>
          </w:r>
          <w:r>
            <w:tab/>
          </w:r>
          <w:r>
            <w:t xml:space="preserve">12</w:t>
          </w:r>
        </w:p>
        <w:p>
          <w:pPr>
            <w:pStyle w:val="TOC3"/>
            <w:tabs>
              <w:tab w:val="right" w:leader="dot" w:pos="9072"/>
            </w:tabs>
          </w:pPr>
          <w:r>
            <w:t xml:space="preserve">Pricing Structure</w:t>
          </w:r>
          <w:r>
            <w:tab/>
          </w:r>
          <w:r>
            <w:t xml:space="preserve">13</w:t>
          </w:r>
        </w:p>
        <w:p>
          <w:pPr>
            <w:pStyle w:val="TOC3"/>
            <w:tabs>
              <w:tab w:val="right" w:leader="dot" w:pos="9072"/>
            </w:tabs>
          </w:pPr>
          <w:r>
            <w:t xml:space="preserve">Implementation Team</w:t>
          </w:r>
          <w:r>
            <w:tab/>
          </w:r>
          <w:r>
            <w:t xml:space="preserve">14</w:t>
          </w:r>
        </w:p>
        <w:p>
          <w:pPr>
            <w:pStyle w:val="TOC3"/>
            <w:tabs>
              <w:tab w:val="right" w:leader="dot" w:pos="9072"/>
            </w:tabs>
          </w:pPr>
          <w:r>
            <w:t xml:space="preserve">Client Effort Assumptions</w:t>
          </w:r>
          <w:r>
            <w:tab/>
          </w:r>
          <w:r>
            <w:t xml:space="preserve">15</w:t>
          </w:r>
        </w:p>
        <w:p>
          <w:pPr>
            <w:pStyle w:val="TOC2"/>
            <w:tabs>
              <w:tab w:val="right" w:leader="dot" w:pos="9072"/>
            </w:tabs>
          </w:pPr>
          <w:r>
            <w:t xml:space="preserve">Support Pricing</w:t>
          </w:r>
          <w:r>
            <w:tab/>
          </w:r>
          <w:r>
            <w:t xml:space="preserve">16</w:t>
          </w:r>
        </w:p>
        <w:p>
          <w:pPr>
            <w:pStyle w:val="TOC3"/>
            <w:tabs>
              <w:tab w:val="right" w:leader="dot" w:pos="9072"/>
            </w:tabs>
          </w:pPr>
          <w:r>
            <w:t xml:space="preserve">Recommended: Premium Support</w:t>
          </w:r>
          <w:r>
            <w:tab/>
          </w:r>
          <w:r>
            <w:t xml:space="preserve">17</w:t>
          </w:r>
        </w:p>
        <w:p>
          <w:pPr>
            <w:pStyle w:val="TOC3"/>
            <w:tabs>
              <w:tab w:val="right" w:leader="dot" w:pos="9072"/>
            </w:tabs>
          </w:pPr>
          <w:r>
            <w:t xml:space="preserve">Support Tier Comparison</w:t>
          </w:r>
          <w:r>
            <w:tab/>
          </w:r>
          <w:r>
            <w:t xml:space="preserve">18</w:t>
          </w:r>
        </w:p>
        <w:p>
          <w:pPr>
            <w:pStyle w:val="TOC2"/>
            <w:tabs>
              <w:tab w:val="right" w:leader="dot" w:pos="9072"/>
            </w:tabs>
          </w:pPr>
          <w:r>
            <w:t xml:space="preserve">Total Cost of Ownership</w:t>
          </w:r>
          <w:r>
            <w:tab/>
          </w:r>
          <w:r>
            <w:t xml:space="preserve">19</w:t>
          </w:r>
        </w:p>
        <w:p>
          <w:pPr>
            <w:pStyle w:val="TOC3"/>
            <w:tabs>
              <w:tab w:val="right" w:leader="dot" w:pos="9072"/>
            </w:tabs>
          </w:pPr>
          <w:r>
            <w:t xml:space="preserve">Three-Year TCO Structure</w:t>
          </w:r>
          <w:r>
            <w:tab/>
          </w:r>
          <w:r>
            <w:t xml:space="preserve">20</w:t>
          </w:r>
        </w:p>
        <w:p>
          <w:pPr>
            <w:pStyle w:val="TOC3"/>
            <w:tabs>
              <w:tab w:val="right" w:leader="dot" w:pos="9072"/>
            </w:tabs>
          </w:pPr>
          <w:r>
            <w:t xml:space="preserve">TCO vs. Build Decision</w:t>
          </w:r>
          <w:r>
            <w:tab/>
          </w:r>
          <w:r>
            <w:t xml:space="preserve">21</w:t>
          </w:r>
        </w:p>
        <w:p>
          <w:pPr>
            <w:pStyle w:val="TOC2"/>
            <w:tabs>
              <w:tab w:val="right" w:leader="dot" w:pos="9072"/>
            </w:tabs>
          </w:pPr>
          <w:r>
            <w:t xml:space="preserve">Payment Terms</w:t>
          </w:r>
          <w:r>
            <w:tab/>
          </w:r>
          <w:r>
            <w:t xml:space="preserve">22</w:t>
          </w:r>
        </w:p>
        <w:p>
          <w:pPr>
            <w:pStyle w:val="TOC3"/>
            <w:tabs>
              <w:tab w:val="right" w:leader="dot" w:pos="9072"/>
            </w:tabs>
          </w:pPr>
          <w:r>
            <w:t xml:space="preserve">Standard Payment Schedule</w:t>
          </w:r>
          <w:r>
            <w:tab/>
          </w:r>
          <w:r>
            <w:t xml:space="preserve">23</w:t>
          </w:r>
        </w:p>
        <w:p>
          <w:pPr>
            <w:pStyle w:val="TOC3"/>
            <w:tabs>
              <w:tab w:val="right" w:leader="dot" w:pos="9072"/>
            </w:tabs>
          </w:pPr>
          <w:r>
            <w:t xml:space="preserve">Commercial Assumptions</w:t>
          </w:r>
          <w:r>
            <w:tab/>
          </w:r>
          <w:r>
            <w:t xml:space="preserve">24</w:t>
          </w:r>
        </w:p>
        <w:p>
          <w:pPr>
            <w:pStyle w:val="TOC2"/>
            <w:tabs>
              <w:tab w:val="right" w:leader="dot" w:pos="9072"/>
            </w:tabs>
          </w:pPr>
          <w:r>
            <w:t xml:space="preserve">Value Summary</w:t>
          </w:r>
          <w:r>
            <w:tab/>
          </w:r>
          <w:r>
            <w:t xml:space="preserve">25</w:t>
          </w:r>
        </w:p>
        <w:p>
          <w:pPr>
            <w:pStyle w:val="TOC2"/>
            <w:tabs>
              <w:tab w:val="right" w:leader="dot" w:pos="9072"/>
            </w:tabs>
          </w:pPr>
          <w:r>
            <w:t xml:space="preserve">Detailed Commercial Analysis</w:t>
          </w:r>
          <w:r>
            <w:tab/>
          </w:r>
          <w:r>
            <w:t xml:space="preserve">26</w:t>
          </w:r>
        </w:p>
        <w:p>
          <w:pPr>
            <w:pStyle w:val="TOC3"/>
            <w:tabs>
              <w:tab w:val="right" w:leader="dot" w:pos="9072"/>
            </w:tabs>
          </w:pPr>
          <w:r>
            <w:t xml:space="preserve">Buy vs. Build Analysis</w:t>
          </w:r>
          <w:r>
            <w:tab/>
          </w:r>
          <w:r>
            <w:t xml:space="preserve">27</w:t>
          </w:r>
        </w:p>
        <w:p>
          <w:pPr>
            <w:pStyle w:val="TOC3"/>
            <w:tabs>
              <w:tab w:val="right" w:leader="dot" w:pos="9072"/>
            </w:tabs>
          </w:pPr>
          <w:r>
            <w:t xml:space="preserve">Licensing Economics Deep Dive</w:t>
          </w:r>
          <w:r>
            <w:tab/>
          </w:r>
          <w:r>
            <w:t xml:space="preserve">28</w:t>
          </w:r>
        </w:p>
        <w:p>
          <w:pPr>
            <w:pStyle w:val="TOC3"/>
            <w:tabs>
              <w:tab w:val="right" w:leader="dot" w:pos="9072"/>
            </w:tabs>
          </w:pPr>
          <w:r>
            <w:t xml:space="preserve">Infrastructure Cost Estimates</w:t>
          </w:r>
          <w:r>
            <w:tab/>
          </w:r>
          <w:r>
            <w:t xml:space="preserve">29</w:t>
          </w:r>
        </w:p>
        <w:p>
          <w:pPr>
            <w:pStyle w:val="TOC3"/>
            <w:tabs>
              <w:tab w:val="right" w:leader="dot" w:pos="9072"/>
            </w:tabs>
          </w:pPr>
          <w:r>
            <w:t xml:space="preserve">Contract Structure</w:t>
          </w:r>
          <w:r>
            <w:tab/>
          </w:r>
          <w:r>
            <w:t xml:space="preserve">30</w:t>
          </w:r>
        </w:p>
        <w:p>
          <w:pPr>
            <w:pStyle w:val="TOC3"/>
            <w:tabs>
              <w:tab w:val="right" w:leader="dot" w:pos="9072"/>
            </w:tabs>
          </w:pPr>
          <w:r>
            <w:t xml:space="preserve">Operational Cost Comparison (3-Year View)</w:t>
          </w:r>
          <w:r>
            <w:tab/>
          </w:r>
          <w:r>
            <w:t xml:space="preserve">31</w:t>
          </w:r>
        </w:p>
        <w:p>
          <w:pPr>
            <w:pStyle w:val="TOC3"/>
            <w:tabs>
              <w:tab w:val="right" w:leader="dot" w:pos="9072"/>
            </w:tabs>
          </w:pPr>
          <w:r>
            <w:t xml:space="preserve">Value Realization Timeline</w:t>
          </w:r>
          <w:r>
            <w:tab/>
          </w:r>
          <w:r>
            <w:t xml:space="preserve">32</w:t>
          </w:r>
        </w:p>
        <w:p>
          <w:pPr>
            <w:pStyle w:val="TOC2"/>
            <w:tabs>
              <w:tab w:val="right" w:leader="dot" w:pos="9072"/>
            </w:tabs>
          </w:pPr>
          <w:r>
            <w:t xml:space="preserve">Next Steps</w:t>
          </w:r>
          <w:r>
            <w:tab/>
          </w:r>
          <w:r>
            <w:t xml:space="preserve">33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9"/>
        <w:gridCol w:w="70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Deposits and Trade Finance Liquidity Rails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Emirates NBD</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EMIRATES-NBD-RFP-TOKENIZED-DEPOSITS-TRADE-FINANCE-202603</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Emirates NBD requires a platform and delivery partner capable of bringing tokenized deposits and trade finance liquidity rails to production with the discipline, transparency, and governance expected of a core regulated system. This commercial proposal presents SettleMint's licensing, implementation, and support model for the Digital Asset Lifecycle Platform (DALP) —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UAE-resident infrastructure (AWS Bahrain or Azure UAE North)</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16×5 coverage (Sunday–Thursday UAE alignment),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is fundamentally different from transaction-based pricing: Emirates NBD pays a predictable annual subscription with no per-transaction, per-token, per-user, or per-asset fees. This means the bank can scale deposit volumes, trade finance counterparties, product range, and investor base without incurring incremental platform costs. Compliance checks, settlement operations, and trade workflow events — which occur at high frequency in production — carry zero marginal licensing cost.</w:t>
      </w:r>
    </w:p>
    <w:p>
      <w:r>
        <w:rPr>
          <w:rFonts w:ascii="Figtree" w:hAnsi="Figtree"/>
          <w:b/>
          <w:i w:val="0"/>
          <w:sz w:val="22"/>
        </w:rPr>
        <w:t>Decision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3"/>
        <w:gridCol w:w="655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Recommendation</w:t>
            </w:r>
          </w:p>
        </w:tc>
      </w:tr>
      <w:tr>
        <w:trPr>
          <w:trHeight w:val="425" w:hRule="atLeast"/>
        </w:trPr>
        <w:tc>
          <w:tcPr>
            <w:tcW w:type="dxa" w:w="4873"/>
            <w:vAlign w:val="center"/>
          </w:tcPr>
          <w:p>
            <w:pPr>
              <w:spacing w:line="276" w:lineRule="auto" w:before="0" w:after="0"/>
            </w:pPr>
            <w:r/>
            <w:r>
              <w:rPr>
                <w:rFonts w:ascii="Figtree" w:hAnsi="Figtree"/>
                <w:b w:val="0"/>
                <w:i w:val="0"/>
                <w:sz w:val="20"/>
              </w:rPr>
              <w:t>Client objective</w:t>
            </w:r>
          </w:p>
        </w:tc>
        <w:tc>
          <w:tcPr>
            <w:tcW w:type="dxa" w:w="4873"/>
            <w:vAlign w:val="center"/>
          </w:tcPr>
          <w:p>
            <w:pPr>
              <w:spacing w:line="276" w:lineRule="auto" w:before="0" w:after="0"/>
            </w:pPr>
            <w:r/>
            <w:r>
              <w:rPr>
                <w:rFonts w:ascii="Figtree" w:hAnsi="Figtree"/>
                <w:b w:val="0"/>
                <w:i w:val="0"/>
                <w:sz w:val="20"/>
              </w:rPr>
              <w:t>Production-grade tokenized deposits + trade finance rails</w:t>
            </w:r>
          </w:p>
        </w:tc>
      </w:tr>
      <w:tr>
        <w:trPr>
          <w:trHeight w:val="425" w:hRule="atLeast"/>
        </w:trPr>
        <w:tc>
          <w:tcPr>
            <w:tcW w:type="dxa" w:w="4873"/>
            <w:vAlign w:val="center"/>
          </w:tcPr>
          <w:p>
            <w:pPr>
              <w:spacing w:line="276" w:lineRule="auto" w:before="0" w:after="0"/>
            </w:pPr>
            <w:r/>
            <w:r>
              <w:rPr>
                <w:rFonts w:ascii="Figtree" w:hAnsi="Figtree"/>
                <w:b w:val="0"/>
                <w:i w:val="0"/>
                <w:sz w:val="20"/>
              </w:rPr>
              <w:t>Recommended model</w:t>
            </w:r>
          </w:p>
        </w:tc>
        <w:tc>
          <w:tcPr>
            <w:tcW w:type="dxa" w:w="4873"/>
            <w:vAlign w:val="center"/>
          </w:tcPr>
          <w:p>
            <w:pPr>
              <w:spacing w:line="276" w:lineRule="auto" w:before="0" w:after="0"/>
            </w:pPr>
            <w:r/>
            <w:r>
              <w:rPr>
                <w:rFonts w:ascii="Figtree" w:hAnsi="Figtree"/>
                <w:b w:val="0"/>
                <w:i w:val="0"/>
                <w:sz w:val="20"/>
              </w:rPr>
              <w:t>Enterprise license + dedicated cloud + Premium support</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timeline</w:t>
            </w:r>
          </w:p>
        </w:tc>
        <w:tc>
          <w:tcPr>
            <w:tcW w:type="dxa" w:w="4873"/>
            <w:vAlign w:val="center"/>
          </w:tcPr>
          <w:p>
            <w:pPr>
              <w:spacing w:line="276" w:lineRule="auto" w:before="0" w:after="0"/>
            </w:pPr>
            <w:r/>
            <w:r>
              <w:rPr>
                <w:rFonts w:ascii="Figtree" w:hAnsi="Figtree"/>
                <w:b w:val="0"/>
                <w:i w:val="0"/>
                <w:sz w:val="20"/>
              </w:rPr>
              <w:t>19 weeks (first production asset at Week 13)</w:t>
            </w:r>
          </w:p>
        </w:tc>
      </w:tr>
      <w:tr>
        <w:trPr>
          <w:trHeight w:val="425" w:hRule="atLeast"/>
        </w:trPr>
        <w:tc>
          <w:tcPr>
            <w:tcW w:type="dxa" w:w="4873"/>
            <w:vAlign w:val="center"/>
          </w:tcPr>
          <w:p>
            <w:pPr>
              <w:spacing w:line="276" w:lineRule="auto" w:before="0" w:after="0"/>
            </w:pPr>
            <w:r/>
            <w:r>
              <w:rPr>
                <w:rFonts w:ascii="Figtree" w:hAnsi="Figtree"/>
                <w:b w:val="0"/>
                <w:i w:val="0"/>
                <w:sz w:val="20"/>
              </w:rPr>
              <w:t>Commercial headline</w:t>
            </w:r>
          </w:p>
        </w:tc>
        <w:tc>
          <w:tcPr>
            <w:tcW w:type="dxa" w:w="4873"/>
            <w:vAlign w:val="center"/>
          </w:tcPr>
          <w:p>
            <w:pPr>
              <w:spacing w:line="276" w:lineRule="auto" w:before="0" w:after="0"/>
            </w:pPr>
            <w:r/>
            <w:r>
              <w:rPr>
                <w:rFonts w:ascii="Figtree" w:hAnsi="Figtree"/>
                <w:b w:val="0"/>
                <w:i w:val="0"/>
                <w:sz w:val="20"/>
              </w:rPr>
              <w:t>Predictable subscription; no per-transaction fees; scale without cost anxiety</w:t>
            </w:r>
          </w:p>
        </w:tc>
      </w:tr>
    </w:tbl>
    <w:p>
      <w:pPr>
        <w:spacing w:before="0" w:after="0" w:line="120" w:lineRule="exact"/>
      </w:pP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Emirates NBD's current trade finance and deposit infrastructure involves multiple disconnected systems, manual reconciliation processes, multi-day settlement cycles, and custody intermediary costs. The hidden costs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0"/>
        <w:gridCol w:w="3612"/>
        <w:gridCol w:w="33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3249"/>
            <w:vAlign w:val="center"/>
          </w:tcPr>
          <w:p>
            <w:pPr>
              <w:spacing w:line="276" w:lineRule="auto" w:before="0" w:after="0"/>
            </w:pPr>
            <w:r/>
            <w:r>
              <w:rPr>
                <w:rFonts w:ascii="Figtree" w:hAnsi="Figtree"/>
                <w:b w:val="0"/>
                <w:i w:val="0"/>
                <w:sz w:val="20"/>
              </w:rPr>
              <w:t>Settlement delay</w:t>
            </w:r>
          </w:p>
        </w:tc>
        <w:tc>
          <w:tcPr>
            <w:tcW w:type="dxa" w:w="3249"/>
            <w:vAlign w:val="center"/>
          </w:tcPr>
          <w:p>
            <w:pPr>
              <w:spacing w:line="276" w:lineRule="auto" w:before="0" w:after="0"/>
            </w:pPr>
            <w:r/>
            <w:r>
              <w:rPr>
                <w:rFonts w:ascii="Figtree" w:hAnsi="Figtree"/>
                <w:b w:val="0"/>
                <w:i w:val="0"/>
                <w:sz w:val="20"/>
              </w:rPr>
              <w:t>T+2 to T+5 for trade finance</w:t>
            </w:r>
          </w:p>
        </w:tc>
        <w:tc>
          <w:tcPr>
            <w:tcW w:type="dxa" w:w="3249"/>
            <w:vAlign w:val="center"/>
          </w:tcPr>
          <w:p>
            <w:pPr>
              <w:spacing w:line="276" w:lineRule="auto" w:before="0" w:after="0"/>
            </w:pPr>
            <w:r/>
            <w:r>
              <w:rPr>
                <w:rFonts w:ascii="Figtree" w:hAnsi="Figtree"/>
                <w:b w:val="0"/>
                <w:i w:val="0"/>
                <w:sz w:val="20"/>
              </w:rPr>
              <w:t>Counterparty risk, capital lock-up</w:t>
            </w:r>
          </w:p>
        </w:tc>
      </w:tr>
      <w:tr>
        <w:trPr>
          <w:trHeight w:val="425" w:hRule="atLeast"/>
        </w:trPr>
        <w:tc>
          <w:tcPr>
            <w:tcW w:type="dxa" w:w="3249"/>
            <w:vAlign w:val="center"/>
          </w:tcPr>
          <w:p>
            <w:pPr>
              <w:spacing w:line="276" w:lineRule="auto" w:before="0" w:after="0"/>
            </w:pPr>
            <w:r/>
            <w:r>
              <w:rPr>
                <w:rFonts w:ascii="Figtree" w:hAnsi="Figtree"/>
                <w:b w:val="0"/>
                <w:i w:val="0"/>
                <w:sz w:val="20"/>
              </w:rPr>
              <w:t>Manual reconciliation</w:t>
            </w:r>
          </w:p>
        </w:tc>
        <w:tc>
          <w:tcPr>
            <w:tcW w:type="dxa" w:w="3249"/>
            <w:vAlign w:val="center"/>
          </w:tcPr>
          <w:p>
            <w:pPr>
              <w:spacing w:line="276" w:lineRule="auto" w:before="0" w:after="0"/>
            </w:pPr>
            <w:r/>
            <w:r>
              <w:rPr>
                <w:rFonts w:ascii="Figtree" w:hAnsi="Figtree"/>
                <w:b w:val="0"/>
                <w:i w:val="0"/>
                <w:sz w:val="20"/>
              </w:rPr>
              <w:t>Core banking ↔ trade finance ↔ treasury</w:t>
            </w:r>
          </w:p>
        </w:tc>
        <w:tc>
          <w:tcPr>
            <w:tcW w:type="dxa" w:w="3249"/>
            <w:vAlign w:val="center"/>
          </w:tcPr>
          <w:p>
            <w:pPr>
              <w:spacing w:line="276" w:lineRule="auto" w:before="0" w:after="0"/>
            </w:pPr>
            <w:r/>
            <w:r>
              <w:rPr>
                <w:rFonts w:ascii="Figtree" w:hAnsi="Figtree"/>
                <w:b w:val="0"/>
                <w:i w:val="0"/>
                <w:sz w:val="20"/>
              </w:rPr>
              <w:t>15–25 person-days per month (estimate)</w:t>
            </w:r>
          </w:p>
        </w:tc>
      </w:tr>
      <w:tr>
        <w:trPr>
          <w:trHeight w:val="425" w:hRule="atLeast"/>
        </w:trPr>
        <w:tc>
          <w:tcPr>
            <w:tcW w:type="dxa" w:w="3249"/>
            <w:vAlign w:val="center"/>
          </w:tcPr>
          <w:p>
            <w:pPr>
              <w:spacing w:line="276" w:lineRule="auto" w:before="0" w:after="0"/>
            </w:pPr>
            <w:r/>
            <w:r>
              <w:rPr>
                <w:rFonts w:ascii="Figtree" w:hAnsi="Figtree"/>
                <w:b w:val="0"/>
                <w:i w:val="0"/>
                <w:sz w:val="20"/>
              </w:rPr>
              <w:t>Custody intermediaries</w:t>
            </w:r>
          </w:p>
        </w:tc>
        <w:tc>
          <w:tcPr>
            <w:tcW w:type="dxa" w:w="3249"/>
            <w:vAlign w:val="center"/>
          </w:tcPr>
          <w:p>
            <w:pPr>
              <w:spacing w:line="276" w:lineRule="auto" w:before="0" w:after="0"/>
            </w:pPr>
            <w:r/>
            <w:r>
              <w:rPr>
                <w:rFonts w:ascii="Figtree" w:hAnsi="Figtree"/>
                <w:b w:val="0"/>
                <w:i w:val="0"/>
                <w:sz w:val="20"/>
              </w:rPr>
              <w:t>Multiple custody layers for cross-border</w:t>
            </w:r>
          </w:p>
        </w:tc>
        <w:tc>
          <w:tcPr>
            <w:tcW w:type="dxa" w:w="3249"/>
            <w:vAlign w:val="center"/>
          </w:tcPr>
          <w:p>
            <w:pPr>
              <w:spacing w:line="276" w:lineRule="auto" w:before="0" w:after="0"/>
            </w:pPr>
            <w:r/>
            <w:r>
              <w:rPr>
                <w:rFonts w:ascii="Figtree" w:hAnsi="Figtree"/>
                <w:b w:val="0"/>
                <w:i w:val="0"/>
                <w:sz w:val="20"/>
              </w:rPr>
              <w:t>Fee accumulation, operational complexity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duplication</w:t>
            </w:r>
          </w:p>
        </w:tc>
        <w:tc>
          <w:tcPr>
            <w:tcW w:type="dxa" w:w="3249"/>
            <w:vAlign w:val="center"/>
          </w:tcPr>
          <w:p>
            <w:pPr>
              <w:spacing w:line="276" w:lineRule="auto" w:before="0" w:after="0"/>
            </w:pPr>
            <w:r/>
            <w:r>
              <w:rPr>
                <w:rFonts w:ascii="Figtree" w:hAnsi="Figtree"/>
                <w:b w:val="0"/>
                <w:i w:val="0"/>
                <w:sz w:val="20"/>
              </w:rPr>
              <w:t>Separate compliance checks per system</w:t>
            </w:r>
          </w:p>
        </w:tc>
        <w:tc>
          <w:tcPr>
            <w:tcW w:type="dxa" w:w="3249"/>
            <w:vAlign w:val="center"/>
          </w:tcPr>
          <w:p>
            <w:pPr>
              <w:spacing w:line="276" w:lineRule="auto" w:before="0" w:after="0"/>
            </w:pPr>
            <w:r/>
            <w:r>
              <w:rPr>
                <w:rFonts w:ascii="Figtree" w:hAnsi="Figtree"/>
                <w:b w:val="0"/>
                <w:i w:val="0"/>
                <w:sz w:val="20"/>
              </w:rPr>
              <w:t>Audit friction, inconsistent evidence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 maintenance</w:t>
            </w:r>
          </w:p>
        </w:tc>
        <w:tc>
          <w:tcPr>
            <w:tcW w:type="dxa" w:w="3249"/>
            <w:vAlign w:val="center"/>
          </w:tcPr>
          <w:p>
            <w:pPr>
              <w:spacing w:line="276" w:lineRule="auto" w:before="0" w:after="0"/>
            </w:pPr>
            <w:r/>
            <w:r>
              <w:rPr>
                <w:rFonts w:ascii="Figtree" w:hAnsi="Figtree"/>
                <w:b w:val="0"/>
                <w:i w:val="0"/>
                <w:sz w:val="20"/>
              </w:rPr>
              <w:t>Point-to-point integrations</w:t>
            </w:r>
          </w:p>
        </w:tc>
        <w:tc>
          <w:tcPr>
            <w:tcW w:type="dxa" w:w="3249"/>
            <w:vAlign w:val="center"/>
          </w:tcPr>
          <w:p>
            <w:pPr>
              <w:spacing w:line="276" w:lineRule="auto" w:before="0" w:after="0"/>
            </w:pPr>
            <w:r/>
            <w:r>
              <w:rPr>
                <w:rFonts w:ascii="Figtree" w:hAnsi="Figtree"/>
                <w:b w:val="0"/>
                <w:i w:val="0"/>
                <w:sz w:val="20"/>
              </w:rPr>
              <w:t>Fragile, expensive to modify</w:t>
            </w:r>
          </w:p>
        </w:tc>
      </w:tr>
      <w:tr>
        <w:trPr>
          <w:trHeight w:val="425" w:hRule="atLeast"/>
        </w:trPr>
        <w:tc>
          <w:tcPr>
            <w:tcW w:type="dxa" w:w="3249"/>
            <w:vAlign w:val="center"/>
          </w:tcPr>
          <w:p>
            <w:pPr>
              <w:spacing w:line="276" w:lineRule="auto" w:before="0" w:after="0"/>
            </w:pPr>
            <w:r/>
            <w:r>
              <w:rPr>
                <w:rFonts w:ascii="Figtree" w:hAnsi="Figtree"/>
                <w:b w:val="0"/>
                <w:i w:val="0"/>
                <w:sz w:val="20"/>
              </w:rPr>
              <w:t>Multi-vendor coordination</w:t>
            </w:r>
          </w:p>
        </w:tc>
        <w:tc>
          <w:tcPr>
            <w:tcW w:type="dxa" w:w="3249"/>
            <w:vAlign w:val="center"/>
          </w:tcPr>
          <w:p>
            <w:pPr>
              <w:spacing w:line="276" w:lineRule="auto" w:before="0" w:after="0"/>
            </w:pPr>
            <w:r/>
            <w:r>
              <w:rPr>
                <w:rFonts w:ascii="Figtree" w:hAnsi="Figtree"/>
                <w:b w:val="0"/>
                <w:i w:val="0"/>
                <w:sz w:val="20"/>
              </w:rPr>
              <w:t>Separate vendors for different capabilities</w:t>
            </w:r>
          </w:p>
        </w:tc>
        <w:tc>
          <w:tcPr>
            <w:tcW w:type="dxa" w:w="3249"/>
            <w:vAlign w:val="center"/>
          </w:tcPr>
          <w:p>
            <w:pPr>
              <w:spacing w:line="276" w:lineRule="auto" w:before="0" w:after="0"/>
            </w:pPr>
            <w:r/>
            <w:r>
              <w:rPr>
                <w:rFonts w:ascii="Figtree" w:hAnsi="Figtree"/>
                <w:b w:val="0"/>
                <w:i w:val="0"/>
                <w:sz w:val="20"/>
              </w:rPr>
              <w:t>SLA gaps, unowned responsibilities</w:t>
            </w:r>
          </w:p>
        </w:tc>
      </w:tr>
    </w:tbl>
    <w:p>
      <w:pPr>
        <w:spacing w:before="0" w:after="0" w:line="120" w:lineRule="exact"/>
      </w:pPr>
    </w:p>
    <w:p>
      <w:pPr>
        <w:pStyle w:val="H3"/>
        <w:numPr>
          <w:ilvl w:val="2"/>
          <w:numId w:val="1"/>
        </w:numPr>
      </w:pPr>
      <w:r>
        <w:t>Why DALP Changes Economics</w:t>
      </w:r>
    </w:p>
    <w:p>
      <w:r>
        <w:rPr>
          <w:rFonts w:ascii="Figtree" w:hAnsi="Figtree"/>
          <w:b w:val="0"/>
          <w:i w:val="0"/>
          <w:sz w:val="22"/>
        </w:rPr>
        <w:t>DALP collapses multiple lifecycle capabilities into a single governed platform, changing the economic profile: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38"/>
        <w:gridCol w:w="3647"/>
        <w:gridCol w:w="30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r>
      <w:tr>
        <w:trPr>
          <w:trHeight w:val="425" w:hRule="atLeast"/>
        </w:trPr>
        <w:tc>
          <w:tcPr>
            <w:tcW w:type="dxa" w:w="3249"/>
            <w:vAlign w:val="center"/>
          </w:tcPr>
          <w:p>
            <w:pPr>
              <w:spacing w:line="276" w:lineRule="auto" w:before="0" w:after="0"/>
            </w:pPr>
            <w:r/>
            <w:r>
              <w:rPr>
                <w:rFonts w:ascii="Figtree" w:hAnsi="Figtree"/>
                <w:b w:val="0"/>
                <w:i w:val="0"/>
                <w:sz w:val="20"/>
              </w:rPr>
              <w:t>Settlement delay</w:t>
            </w:r>
          </w:p>
        </w:tc>
        <w:tc>
          <w:tcPr>
            <w:tcW w:type="dxa" w:w="3249"/>
            <w:vAlign w:val="center"/>
          </w:tcPr>
          <w:p>
            <w:pPr>
              <w:spacing w:line="276" w:lineRule="auto" w:before="0" w:after="0"/>
            </w:pPr>
            <w:r/>
            <w:r>
              <w:rPr>
                <w:rFonts w:ascii="Figtree" w:hAnsi="Figtree"/>
                <w:b w:val="0"/>
                <w:i w:val="0"/>
                <w:sz w:val="20"/>
              </w:rPr>
              <w:t>T+0 (atomic, under 3 seconds)</w:t>
            </w:r>
          </w:p>
        </w:tc>
        <w:tc>
          <w:tcPr>
            <w:tcW w:type="dxa" w:w="3249"/>
            <w:vAlign w:val="center"/>
          </w:tcPr>
          <w:p>
            <w:pPr>
              <w:spacing w:line="276" w:lineRule="auto" w:before="0" w:after="0"/>
            </w:pPr>
            <w:r/>
            <w:r>
              <w:rPr>
                <w:rFonts w:ascii="Figtree" w:hAnsi="Figtree"/>
                <w:b w:val="0"/>
                <w:i w:val="0"/>
                <w:sz w:val="20"/>
              </w:rPr>
              <w:t>XvP settlement addon</w:t>
            </w:r>
          </w:p>
        </w:tc>
      </w:tr>
      <w:tr>
        <w:trPr>
          <w:trHeight w:val="425" w:hRule="atLeast"/>
        </w:trPr>
        <w:tc>
          <w:tcPr>
            <w:tcW w:type="dxa" w:w="3249"/>
            <w:vAlign w:val="center"/>
          </w:tcPr>
          <w:p>
            <w:pPr>
              <w:spacing w:line="276" w:lineRule="auto" w:before="0" w:after="0"/>
            </w:pPr>
            <w:r/>
            <w:r>
              <w:rPr>
                <w:rFonts w:ascii="Figtree" w:hAnsi="Figtree"/>
                <w:b w:val="0"/>
                <w:i w:val="0"/>
                <w:sz w:val="20"/>
              </w:rPr>
              <w:t>Manual reconciliation</w:t>
            </w:r>
          </w:p>
        </w:tc>
        <w:tc>
          <w:tcPr>
            <w:tcW w:type="dxa" w:w="3249"/>
            <w:vAlign w:val="center"/>
          </w:tcPr>
          <w:p>
            <w:pPr>
              <w:spacing w:line="276" w:lineRule="auto" w:before="0" w:after="0"/>
            </w:pPr>
            <w:r/>
            <w:r>
              <w:rPr>
                <w:rFonts w:ascii="Figtree" w:hAnsi="Figtree"/>
                <w:b w:val="0"/>
                <w:i w:val="0"/>
                <w:sz w:val="20"/>
              </w:rPr>
              <w:t>Reduced to exception handling</w:t>
            </w:r>
          </w:p>
        </w:tc>
        <w:tc>
          <w:tcPr>
            <w:tcW w:type="dxa" w:w="3249"/>
            <w:vAlign w:val="center"/>
          </w:tcPr>
          <w:p>
            <w:pPr>
              <w:spacing w:line="276" w:lineRule="auto" w:before="0" w:after="0"/>
            </w:pPr>
            <w:r/>
            <w:r>
              <w:rPr>
                <w:rFonts w:ascii="Figtree" w:hAnsi="Figtree"/>
                <w:b w:val="0"/>
                <w:i w:val="0"/>
                <w:sz w:val="20"/>
              </w:rPr>
              <w:t>API-driven bidirectional sync</w:t>
            </w:r>
          </w:p>
        </w:tc>
      </w:tr>
      <w:tr>
        <w:trPr>
          <w:trHeight w:val="425" w:hRule="atLeast"/>
        </w:trPr>
        <w:tc>
          <w:tcPr>
            <w:tcW w:type="dxa" w:w="3249"/>
            <w:vAlign w:val="center"/>
          </w:tcPr>
          <w:p>
            <w:pPr>
              <w:spacing w:line="276" w:lineRule="auto" w:before="0" w:after="0"/>
            </w:pPr>
            <w:r/>
            <w:r>
              <w:rPr>
                <w:rFonts w:ascii="Figtree" w:hAnsi="Figtree"/>
                <w:b w:val="0"/>
                <w:i w:val="0"/>
                <w:sz w:val="20"/>
              </w:rPr>
              <w:t>Custody intermediaries</w:t>
            </w:r>
          </w:p>
        </w:tc>
        <w:tc>
          <w:tcPr>
            <w:tcW w:type="dxa" w:w="3249"/>
            <w:vAlign w:val="center"/>
          </w:tcPr>
          <w:p>
            <w:pPr>
              <w:spacing w:line="276" w:lineRule="auto" w:before="0" w:after="0"/>
            </w:pPr>
            <w:r/>
            <w:r>
              <w:rPr>
                <w:rFonts w:ascii="Figtree" w:hAnsi="Figtree"/>
                <w:b w:val="0"/>
                <w:i w:val="0"/>
                <w:sz w:val="20"/>
              </w:rPr>
              <w:t>Bring-your-own; single integration</w:t>
            </w:r>
          </w:p>
        </w:tc>
        <w:tc>
          <w:tcPr>
            <w:tcW w:type="dxa" w:w="3249"/>
            <w:vAlign w:val="center"/>
          </w:tcPr>
          <w:p>
            <w:pPr>
              <w:spacing w:line="276" w:lineRule="auto" w:before="0" w:after="0"/>
            </w:pPr>
            <w:r/>
            <w:r>
              <w:rPr>
                <w:rFonts w:ascii="Figtree" w:hAnsi="Figtree"/>
                <w:b w:val="0"/>
                <w:i w:val="0"/>
                <w:sz w:val="20"/>
              </w:rPr>
              <w:t>Key Guardian + DFNS/Fireblocks</w:t>
            </w:r>
          </w:p>
        </w:tc>
      </w:tr>
      <w:tr>
        <w:trPr>
          <w:trHeight w:val="425" w:hRule="atLeast"/>
        </w:trPr>
        <w:tc>
          <w:tcPr>
            <w:tcW w:type="dxa" w:w="3249"/>
            <w:vAlign w:val="center"/>
          </w:tcPr>
          <w:p>
            <w:pPr>
              <w:spacing w:line="276" w:lineRule="auto" w:before="0" w:after="0"/>
            </w:pPr>
            <w:r/>
            <w:r>
              <w:rPr>
                <w:rFonts w:ascii="Figtree" w:hAnsi="Figtree"/>
                <w:b w:val="0"/>
                <w:i w:val="0"/>
                <w:sz w:val="20"/>
              </w:rPr>
              <w:t>Compliance duplication</w:t>
            </w:r>
          </w:p>
        </w:tc>
        <w:tc>
          <w:tcPr>
            <w:tcW w:type="dxa" w:w="3249"/>
            <w:vAlign w:val="center"/>
          </w:tcPr>
          <w:p>
            <w:pPr>
              <w:spacing w:line="276" w:lineRule="auto" w:before="0" w:after="0"/>
            </w:pPr>
            <w:r/>
            <w:r>
              <w:rPr>
                <w:rFonts w:ascii="Figtree" w:hAnsi="Figtree"/>
                <w:b w:val="0"/>
                <w:i w:val="0"/>
                <w:sz w:val="20"/>
              </w:rPr>
              <w:t>Single compliance engine for all assets</w:t>
            </w:r>
          </w:p>
        </w:tc>
        <w:tc>
          <w:tcPr>
            <w:tcW w:type="dxa" w:w="3249"/>
            <w:vAlign w:val="center"/>
          </w:tcPr>
          <w:p>
            <w:pPr>
              <w:spacing w:line="276" w:lineRule="auto" w:before="0" w:after="0"/>
            </w:pPr>
            <w:r/>
            <w:r>
              <w:rPr>
                <w:rFonts w:ascii="Figtree" w:hAnsi="Figtree"/>
                <w:b w:val="0"/>
                <w:i w:val="0"/>
                <w:sz w:val="20"/>
              </w:rPr>
              <w:t>On-chain,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maintenance</w:t>
            </w:r>
          </w:p>
        </w:tc>
        <w:tc>
          <w:tcPr>
            <w:tcW w:type="dxa" w:w="3249"/>
            <w:vAlign w:val="center"/>
          </w:tcPr>
          <w:p>
            <w:pPr>
              <w:spacing w:line="276" w:lineRule="auto" w:before="0" w:after="0"/>
            </w:pPr>
            <w:r/>
            <w:r>
              <w:rPr>
                <w:rFonts w:ascii="Figtree" w:hAnsi="Figtree"/>
                <w:b w:val="0"/>
                <w:i w:val="0"/>
                <w:sz w:val="20"/>
              </w:rPr>
              <w:t>Unified API surface (REST, SDK, CLI)</w:t>
            </w:r>
          </w:p>
        </w:tc>
        <w:tc>
          <w:tcPr>
            <w:tcW w:type="dxa" w:w="3249"/>
            <w:vAlign w:val="center"/>
          </w:tcPr>
          <w:p>
            <w:pPr>
              <w:spacing w:line="276" w:lineRule="auto" w:before="0" w:after="0"/>
            </w:pPr>
            <w:r/>
            <w:r>
              <w:rPr>
                <w:rFonts w:ascii="Figtree" w:hAnsi="Figtree"/>
                <w:b w:val="0"/>
                <w:i w:val="0"/>
                <w:sz w:val="20"/>
              </w:rPr>
              <w:t>One integration surface, not many</w:t>
            </w:r>
          </w:p>
        </w:tc>
      </w:tr>
      <w:tr>
        <w:trPr>
          <w:trHeight w:val="425" w:hRule="atLeast"/>
        </w:trPr>
        <w:tc>
          <w:tcPr>
            <w:tcW w:type="dxa" w:w="3249"/>
            <w:vAlign w:val="center"/>
          </w:tcPr>
          <w:p>
            <w:pPr>
              <w:spacing w:line="276" w:lineRule="auto" w:before="0" w:after="0"/>
            </w:pPr>
            <w:r/>
            <w:r>
              <w:rPr>
                <w:rFonts w:ascii="Figtree" w:hAnsi="Figtree"/>
                <w:b w:val="0"/>
                <w:i w:val="0"/>
                <w:sz w:val="20"/>
              </w:rPr>
              <w:t>Multi-vendor coordination</w:t>
            </w:r>
          </w:p>
        </w:tc>
        <w:tc>
          <w:tcPr>
            <w:tcW w:type="dxa" w:w="3249"/>
            <w:vAlign w:val="center"/>
          </w:tcPr>
          <w:p>
            <w:pPr>
              <w:spacing w:line="276" w:lineRule="auto" w:before="0" w:after="0"/>
            </w:pPr>
            <w:r/>
            <w:r>
              <w:rPr>
                <w:rFonts w:ascii="Figtree" w:hAnsi="Figtree"/>
                <w:b w:val="0"/>
                <w:i w:val="0"/>
                <w:sz w:val="20"/>
              </w:rPr>
              <w:t>Single platform vendor</w:t>
            </w:r>
          </w:p>
        </w:tc>
        <w:tc>
          <w:tcPr>
            <w:tcW w:type="dxa" w:w="3249"/>
            <w:vAlign w:val="center"/>
          </w:tcPr>
          <w:p>
            <w:pPr>
              <w:spacing w:line="276" w:lineRule="auto" w:before="0" w:after="0"/>
            </w:pPr>
            <w:r/>
            <w:r>
              <w:rPr>
                <w:rFonts w:ascii="Figtree" w:hAnsi="Figtree"/>
                <w:b w:val="0"/>
                <w:i w:val="0"/>
                <w:sz w:val="20"/>
              </w:rPr>
              <w:t>One SLA, one support contact</w:t>
            </w:r>
          </w:p>
        </w:tc>
      </w:tr>
    </w:tbl>
    <w:p>
      <w:pPr>
        <w:spacing w:before="0" w:after="0" w:line="120" w:lineRule="exact"/>
      </w:pPr>
    </w:p>
    <w:p>
      <w:pPr>
        <w:pStyle w:val="H3"/>
        <w:numPr>
          <w:ilvl w:val="2"/>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8"/>
        <w:gridCol w:w="2360"/>
        <w:gridCol w:w="2286"/>
        <w:gridCol w:w="1401"/>
        <w:gridCol w:w="88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Baseline (Current)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DALP-Enabled 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949"/>
            <w:vAlign w:val="center"/>
          </w:tcPr>
          <w:p>
            <w:pPr>
              <w:spacing w:line="276" w:lineRule="auto" w:before="0" w:after="0"/>
            </w:pPr>
            <w:r/>
            <w:r>
              <w:rPr>
                <w:rFonts w:ascii="Figtree" w:hAnsi="Figtree"/>
                <w:b w:val="0"/>
                <w:i w:val="0"/>
                <w:sz w:val="20"/>
              </w:rPr>
              <w:t>Settlement efficiency</w:t>
            </w:r>
          </w:p>
        </w:tc>
        <w:tc>
          <w:tcPr>
            <w:tcW w:type="dxa" w:w="1949"/>
            <w:vAlign w:val="center"/>
          </w:tcPr>
          <w:p>
            <w:pPr>
              <w:spacing w:line="276" w:lineRule="auto" w:before="0" w:after="0"/>
            </w:pPr>
            <w:r/>
            <w:r>
              <w:rPr>
                <w:rFonts w:ascii="Figtree" w:hAnsi="Figtree"/>
                <w:b w:val="0"/>
                <w:i w:val="0"/>
                <w:sz w:val="20"/>
              </w:rPr>
              <w:t>T+2 to T+5</w:t>
            </w:r>
          </w:p>
        </w:tc>
        <w:tc>
          <w:tcPr>
            <w:tcW w:type="dxa" w:w="1949"/>
            <w:vAlign w:val="center"/>
          </w:tcPr>
          <w:p>
            <w:pPr>
              <w:spacing w:line="276" w:lineRule="auto" w:before="0" w:after="0"/>
            </w:pPr>
            <w:r/>
            <w:r>
              <w:rPr>
                <w:rFonts w:ascii="Figtree" w:hAnsi="Figtree"/>
                <w:b w:val="0"/>
                <w:i w:val="0"/>
                <w:sz w:val="20"/>
              </w:rPr>
              <w:t>T+0 deterministic</w:t>
            </w:r>
          </w:p>
        </w:tc>
        <w:tc>
          <w:tcPr>
            <w:tcW w:type="dxa" w:w="1949"/>
            <w:vAlign w:val="center"/>
          </w:tcPr>
          <w:p>
            <w:pPr>
              <w:spacing w:line="276" w:lineRule="auto" w:before="0" w:after="0"/>
            </w:pPr>
            <w:r/>
            <w:r>
              <w:rPr>
                <w:rFonts w:ascii="Figtree" w:hAnsi="Figtree"/>
                <w:b w:val="0"/>
                <w:i w:val="0"/>
                <w:sz w:val="20"/>
              </w:rPr>
              <w:t>Atomic DvP</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Reconciliation cost</w:t>
            </w:r>
          </w:p>
        </w:tc>
        <w:tc>
          <w:tcPr>
            <w:tcW w:type="dxa" w:w="1949"/>
            <w:vAlign w:val="center"/>
          </w:tcPr>
          <w:p>
            <w:pPr>
              <w:spacing w:line="276" w:lineRule="auto" w:before="0" w:after="0"/>
            </w:pPr>
            <w:r/>
            <w:r>
              <w:rPr>
                <w:rFonts w:ascii="Figtree" w:hAnsi="Figtree"/>
                <w:b w:val="0"/>
                <w:i w:val="0"/>
                <w:sz w:val="20"/>
              </w:rPr>
              <w:t>15–25 person-days/month</w:t>
            </w:r>
          </w:p>
        </w:tc>
        <w:tc>
          <w:tcPr>
            <w:tcW w:type="dxa" w:w="1949"/>
            <w:vAlign w:val="center"/>
          </w:tcPr>
          <w:p>
            <w:pPr>
              <w:spacing w:line="276" w:lineRule="auto" w:before="0" w:after="0"/>
            </w:pPr>
            <w:r/>
            <w:r>
              <w:rPr>
                <w:rFonts w:ascii="Figtree" w:hAnsi="Figtree"/>
                <w:b w:val="0"/>
                <w:i w:val="0"/>
                <w:sz w:val="20"/>
              </w:rPr>
              <w:t>3–5 person-days/month</w:t>
            </w:r>
          </w:p>
        </w:tc>
        <w:tc>
          <w:tcPr>
            <w:tcW w:type="dxa" w:w="1949"/>
            <w:vAlign w:val="center"/>
          </w:tcPr>
          <w:p>
            <w:pPr>
              <w:spacing w:line="276" w:lineRule="auto" w:before="0" w:after="0"/>
            </w:pPr>
            <w:r/>
            <w:r>
              <w:rPr>
                <w:rFonts w:ascii="Figtree" w:hAnsi="Figtree"/>
                <w:b w:val="0"/>
                <w:i w:val="0"/>
                <w:sz w:val="20"/>
              </w:rPr>
              <w:t>API automation</w:t>
            </w:r>
          </w:p>
        </w:tc>
        <w:tc>
          <w:tcPr>
            <w:tcW w:type="dxa" w:w="1949"/>
            <w:vAlign w:val="center"/>
          </w:tcPr>
          <w:p>
            <w:pPr>
              <w:spacing w:line="276" w:lineRule="auto" w:before="0" w:after="0"/>
            </w:pPr>
            <w:r/>
            <w:r>
              <w:rPr>
                <w:rFonts w:ascii="Figtree" w:hAnsi="Figtree"/>
                <w:b w:val="0"/>
                <w:i w:val="0"/>
                <w:sz w:val="20"/>
              </w:rPr>
              <w:t>Emirates NBD</w:t>
            </w:r>
          </w:p>
        </w:tc>
      </w:tr>
      <w:tr>
        <w:trPr>
          <w:trHeight w:val="425" w:hRule="atLeast"/>
        </w:trPr>
        <w:tc>
          <w:tcPr>
            <w:tcW w:type="dxa" w:w="1949"/>
            <w:vAlign w:val="center"/>
          </w:tcPr>
          <w:p>
            <w:pPr>
              <w:spacing w:line="276" w:lineRule="auto" w:before="0" w:after="0"/>
            </w:pPr>
            <w:r/>
            <w:r>
              <w:rPr>
                <w:rFonts w:ascii="Figtree" w:hAnsi="Figtree"/>
                <w:b w:val="0"/>
                <w:i w:val="0"/>
                <w:sz w:val="20"/>
              </w:rPr>
              <w:t>Custody cost reduction</w:t>
            </w:r>
          </w:p>
        </w:tc>
        <w:tc>
          <w:tcPr>
            <w:tcW w:type="dxa" w:w="1949"/>
            <w:vAlign w:val="center"/>
          </w:tcPr>
          <w:p>
            <w:pPr>
              <w:spacing w:line="276" w:lineRule="auto" w:before="0" w:after="0"/>
            </w:pPr>
            <w:r/>
            <w:r>
              <w:rPr>
                <w:rFonts w:ascii="Figtree" w:hAnsi="Figtree"/>
                <w:b w:val="0"/>
                <w:i w:val="0"/>
                <w:sz w:val="20"/>
              </w:rPr>
              <w:t>Multiple intermediary fees</w:t>
            </w:r>
          </w:p>
        </w:tc>
        <w:tc>
          <w:tcPr>
            <w:tcW w:type="dxa" w:w="1949"/>
            <w:vAlign w:val="center"/>
          </w:tcPr>
          <w:p>
            <w:pPr>
              <w:spacing w:line="276" w:lineRule="auto" w:before="0" w:after="0"/>
            </w:pPr>
            <w:r/>
            <w:r>
              <w:rPr>
                <w:rFonts w:ascii="Figtree" w:hAnsi="Figtree"/>
                <w:b w:val="0"/>
                <w:i w:val="0"/>
                <w:sz w:val="20"/>
              </w:rPr>
              <w:t>Single provider fee</w:t>
            </w:r>
          </w:p>
        </w:tc>
        <w:tc>
          <w:tcPr>
            <w:tcW w:type="dxa" w:w="1949"/>
            <w:vAlign w:val="center"/>
          </w:tcPr>
          <w:p>
            <w:pPr>
              <w:spacing w:line="276" w:lineRule="auto" w:before="0" w:after="0"/>
            </w:pPr>
            <w:r/>
            <w:r>
              <w:rPr>
                <w:rFonts w:ascii="Figtree" w:hAnsi="Figtree"/>
                <w:b w:val="0"/>
                <w:i w:val="0"/>
                <w:sz w:val="20"/>
              </w:rPr>
              <w:t>BYOC model</w:t>
            </w:r>
          </w:p>
        </w:tc>
        <w:tc>
          <w:tcPr>
            <w:tcW w:type="dxa" w:w="1949"/>
            <w:vAlign w:val="center"/>
          </w:tcPr>
          <w:p>
            <w:pPr>
              <w:spacing w:line="276" w:lineRule="auto" w:before="0" w:after="0"/>
            </w:pPr>
            <w:r/>
            <w:r>
              <w:rPr>
                <w:rFonts w:ascii="Figtree" w:hAnsi="Figtree"/>
                <w:b w:val="0"/>
                <w:i w:val="0"/>
                <w:sz w:val="20"/>
              </w:rPr>
              <w:t>Emirates NBD</w:t>
            </w:r>
          </w:p>
        </w:tc>
      </w:tr>
      <w:tr>
        <w:trPr>
          <w:trHeight w:val="425" w:hRule="atLeast"/>
        </w:trPr>
        <w:tc>
          <w:tcPr>
            <w:tcW w:type="dxa" w:w="1949"/>
            <w:vAlign w:val="center"/>
          </w:tcPr>
          <w:p>
            <w:pPr>
              <w:spacing w:line="276" w:lineRule="auto" w:before="0" w:after="0"/>
            </w:pPr>
            <w:r/>
            <w:r>
              <w:rPr>
                <w:rFonts w:ascii="Figtree" w:hAnsi="Figtree"/>
                <w:b w:val="0"/>
                <w:i w:val="0"/>
                <w:sz w:val="20"/>
              </w:rPr>
              <w:t>Time-to-market (new products)</w:t>
            </w:r>
          </w:p>
        </w:tc>
        <w:tc>
          <w:tcPr>
            <w:tcW w:type="dxa" w:w="1949"/>
            <w:vAlign w:val="center"/>
          </w:tcPr>
          <w:p>
            <w:pPr>
              <w:spacing w:line="276" w:lineRule="auto" w:before="0" w:after="0"/>
            </w:pPr>
            <w:r/>
            <w:r>
              <w:rPr>
                <w:rFonts w:ascii="Figtree" w:hAnsi="Figtree"/>
                <w:b w:val="0"/>
                <w:i w:val="0"/>
                <w:sz w:val="20"/>
              </w:rPr>
              <w:t>6–12 months per product</w:t>
            </w:r>
          </w:p>
        </w:tc>
        <w:tc>
          <w:tcPr>
            <w:tcW w:type="dxa" w:w="1949"/>
            <w:vAlign w:val="center"/>
          </w:tcPr>
          <w:p>
            <w:pPr>
              <w:spacing w:line="276" w:lineRule="auto" w:before="0" w:after="0"/>
            </w:pPr>
            <w:r/>
            <w:r>
              <w:rPr>
                <w:rFonts w:ascii="Figtree" w:hAnsi="Figtree"/>
                <w:b w:val="0"/>
                <w:i w:val="0"/>
                <w:sz w:val="20"/>
              </w:rPr>
              <w:t>2–4 weeks (configuration)</w:t>
            </w:r>
          </w:p>
        </w:tc>
        <w:tc>
          <w:tcPr>
            <w:tcW w:type="dxa" w:w="1949"/>
            <w:vAlign w:val="center"/>
          </w:tcPr>
          <w:p>
            <w:pPr>
              <w:spacing w:line="276" w:lineRule="auto" w:before="0" w:after="0"/>
            </w:pPr>
            <w:r/>
            <w:r>
              <w:rPr>
                <w:rFonts w:ascii="Figtree" w:hAnsi="Figtree"/>
                <w:b w:val="0"/>
                <w:i w:val="0"/>
                <w:sz w:val="20"/>
              </w:rPr>
              <w:t>DALPAsset</w:t>
            </w:r>
          </w:p>
        </w:tc>
        <w:tc>
          <w:tcPr>
            <w:tcW w:type="dxa" w:w="1949"/>
            <w:vAlign w:val="center"/>
          </w:tcPr>
          <w:p>
            <w:pPr>
              <w:spacing w:line="276" w:lineRule="auto" w:before="0" w:after="0"/>
            </w:pPr>
            <w:r/>
            <w:r>
              <w:rPr>
                <w:rFonts w:ascii="Figtree" w:hAnsi="Figtree"/>
                <w:b w:val="0"/>
                <w:i w:val="0"/>
                <w:sz w:val="20"/>
              </w:rPr>
              <w:t>SettleMint</w:t>
            </w:r>
          </w:p>
        </w:tc>
      </w:tr>
      <w:tr>
        <w:trPr>
          <w:trHeight w:val="425" w:hRule="atLeast"/>
        </w:trPr>
        <w:tc>
          <w:tcPr>
            <w:tcW w:type="dxa" w:w="1949"/>
            <w:vAlign w:val="center"/>
          </w:tcPr>
          <w:p>
            <w:pPr>
              <w:spacing w:line="276" w:lineRule="auto" w:before="0" w:after="0"/>
            </w:pPr>
            <w:r/>
            <w:r>
              <w:rPr>
                <w:rFonts w:ascii="Figtree" w:hAnsi="Figtree"/>
                <w:b w:val="0"/>
                <w:i w:val="0"/>
                <w:sz w:val="20"/>
              </w:rPr>
              <w:t>Compliance audit cost</w:t>
            </w:r>
          </w:p>
        </w:tc>
        <w:tc>
          <w:tcPr>
            <w:tcW w:type="dxa" w:w="1949"/>
            <w:vAlign w:val="center"/>
          </w:tcPr>
          <w:p>
            <w:pPr>
              <w:spacing w:line="276" w:lineRule="auto" w:before="0" w:after="0"/>
            </w:pPr>
            <w:r/>
            <w:r>
              <w:rPr>
                <w:rFonts w:ascii="Figtree" w:hAnsi="Figtree"/>
                <w:b w:val="0"/>
                <w:i w:val="0"/>
                <w:sz w:val="20"/>
              </w:rPr>
              <w:t>Manual evidence gathering</w:t>
            </w:r>
          </w:p>
        </w:tc>
        <w:tc>
          <w:tcPr>
            <w:tcW w:type="dxa" w:w="1949"/>
            <w:vAlign w:val="center"/>
          </w:tcPr>
          <w:p>
            <w:pPr>
              <w:spacing w:line="276" w:lineRule="auto" w:before="0" w:after="0"/>
            </w:pPr>
            <w:r/>
            <w:r>
              <w:rPr>
                <w:rFonts w:ascii="Figtree" w:hAnsi="Figtree"/>
                <w:b w:val="0"/>
                <w:i w:val="0"/>
                <w:sz w:val="20"/>
              </w:rPr>
              <w:t>Automated extraction</w:t>
            </w:r>
          </w:p>
        </w:tc>
        <w:tc>
          <w:tcPr>
            <w:tcW w:type="dxa" w:w="1949"/>
            <w:vAlign w:val="center"/>
          </w:tcPr>
          <w:p>
            <w:pPr>
              <w:spacing w:line="276" w:lineRule="auto" w:before="0" w:after="0"/>
            </w:pPr>
            <w:r/>
            <w:r>
              <w:rPr>
                <w:rFonts w:ascii="Figtree" w:hAnsi="Figtree"/>
                <w:b w:val="0"/>
                <w:i w:val="0"/>
                <w:sz w:val="20"/>
              </w:rPr>
              <w:t>GraphQL + templates</w:t>
            </w:r>
          </w:p>
        </w:tc>
        <w:tc>
          <w:tcPr>
            <w:tcW w:type="dxa" w:w="1949"/>
            <w:vAlign w:val="center"/>
          </w:tcPr>
          <w:p>
            <w:pPr>
              <w:spacing w:line="276" w:lineRule="auto" w:before="0" w:after="0"/>
            </w:pPr>
            <w:r/>
            <w:r>
              <w:rPr>
                <w:rFonts w:ascii="Figtree" w:hAnsi="Figtree"/>
                <w:b w:val="0"/>
                <w:i w:val="0"/>
                <w:sz w:val="20"/>
              </w:rPr>
              <w:t>Joint</w:t>
            </w:r>
          </w:p>
        </w:tc>
      </w:tr>
      <w:tr>
        <w:trPr>
          <w:trHeight w:val="425" w:hRule="atLeast"/>
        </w:trPr>
        <w:tc>
          <w:tcPr>
            <w:tcW w:type="dxa" w:w="1949"/>
            <w:vAlign w:val="center"/>
          </w:tcPr>
          <w:p>
            <w:pPr>
              <w:spacing w:line="276" w:lineRule="auto" w:before="0" w:after="0"/>
            </w:pPr>
            <w:r/>
            <w:r>
              <w:rPr>
                <w:rFonts w:ascii="Figtree" w:hAnsi="Figtree"/>
                <w:b w:val="0"/>
                <w:i w:val="0"/>
                <w:sz w:val="20"/>
              </w:rPr>
              <w:t>Reference benchmark</w:t>
            </w:r>
          </w:p>
        </w:tc>
        <w:tc>
          <w:tcPr>
            <w:tcW w:type="dxa" w:w="1949"/>
            <w:vAlign w:val="center"/>
          </w:tcPr>
          <w:p>
            <w:pPr>
              <w:spacing w:line="276" w:lineRule="auto" w:before="0" w:after="0"/>
            </w:pPr>
            <w:r/>
            <w:r>
              <w:rPr>
                <w:rFonts w:ascii="Figtree" w:hAnsi="Figtree"/>
                <w:b w:val="0"/>
                <w:i w:val="0"/>
                <w:sz w:val="20"/>
              </w:rPr>
              <w:t>Commerzbank: EUR 7M/year savings</w:t>
            </w:r>
          </w:p>
        </w:tc>
        <w:tc>
          <w:tcPr>
            <w:tcW w:type="dxa" w:w="1949"/>
            <w:vAlign w:val="center"/>
          </w:tcPr>
          <w:p>
            <w:pPr>
              <w:spacing w:line="276" w:lineRule="auto" w:before="0" w:after="0"/>
            </w:pPr>
            <w:r/>
            <w:r>
              <w:rPr>
                <w:rFonts w:ascii="Figtree" w:hAnsi="Figtree"/>
                <w:b w:val="0"/>
                <w:i w:val="0"/>
                <w:sz w:val="20"/>
              </w:rPr>
              <w:t>Scale-adjusted for Emirates NBD</w:t>
            </w:r>
          </w:p>
        </w:tc>
        <w:tc>
          <w:tcPr>
            <w:tcW w:type="dxa" w:w="1949"/>
            <w:vAlign w:val="center"/>
          </w:tcPr>
          <w:p>
            <w:pPr>
              <w:spacing w:line="276" w:lineRule="auto" w:before="0" w:after="0"/>
            </w:pPr>
            <w:r/>
            <w:r>
              <w:rPr>
                <w:rFonts w:ascii="Figtree" w:hAnsi="Figtree"/>
                <w:b w:val="0"/>
                <w:i w:val="0"/>
                <w:sz w:val="20"/>
              </w:rPr>
              <w:t>Proven model</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r>
        <w:rPr>
          <w:rFonts w:ascii="Figtree" w:hAnsi="Figtree"/>
          <w:b/>
          <w:i w:val="0"/>
          <w:sz w:val="22"/>
        </w:rPr>
        <w:t>Assumptions requiring workshop validation:</w:t>
      </w:r>
    </w:p>
    <w:p>
      <w:pPr>
        <w:pStyle w:val="ListParagraph"/>
        <w:numPr>
          <w:ilvl w:val="0"/>
          <w:numId w:val="4"/>
        </w:numPr>
      </w:pPr>
      <w:r>
        <w:rPr>
          <w:rFonts w:ascii="Figtree" w:hAnsi="Figtree"/>
          <w:b w:val="0"/>
          <w:i w:val="0"/>
          <w:sz w:val="22"/>
        </w:rPr>
        <w:t>Current reconciliation effort (person-days per month)</w:t>
      </w:r>
    </w:p>
    <w:p>
      <w:pPr>
        <w:pStyle w:val="ListParagraph"/>
        <w:numPr>
          <w:ilvl w:val="0"/>
          <w:numId w:val="4"/>
        </w:numPr>
      </w:pPr>
      <w:r>
        <w:rPr>
          <w:rFonts w:ascii="Figtree" w:hAnsi="Figtree"/>
          <w:b w:val="0"/>
          <w:i w:val="0"/>
          <w:sz w:val="22"/>
        </w:rPr>
        <w:t>Custody intermediary cost baseline</w:t>
      </w:r>
    </w:p>
    <w:p>
      <w:pPr>
        <w:pStyle w:val="ListParagraph"/>
        <w:numPr>
          <w:ilvl w:val="0"/>
          <w:numId w:val="4"/>
        </w:numPr>
      </w:pPr>
      <w:r>
        <w:rPr>
          <w:rFonts w:ascii="Figtree" w:hAnsi="Figtree"/>
          <w:b w:val="0"/>
          <w:i w:val="0"/>
          <w:sz w:val="22"/>
        </w:rPr>
        <w:t>Trade finance volume projections</w:t>
      </w:r>
    </w:p>
    <w:p>
      <w:pPr>
        <w:pStyle w:val="ListParagraph"/>
        <w:numPr>
          <w:ilvl w:val="0"/>
          <w:numId w:val="4"/>
        </w:numPr>
      </w:pPr>
      <w:r>
        <w:rPr>
          <w:rFonts w:ascii="Figtree" w:hAnsi="Figtree"/>
          <w:b w:val="0"/>
          <w:i w:val="0"/>
          <w:sz w:val="22"/>
        </w:rPr>
        <w:t>Deposit product launch timeline</w:t>
      </w:r>
    </w:p>
    <w:p>
      <w:r>
        <w:br w:type="page"/>
      </w:r>
    </w:p>
    <w:p>
      <w:pPr>
        <w:pStyle w:val="H2"/>
        <w:numPr>
          <w:ilvl w:val="1"/>
          <w:numId w:val="1"/>
        </w:numPr>
      </w:pPr>
      <w:r>
        <w:t>Licensing Model</w:t>
      </w:r>
    </w:p>
    <w:p>
      <w:pPr>
        <w:pStyle w:val="H3"/>
        <w:numPr>
          <w:ilvl w:val="2"/>
          <w:numId w:val="1"/>
        </w:numPr>
      </w:pPr>
      <w:r>
        <w:t>Platform Licensing Philosophy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18"/>
        <w:gridCol w:w="61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Principle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What It Means for Emirates NBD</w:t>
            </w:r>
          </w:p>
        </w:tc>
      </w:tr>
      <w:tr>
        <w:trPr>
          <w:trHeight w:val="425" w:hRule="atLeast"/>
        </w:trPr>
        <w:tc>
          <w:tcPr>
            <w:tcW w:type="dxa" w:w="4873"/>
            <w:vAlign w:val="center"/>
          </w:tcPr>
          <w:p>
            <w:pPr>
              <w:spacing w:line="276" w:lineRule="auto" w:before="0" w:after="0"/>
            </w:pPr>
            <w:r/>
            <w:r>
              <w:rPr>
                <w:rFonts w:ascii="Figtree" w:hAnsi="Figtree"/>
                <w:b w:val="0"/>
                <w:i w:val="0"/>
                <w:sz w:val="20"/>
              </w:rPr>
              <w:t>No per-transaction fees</w:t>
            </w:r>
          </w:p>
        </w:tc>
        <w:tc>
          <w:tcPr>
            <w:tcW w:type="dxa" w:w="4873"/>
            <w:vAlign w:val="center"/>
          </w:tcPr>
          <w:p>
            <w:pPr>
              <w:spacing w:line="276" w:lineRule="auto" w:before="0" w:after="0"/>
            </w:pPr>
            <w:r/>
            <w:r>
              <w:rPr>
                <w:rFonts w:ascii="Figtree" w:hAnsi="Figtree"/>
                <w:b w:val="0"/>
                <w:i w:val="0"/>
                <w:sz w:val="20"/>
              </w:rPr>
              <w:t>Every compliance check, transfer, settlement, and trade event is included</w:t>
            </w:r>
          </w:p>
        </w:tc>
      </w:tr>
      <w:tr>
        <w:trPr>
          <w:trHeight w:val="425" w:hRule="atLeast"/>
        </w:trPr>
        <w:tc>
          <w:tcPr>
            <w:tcW w:type="dxa" w:w="4873"/>
            <w:vAlign w:val="center"/>
          </w:tcPr>
          <w:p>
            <w:pPr>
              <w:spacing w:line="276" w:lineRule="auto" w:before="0" w:after="0"/>
            </w:pPr>
            <w:r/>
            <w:r>
              <w:rPr>
                <w:rFonts w:ascii="Figtree" w:hAnsi="Figtree"/>
                <w:b w:val="0"/>
                <w:i w:val="0"/>
                <w:sz w:val="20"/>
              </w:rPr>
              <w:t>No per-token fees</w:t>
            </w:r>
          </w:p>
        </w:tc>
        <w:tc>
          <w:tcPr>
            <w:tcW w:type="dxa" w:w="4873"/>
            <w:vAlign w:val="center"/>
          </w:tcPr>
          <w:p>
            <w:pPr>
              <w:spacing w:line="276" w:lineRule="auto" w:before="0" w:after="0"/>
            </w:pPr>
            <w:r/>
            <w:r>
              <w:rPr>
                <w:rFonts w:ascii="Figtree" w:hAnsi="Figtree"/>
                <w:b w:val="0"/>
                <w:i w:val="0"/>
                <w:sz w:val="20"/>
              </w:rPr>
              <w:t>Additional product types carry no incremental license cost</w:t>
            </w:r>
          </w:p>
        </w:tc>
      </w:tr>
      <w:tr>
        <w:trPr>
          <w:trHeight w:val="425" w:hRule="atLeast"/>
        </w:trPr>
        <w:tc>
          <w:tcPr>
            <w:tcW w:type="dxa" w:w="4873"/>
            <w:vAlign w:val="center"/>
          </w:tcPr>
          <w:p>
            <w:pPr>
              <w:spacing w:line="276" w:lineRule="auto" w:before="0" w:after="0"/>
            </w:pPr>
            <w:r/>
            <w:r>
              <w:rPr>
                <w:rFonts w:ascii="Figtree" w:hAnsi="Figtree"/>
                <w:b w:val="0"/>
                <w:i w:val="0"/>
                <w:sz w:val="20"/>
              </w:rPr>
              <w:t>No per-user fees</w:t>
            </w:r>
          </w:p>
        </w:tc>
        <w:tc>
          <w:tcPr>
            <w:tcW w:type="dxa" w:w="4873"/>
            <w:vAlign w:val="center"/>
          </w:tcPr>
          <w:p>
            <w:pPr>
              <w:spacing w:line="276" w:lineRule="auto" w:before="0" w:after="0"/>
            </w:pPr>
            <w:r/>
            <w:r>
              <w:rPr>
                <w:rFonts w:ascii="Figtree" w:hAnsi="Figtree"/>
                <w:b w:val="0"/>
                <w:i w:val="0"/>
                <w:sz w:val="20"/>
              </w:rPr>
              <w:t>Growing counterparty networks and investor base is a business outcome, not a cost driver</w:t>
            </w:r>
          </w:p>
        </w:tc>
      </w:tr>
      <w:tr>
        <w:trPr>
          <w:trHeight w:val="425" w:hRule="atLeast"/>
        </w:trPr>
        <w:tc>
          <w:tcPr>
            <w:tcW w:type="dxa" w:w="4873"/>
            <w:vAlign w:val="center"/>
          </w:tcPr>
          <w:p>
            <w:pPr>
              <w:spacing w:line="276" w:lineRule="auto" w:before="0" w:after="0"/>
            </w:pPr>
            <w:r/>
            <w:r>
              <w:rPr>
                <w:rFonts w:ascii="Figtree" w:hAnsi="Figtree"/>
                <w:b w:val="0"/>
                <w:i w:val="0"/>
                <w:sz w:val="20"/>
              </w:rPr>
              <w:t>Predictable annual subscription</w:t>
            </w:r>
          </w:p>
        </w:tc>
        <w:tc>
          <w:tcPr>
            <w:tcW w:type="dxa" w:w="4873"/>
            <w:vAlign w:val="center"/>
          </w:tcPr>
          <w:p>
            <w:pPr>
              <w:spacing w:line="276" w:lineRule="auto" w:before="0" w:after="0"/>
            </w:pPr>
            <w:r/>
            <w:r>
              <w:rPr>
                <w:rFonts w:ascii="Figtree" w:hAnsi="Figtree"/>
                <w:b w:val="0"/>
                <w:i w:val="0"/>
                <w:sz w:val="20"/>
              </w:rPr>
              <w:t>Budget certainty for multi-year planning</w:t>
            </w:r>
          </w:p>
        </w:tc>
      </w:tr>
      <w:tr>
        <w:trPr>
          <w:trHeight w:val="425" w:hRule="atLeast"/>
        </w:trPr>
        <w:tc>
          <w:tcPr>
            <w:tcW w:type="dxa" w:w="4873"/>
            <w:vAlign w:val="center"/>
          </w:tcPr>
          <w:p>
            <w:pPr>
              <w:spacing w:line="276" w:lineRule="auto" w:before="0" w:after="0"/>
            </w:pPr>
            <w:r/>
            <w:r>
              <w:rPr>
                <w:rFonts w:ascii="Figtree" w:hAnsi="Figtree"/>
                <w:b w:val="0"/>
                <w:i w:val="0"/>
                <w:sz w:val="20"/>
              </w:rPr>
              <w:t>Full platform capabilities included</w:t>
            </w:r>
          </w:p>
        </w:tc>
        <w:tc>
          <w:tcPr>
            <w:tcW w:type="dxa" w:w="4873"/>
            <w:vAlign w:val="center"/>
          </w:tcPr>
          <w:p>
            <w:pPr>
              <w:spacing w:line="276" w:lineRule="auto" w:before="0" w:after="0"/>
            </w:pPr>
            <w:r/>
            <w:r>
              <w:rPr>
                <w:rFonts w:ascii="Figtree" w:hAnsi="Figtree"/>
                <w:b w:val="0"/>
                <w:i w:val="0"/>
                <w:sz w:val="20"/>
              </w:rPr>
              <w:t>All lifecycle pillars, compliance modules, API surface, observability tools</w:t>
            </w:r>
          </w:p>
        </w:tc>
      </w:tr>
    </w:tbl>
    <w:p>
      <w:pPr>
        <w:spacing w:before="0" w:after="0" w:line="120" w:lineRule="exact"/>
      </w:pPr>
    </w:p>
    <w:p>
      <w:pPr>
        <w:pStyle w:val="H3"/>
        <w:numPr>
          <w:ilvl w:val="2"/>
          <w:numId w:val="1"/>
        </w:numPr>
      </w:pPr>
      <w:r>
        <w:t>What the License Includes</w:t>
      </w:r>
    </w:p>
    <w:p>
      <w:r>
        <w:rPr>
          <w:rFonts w:ascii="Figtree" w:hAnsi="Figtree"/>
          <w:b w:val="0"/>
          <w:i w:val="0"/>
          <w:sz w:val="22"/>
        </w:rPr>
        <w:t>The Enterprise license provides access to:</w:t>
      </w:r>
    </w:p>
    <w:p>
      <w:pPr>
        <w:pStyle w:val="ListParagraph"/>
        <w:numPr>
          <w:ilvl w:val="0"/>
          <w:numId w:val="4"/>
        </w:numPr>
      </w:pPr>
      <w:r>
        <w:rPr>
          <w:rFonts w:ascii="Figtree" w:hAnsi="Figtree"/>
          <w:b w:val="0"/>
          <w:i w:val="0"/>
          <w:sz w:val="22"/>
        </w:rPr>
        <w:t>All five lifecycle pillars: Issuance, Compliance, Custody Integration, Settlement, and Servicing</w:t>
      </w:r>
    </w:p>
    <w:p>
      <w:pPr>
        <w:pStyle w:val="ListParagraph"/>
        <w:numPr>
          <w:ilvl w:val="0"/>
          <w:numId w:val="4"/>
        </w:numPr>
      </w:pPr>
      <w:r>
        <w:rPr>
          <w:rFonts w:ascii="Figtree" w:hAnsi="Figtree"/>
          <w:b w:val="0"/>
          <w:i w:val="0"/>
          <w:sz w:val="22"/>
        </w:rPr>
        <w:t>All seven asset classes (bonds, equities, funds, stablecoins, deposits, real estate, precious metals) plus Configurable Token</w:t>
      </w:r>
    </w:p>
    <w:p>
      <w:pPr>
        <w:pStyle w:val="ListParagraph"/>
        <w:numPr>
          <w:ilvl w:val="0"/>
          <w:numId w:val="4"/>
        </w:numPr>
      </w:pPr>
      <w:r>
        <w:rPr>
          <w:rFonts w:ascii="Figtree" w:hAnsi="Figtree"/>
          <w:b w:val="0"/>
          <w:i w:val="0"/>
          <w:sz w:val="22"/>
        </w:rPr>
        <w:t>All 18 compliance module types — no per-module licensing</w:t>
      </w:r>
    </w:p>
    <w:p>
      <w:pPr>
        <w:pStyle w:val="ListParagraph"/>
        <w:numPr>
          <w:ilvl w:val="0"/>
          <w:numId w:val="4"/>
        </w:numPr>
      </w:pPr>
      <w:r>
        <w:rPr>
          <w:rFonts w:ascii="Figtree" w:hAnsi="Figtree"/>
          <w:b w:val="0"/>
          <w:i w:val="0"/>
          <w:sz w:val="22"/>
        </w:rPr>
        <w:t>Full API surface: REST API v2, GraphQL, webhooks, TypeScript SDK, CLI (301 commands)</w:t>
      </w:r>
    </w:p>
    <w:p>
      <w:pPr>
        <w:pStyle w:val="ListParagraph"/>
        <w:numPr>
          <w:ilvl w:val="0"/>
          <w:numId w:val="4"/>
        </w:numPr>
      </w:pPr>
      <w:r>
        <w:rPr>
          <w:rFonts w:ascii="Figtree" w:hAnsi="Figtree"/>
          <w:b w:val="0"/>
          <w:i w:val="0"/>
          <w:sz w:val="22"/>
        </w:rPr>
        <w:t>Addon capabilities: XvP settlement, vault management, token sales, airdrop, yield schedules</w:t>
      </w:r>
    </w:p>
    <w:p>
      <w:pPr>
        <w:pStyle w:val="ListParagraph"/>
        <w:numPr>
          <w:ilvl w:val="0"/>
          <w:numId w:val="4"/>
        </w:numPr>
      </w:pPr>
      <w:r>
        <w:rPr>
          <w:rFonts w:ascii="Figtree" w:hAnsi="Figtree"/>
          <w:b w:val="0"/>
          <w:i w:val="0"/>
          <w:sz w:val="22"/>
        </w:rPr>
        <w:t>Observability stack: Grafana dashboards, metrics, logs, traces, automated alerting</w:t>
      </w:r>
    </w:p>
    <w:p>
      <w:pPr>
        <w:pStyle w:val="ListParagraph"/>
        <w:numPr>
          <w:ilvl w:val="0"/>
          <w:numId w:val="4"/>
        </w:numPr>
      </w:pPr>
      <w:r>
        <w:rPr>
          <w:rFonts w:ascii="Figtree" w:hAnsi="Figtree"/>
          <w:b w:val="0"/>
          <w:i w:val="0"/>
          <w:sz w:val="22"/>
        </w:rPr>
        <w:t>Platform updates and security patches during the license term</w:t>
      </w: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2"/>
        <w:gridCol w:w="70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Configuration for Emirates NBD</w:t>
            </w:r>
          </w:p>
        </w:tc>
      </w:tr>
      <w:tr>
        <w:trPr>
          <w:trHeight w:val="425" w:hRule="atLeast"/>
        </w:trPr>
        <w:tc>
          <w:tcPr>
            <w:tcW w:type="dxa" w:w="4873"/>
            <w:vAlign w:val="center"/>
          </w:tcPr>
          <w:p>
            <w:pPr>
              <w:spacing w:line="276" w:lineRule="auto" w:before="0" w:after="0"/>
            </w:pPr>
            <w:r/>
            <w:r>
              <w:rPr>
                <w:rFonts w:ascii="Figtree" w:hAnsi="Figtree"/>
                <w:b w:val="0"/>
                <w:i w:val="0"/>
                <w:sz w:val="20"/>
              </w:rPr>
              <w:t>Environments</w:t>
            </w:r>
          </w:p>
        </w:tc>
        <w:tc>
          <w:tcPr>
            <w:tcW w:type="dxa" w:w="4873"/>
            <w:vAlign w:val="center"/>
          </w:tcPr>
          <w:p>
            <w:pPr>
              <w:spacing w:line="276" w:lineRule="auto" w:before="0" w:after="0"/>
            </w:pPr>
            <w:r/>
            <w:r>
              <w:rPr>
                <w:rFonts w:ascii="Figtree" w:hAnsi="Figtree"/>
                <w:b w:val="0"/>
                <w:i w:val="0"/>
                <w:sz w:val="20"/>
              </w:rPr>
              <w:t>Development + UAT/Staging + DR + Production</w:t>
            </w:r>
          </w:p>
        </w:tc>
      </w:tr>
      <w:tr>
        <w:trPr>
          <w:trHeight w:val="425" w:hRule="atLeast"/>
        </w:trPr>
        <w:tc>
          <w:tcPr>
            <w:tcW w:type="dxa" w:w="4873"/>
            <w:vAlign w:val="center"/>
          </w:tcPr>
          <w:p>
            <w:pPr>
              <w:spacing w:line="276" w:lineRule="auto" w:before="0" w:after="0"/>
            </w:pPr>
            <w:r/>
            <w:r>
              <w:rPr>
                <w:rFonts w:ascii="Figtree" w:hAnsi="Figtree"/>
                <w:b w:val="0"/>
                <w:i w:val="0"/>
                <w:sz w:val="20"/>
              </w:rPr>
              <w:t>Networks</w:t>
            </w:r>
          </w:p>
        </w:tc>
        <w:tc>
          <w:tcPr>
            <w:tcW w:type="dxa" w:w="4873"/>
            <w:vAlign w:val="center"/>
          </w:tcPr>
          <w:p>
            <w:pPr>
              <w:spacing w:line="276" w:lineRule="auto" w:before="0" w:after="0"/>
            </w:pPr>
            <w:r/>
            <w:r>
              <w:rPr>
                <w:rFonts w:ascii="Figtree" w:hAnsi="Figtree"/>
                <w:b w:val="0"/>
                <w:i w:val="0"/>
                <w:sz w:val="20"/>
              </w:rPr>
              <w:t>Permissioned Hyperledger Besu (IBFT 2.0)</w:t>
            </w:r>
          </w:p>
        </w:tc>
      </w:tr>
      <w:tr>
        <w:trPr>
          <w:trHeight w:val="425" w:hRule="atLeast"/>
        </w:trPr>
        <w:tc>
          <w:tcPr>
            <w:tcW w:type="dxa" w:w="4873"/>
            <w:vAlign w:val="center"/>
          </w:tcPr>
          <w:p>
            <w:pPr>
              <w:spacing w:line="276" w:lineRule="auto" w:before="0" w:after="0"/>
            </w:pPr>
            <w:r/>
            <w:r>
              <w:rPr>
                <w:rFonts w:ascii="Figtree" w:hAnsi="Figtree"/>
                <w:b w:val="0"/>
                <w:i w:val="0"/>
                <w:sz w:val="20"/>
              </w:rPr>
              <w:t>Custody</w:t>
            </w:r>
          </w:p>
        </w:tc>
        <w:tc>
          <w:tcPr>
            <w:tcW w:type="dxa" w:w="4873"/>
            <w:vAlign w:val="center"/>
          </w:tcPr>
          <w:p>
            <w:pPr>
              <w:spacing w:line="276" w:lineRule="auto" w:before="0" w:after="0"/>
            </w:pPr>
            <w:r/>
            <w:r>
              <w:rPr>
                <w:rFonts w:ascii="Figtree" w:hAnsi="Figtree"/>
                <w:b w:val="0"/>
                <w:i w:val="0"/>
                <w:sz w:val="20"/>
              </w:rPr>
              <w:t>DFNS or Fireblocks (decision during Phase 1)</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Premium tier (16×5, 2-hour P1 response)</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Tokenized deposits, trade finance instruments, settlement tokens</w:t>
            </w:r>
          </w:p>
        </w:tc>
      </w:tr>
    </w:tbl>
    <w:p>
      <w:pPr>
        <w:spacing w:before="0" w:after="0" w:line="120" w:lineRule="exact"/>
      </w:pPr>
    </w:p>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Implementation Pricing</w:t>
      </w:r>
    </w:p>
    <w:p>
      <w:pPr>
        <w:pStyle w:val="H3"/>
        <w:numPr>
          <w:ilvl w:val="2"/>
          <w:numId w:val="1"/>
        </w:numPr>
      </w:pPr>
      <w:r>
        <w:t>Pricing Structure</w:t>
      </w:r>
    </w:p>
    <w:p>
      <w:r>
        <w:rPr>
          <w:rFonts w:ascii="Figtree" w:hAnsi="Figtree"/>
          <w:b w:val="0"/>
          <w:i w:val="0"/>
          <w:sz w:val="22"/>
        </w:rPr>
        <w:t>Implementation is priced as a fixed-fee engagement across five delivery phases: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24"/>
        <w:gridCol w:w="899"/>
        <w:gridCol w:w="3973"/>
        <w:gridCol w:w="15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Pricing Basis</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 &amp;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regulatory mapping, architecture design</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 &amp;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identity framework</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 &amp;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Deposit + trade finance config, compliance modules</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&amp;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Core banking, trade finance, SWIFT, security/UAT</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&amp;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knowledge transfer, hypercare</w:t>
            </w:r>
          </w:p>
        </w:tc>
        <w:tc>
          <w:tcPr>
            <w:tcW w:type="dxa" w:w="2436"/>
            <w:vAlign w:val="center"/>
          </w:tcPr>
          <w:p>
            <w:pPr>
              <w:spacing w:line="276" w:lineRule="auto" w:before="0" w:after="0"/>
            </w:pPr>
            <w:r/>
            <w:r>
              <w:rPr>
                <w:rFonts w:ascii="Figtree" w:hAnsi="Figtree"/>
                <w:b w:val="0"/>
                <w:i w:val="0"/>
                <w:sz w:val="20"/>
              </w:rPr>
              <w:t>Fixed fee</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Implementation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64"/>
        <w:gridCol w:w="3050"/>
        <w:gridCol w:w="44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Full-time (19 weeks)</w:t>
            </w:r>
          </w:p>
        </w:tc>
        <w:tc>
          <w:tcPr>
            <w:tcW w:type="dxa" w:w="3249"/>
            <w:vAlign w:val="center"/>
          </w:tcPr>
          <w:p>
            <w:pPr>
              <w:spacing w:line="276" w:lineRule="auto" w:before="0" w:after="0"/>
            </w:pPr>
            <w:r/>
            <w:r>
              <w:rPr>
                <w:rFonts w:ascii="Figtree" w:hAnsi="Figtree"/>
                <w:b w:val="0"/>
                <w:i w:val="0"/>
                <w:sz w:val="20"/>
              </w:rPr>
              <w:t>Programme management, gate reviews, stakeholder alignment</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Full-time (Weeks 1–13), on-call (14–19)</w:t>
            </w:r>
          </w:p>
        </w:tc>
        <w:tc>
          <w:tcPr>
            <w:tcW w:type="dxa" w:w="3249"/>
            <w:vAlign w:val="center"/>
          </w:tcPr>
          <w:p>
            <w:pPr>
              <w:spacing w:line="276" w:lineRule="auto" w:before="0" w:after="0"/>
            </w:pPr>
            <w:r/>
            <w:r>
              <w:rPr>
                <w:rFonts w:ascii="Figtree" w:hAnsi="Figtree"/>
                <w:b w:val="0"/>
                <w:i w:val="0"/>
                <w:sz w:val="20"/>
              </w:rPr>
              <w:t>Architecture design, integration patterns</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Full-time (Weeks 3–17)</w:t>
            </w:r>
          </w:p>
        </w:tc>
        <w:tc>
          <w:tcPr>
            <w:tcW w:type="dxa" w:w="3249"/>
            <w:vAlign w:val="center"/>
          </w:tcPr>
          <w:p>
            <w:pPr>
              <w:spacing w:line="276" w:lineRule="auto" w:before="0" w:after="0"/>
            </w:pPr>
            <w:r/>
            <w:r>
              <w:rPr>
                <w:rFonts w:ascii="Figtree" w:hAnsi="Figtree"/>
                <w:b w:val="0"/>
                <w:i w:val="0"/>
                <w:sz w:val="20"/>
              </w:rPr>
              <w:t>Environment setup, configuration,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Full-time (Weeks 6–13)</w:t>
            </w:r>
          </w:p>
        </w:tc>
        <w:tc>
          <w:tcPr>
            <w:tcW w:type="dxa" w:w="3249"/>
            <w:vAlign w:val="center"/>
          </w:tcPr>
          <w:p>
            <w:pPr>
              <w:spacing w:line="276" w:lineRule="auto" w:before="0" w:after="0"/>
            </w:pPr>
            <w:r/>
            <w:r>
              <w:rPr>
                <w:rFonts w:ascii="Figtree" w:hAnsi="Figtree"/>
                <w:b w:val="0"/>
                <w:i w:val="0"/>
                <w:sz w:val="20"/>
              </w:rPr>
              <w:t>Enterprise system integration, API development</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Full-time (Weeks 10–15)</w:t>
            </w:r>
          </w:p>
        </w:tc>
        <w:tc>
          <w:tcPr>
            <w:tcW w:type="dxa" w:w="3249"/>
            <w:vAlign w:val="center"/>
          </w:tcPr>
          <w:p>
            <w:pPr>
              <w:spacing w:line="276" w:lineRule="auto" w:before="0" w:after="0"/>
            </w:pPr>
            <w:r/>
            <w:r>
              <w:rPr>
                <w:rFonts w:ascii="Figtree" w:hAnsi="Figtree"/>
                <w:b w:val="0"/>
                <w:i w:val="0"/>
                <w:sz w:val="20"/>
              </w:rPr>
              <w:t>Test planning, execution, defect management</w:t>
            </w:r>
          </w:p>
        </w:tc>
      </w:tr>
    </w:tbl>
    <w:p>
      <w:pPr>
        <w:spacing w:before="0" w:after="0" w:line="120" w:lineRule="exact"/>
      </w:pPr>
    </w:p>
    <w:p>
      <w:pPr>
        <w:pStyle w:val="H3"/>
        <w:numPr>
          <w:ilvl w:val="2"/>
          <w:numId w:val="1"/>
        </w:numPr>
      </w:pPr>
      <w:r>
        <w:t>Client Effort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68"/>
        <w:gridCol w:w="3114"/>
        <w:gridCol w:w="14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Client Effort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When</w:t>
            </w:r>
          </w:p>
        </w:tc>
      </w:tr>
      <w:tr>
        <w:trPr>
          <w:trHeight w:val="425" w:hRule="atLeast"/>
        </w:trPr>
        <w:tc>
          <w:tcPr>
            <w:tcW w:type="dxa" w:w="3249"/>
            <w:vAlign w:val="center"/>
          </w:tcPr>
          <w:p>
            <w:pPr>
              <w:spacing w:line="276" w:lineRule="auto" w:before="0" w:after="0"/>
            </w:pPr>
            <w:r/>
            <w:r>
              <w:rPr>
                <w:rFonts w:ascii="Figtree" w:hAnsi="Figtree"/>
                <w:b w:val="0"/>
                <w:i w:val="0"/>
                <w:sz w:val="20"/>
              </w:rPr>
              <w:t>Stakeholder interviews</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1–2</w:t>
            </w:r>
          </w:p>
        </w:tc>
      </w:tr>
      <w:tr>
        <w:trPr>
          <w:trHeight w:val="425" w:hRule="atLeast"/>
        </w:trPr>
        <w:tc>
          <w:tcPr>
            <w:tcW w:type="dxa" w:w="3249"/>
            <w:vAlign w:val="center"/>
          </w:tcPr>
          <w:p>
            <w:pPr>
              <w:spacing w:line="276" w:lineRule="auto" w:before="0" w:after="0"/>
            </w:pPr>
            <w:r/>
            <w:r>
              <w:rPr>
                <w:rFonts w:ascii="Figtree" w:hAnsi="Figtree"/>
                <w:b w:val="0"/>
                <w:i w:val="0"/>
                <w:sz w:val="20"/>
              </w:rPr>
              <w:t>Core banking API provisioning</w:t>
            </w:r>
          </w:p>
        </w:tc>
        <w:tc>
          <w:tcPr>
            <w:tcW w:type="dxa" w:w="3249"/>
            <w:vAlign w:val="center"/>
          </w:tcPr>
          <w:p>
            <w:pPr>
              <w:spacing w:line="276" w:lineRule="auto" w:before="0" w:after="0"/>
            </w:pPr>
            <w:r/>
            <w:r>
              <w:rPr>
                <w:rFonts w:ascii="Figtree" w:hAnsi="Figtree"/>
                <w:b w:val="0"/>
                <w:i w:val="0"/>
                <w:sz w:val="20"/>
              </w:rPr>
              <w:t>15 person-days</w:t>
            </w:r>
          </w:p>
        </w:tc>
        <w:tc>
          <w:tcPr>
            <w:tcW w:type="dxa" w:w="3249"/>
            <w:vAlign w:val="center"/>
          </w:tcPr>
          <w:p>
            <w:pPr>
              <w:spacing w:line="276" w:lineRule="auto" w:before="0" w:after="0"/>
            </w:pPr>
            <w:r/>
            <w:r>
              <w:rPr>
                <w:rFonts w:ascii="Figtree" w:hAnsi="Figtree"/>
                <w:b w:val="0"/>
                <w:i w:val="0"/>
                <w:sz w:val="20"/>
              </w:rPr>
              <w:t>Weeks 3–9</w:t>
            </w:r>
          </w:p>
        </w:tc>
      </w:tr>
      <w:tr>
        <w:trPr>
          <w:trHeight w:val="425" w:hRule="atLeast"/>
        </w:trPr>
        <w:tc>
          <w:tcPr>
            <w:tcW w:type="dxa" w:w="3249"/>
            <w:vAlign w:val="center"/>
          </w:tcPr>
          <w:p>
            <w:pPr>
              <w:spacing w:line="276" w:lineRule="auto" w:before="0" w:after="0"/>
            </w:pPr>
            <w:r/>
            <w:r>
              <w:rPr>
                <w:rFonts w:ascii="Figtree" w:hAnsi="Figtree"/>
                <w:b w:val="0"/>
                <w:i w:val="0"/>
                <w:sz w:val="20"/>
              </w:rPr>
              <w:t>Trade finance system access</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6–9</w:t>
            </w:r>
          </w:p>
        </w:tc>
      </w:tr>
      <w:tr>
        <w:trPr>
          <w:trHeight w:val="425" w:hRule="atLeast"/>
        </w:trPr>
        <w:tc>
          <w:tcPr>
            <w:tcW w:type="dxa" w:w="3249"/>
            <w:vAlign w:val="center"/>
          </w:tcPr>
          <w:p>
            <w:pPr>
              <w:spacing w:line="276" w:lineRule="auto" w:before="0" w:after="0"/>
            </w:pPr>
            <w:r/>
            <w:r>
              <w:rPr>
                <w:rFonts w:ascii="Figtree" w:hAnsi="Figtree"/>
                <w:b w:val="0"/>
                <w:i w:val="0"/>
                <w:sz w:val="20"/>
              </w:rPr>
              <w:t>UAT execution</w:t>
            </w:r>
          </w:p>
        </w:tc>
        <w:tc>
          <w:tcPr>
            <w:tcW w:type="dxa" w:w="3249"/>
            <w:vAlign w:val="center"/>
          </w:tcPr>
          <w:p>
            <w:pPr>
              <w:spacing w:line="276" w:lineRule="auto" w:before="0" w:after="0"/>
            </w:pPr>
            <w:r/>
            <w:r>
              <w:rPr>
                <w:rFonts w:ascii="Figtree" w:hAnsi="Figtree"/>
                <w:b w:val="0"/>
                <w:i w:val="0"/>
                <w:sz w:val="20"/>
              </w:rPr>
              <w:t>20 person-days</w:t>
            </w:r>
          </w:p>
        </w:tc>
        <w:tc>
          <w:tcPr>
            <w:tcW w:type="dxa" w:w="3249"/>
            <w:vAlign w:val="center"/>
          </w:tcPr>
          <w:p>
            <w:pPr>
              <w:spacing w:line="276" w:lineRule="auto" w:before="0" w:after="0"/>
            </w:pPr>
            <w:r/>
            <w:r>
              <w:rPr>
                <w:rFonts w:ascii="Figtree" w:hAnsi="Figtree"/>
                <w:b w:val="0"/>
                <w:i w:val="0"/>
                <w:sz w:val="20"/>
              </w:rPr>
              <w:t>Weeks 10–13</w:t>
            </w:r>
          </w:p>
        </w:tc>
      </w:tr>
      <w:tr>
        <w:trPr>
          <w:trHeight w:val="425" w:hRule="atLeast"/>
        </w:trPr>
        <w:tc>
          <w:tcPr>
            <w:tcW w:type="dxa" w:w="3249"/>
            <w:vAlign w:val="center"/>
          </w:tcPr>
          <w:p>
            <w:pPr>
              <w:spacing w:line="276" w:lineRule="auto" w:before="0" w:after="0"/>
            </w:pPr>
            <w:r/>
            <w:r>
              <w:rPr>
                <w:rFonts w:ascii="Figtree" w:hAnsi="Figtree"/>
                <w:b w:val="0"/>
                <w:i w:val="0"/>
                <w:sz w:val="20"/>
              </w:rPr>
              <w:t>Operations readiness</w:t>
            </w:r>
          </w:p>
        </w:tc>
        <w:tc>
          <w:tcPr>
            <w:tcW w:type="dxa" w:w="3249"/>
            <w:vAlign w:val="center"/>
          </w:tcPr>
          <w:p>
            <w:pPr>
              <w:spacing w:line="276" w:lineRule="auto" w:before="0" w:after="0"/>
            </w:pPr>
            <w:r/>
            <w:r>
              <w:rPr>
                <w:rFonts w:ascii="Figtree" w:hAnsi="Figtree"/>
                <w:b w:val="0"/>
                <w:i w:val="0"/>
                <w:sz w:val="20"/>
              </w:rPr>
              <w:t>10 person-days</w:t>
            </w:r>
          </w:p>
        </w:tc>
        <w:tc>
          <w:tcPr>
            <w:tcW w:type="dxa" w:w="3249"/>
            <w:vAlign w:val="center"/>
          </w:tcPr>
          <w:p>
            <w:pPr>
              <w:spacing w:line="276" w:lineRule="auto" w:before="0" w:after="0"/>
            </w:pPr>
            <w:r/>
            <w:r>
              <w:rPr>
                <w:rFonts w:ascii="Figtree" w:hAnsi="Figtree"/>
                <w:b w:val="0"/>
                <w:i w:val="0"/>
                <w:sz w:val="20"/>
              </w:rPr>
              <w:t>Weeks 14–19</w:t>
            </w:r>
          </w:p>
        </w:tc>
      </w:tr>
      <w:tr>
        <w:trPr>
          <w:trHeight w:val="425" w:hRule="atLeast"/>
        </w:trPr>
        <w:tc>
          <w:tcPr>
            <w:tcW w:type="dxa" w:w="3249"/>
            <w:vAlign w:val="center"/>
          </w:tcPr>
          <w:p>
            <w:pPr>
              <w:spacing w:line="276" w:lineRule="auto" w:before="0" w:after="0"/>
            </w:pPr>
            <w:r/>
            <w:r>
              <w:rPr>
                <w:rFonts w:ascii="Figtree" w:hAnsi="Figtree"/>
                <w:b/>
                <w:i w:val="0"/>
                <w:sz w:val="20"/>
              </w:rPr>
              <w:t>Total estimated client effort</w:t>
            </w:r>
          </w:p>
        </w:tc>
        <w:tc>
          <w:tcPr>
            <w:tcW w:type="dxa" w:w="3249"/>
            <w:vAlign w:val="center"/>
          </w:tcPr>
          <w:p>
            <w:pPr>
              <w:spacing w:line="276" w:lineRule="auto" w:before="0" w:after="0"/>
            </w:pPr>
            <w:r/>
            <w:r>
              <w:rPr>
                <w:rFonts w:ascii="Figtree" w:hAnsi="Figtree"/>
                <w:b/>
                <w:i w:val="0"/>
                <w:sz w:val="20"/>
              </w:rPr>
              <w:t>75 person-days</w:t>
            </w:r>
          </w:p>
        </w:tc>
        <w:tc>
          <w:tcPr>
            <w:tcW w:type="dxa" w:w="3249"/>
            <w:vAlign w:val="center"/>
          </w:tcPr>
          <w:p>
            <w:pPr>
              <w:spacing w:line="276" w:lineRule="auto" w:before="0" w:after="0"/>
            </w:pPr>
            <w:r/>
          </w:p>
        </w:tc>
      </w:tr>
    </w:tbl>
    <w:p>
      <w:pPr>
        <w:spacing w:before="0" w:after="0" w:line="120" w:lineRule="exact"/>
      </w:pPr>
    </w:p>
    <w:p>
      <w:r>
        <w:br w:type="page"/>
      </w:r>
    </w:p>
    <w:p>
      <w:pPr>
        <w:pStyle w:val="H2"/>
        <w:numPr>
          <w:ilvl w:val="1"/>
          <w:numId w:val="1"/>
        </w:numPr>
      </w:pPr>
      <w:r>
        <w:t>Support Pricing</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3"/>
        <w:gridCol w:w="60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 Support for Emirates NBD</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16×5 (Sunday–Thursday for UAE alignment)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1 business day</w:t>
            </w:r>
          </w:p>
        </w:tc>
      </w:tr>
      <w:tr>
        <w:trPr>
          <w:trHeight w:val="425" w:hRule="atLeast"/>
        </w:trPr>
        <w:tc>
          <w:tcPr>
            <w:tcW w:type="dxa" w:w="4873"/>
            <w:vAlign w:val="center"/>
          </w:tcPr>
          <w:p>
            <w:pPr>
              <w:spacing w:line="276" w:lineRule="auto" w:before="0" w:after="0"/>
            </w:pPr>
            <w:r/>
            <w:r>
              <w:rPr>
                <w:rFonts w:ascii="Figtree" w:hAnsi="Figtree"/>
                <w:b w:val="0"/>
                <w:i w:val="0"/>
                <w:sz w:val="20"/>
              </w:rPr>
              <w:t>P4 response time</w:t>
            </w:r>
          </w:p>
        </w:tc>
        <w:tc>
          <w:tcPr>
            <w:tcW w:type="dxa" w:w="4873"/>
            <w:vAlign w:val="center"/>
          </w:tcPr>
          <w:p>
            <w:pPr>
              <w:spacing w:line="276" w:lineRule="auto" w:before="0" w:after="0"/>
            </w:pPr>
            <w:r/>
            <w:r>
              <w:rPr>
                <w:rFonts w:ascii="Figtree" w:hAnsi="Figtree"/>
                <w:b w:val="0"/>
                <w:i w:val="0"/>
                <w:sz w:val="20"/>
              </w:rPr>
              <w:t>3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Dedicated support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portal, dedicated Slack/Teams channel, phone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Up to 8 authorized</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Monthly release cycle with early access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Enhanced with anomaly detection</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Monthly business review with technical deep-dive</w:t>
            </w:r>
          </w:p>
        </w:tc>
      </w:tr>
    </w:tbl>
    <w:p>
      <w:pPr>
        <w:spacing w:before="0" w:after="0" w:line="120" w:lineRule="exact"/>
      </w:pPr>
    </w:p>
    <w:p>
      <w:r>
        <w:rPr>
          <w:rFonts w:ascii="Figtree" w:hAnsi="Figtree"/>
          <w:b/>
          <w:i w:val="0"/>
          <w:sz w:val="22"/>
        </w:rPr>
        <w:t>Annual support fee:</w:t>
      </w:r>
      <w:r>
        <w:rPr>
          <w:rFonts w:ascii="Figtree" w:hAnsi="Figtree"/>
          <w:b w:val="0"/>
          <w:i w:val="0"/>
          <w:sz w:val="22"/>
        </w:rPr>
        <w:t xml:space="preserve"> [CLIENT-SPECIFIC]</w:t>
      </w:r>
    </w:p>
    <w:p>
      <w:pPr>
        <w:pStyle w:val="H3"/>
        <w:numPr>
          <w:ilvl w:val="2"/>
          <w:numId w:val="1"/>
        </w:numPr>
      </w:pPr>
      <w:r>
        <w:t>Support 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7"/>
        <w:gridCol w:w="1895"/>
        <w:gridCol w:w="2843"/>
        <w:gridCol w:w="18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16×5 + P1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Dedicated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Update cycle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bl>
    <w:p>
      <w:pPr>
        <w:spacing w:before="0" w:after="0" w:line="120" w:lineRule="exact"/>
      </w:pPr>
    </w:p>
    <w:p>
      <w:r>
        <w:br w:type="page"/>
      </w:r>
    </w:p>
    <w:p>
      <w:pPr>
        <w:pStyle w:val="H2"/>
        <w:numPr>
          <w:ilvl w:val="1"/>
          <w:numId w:val="1"/>
        </w:numPr>
      </w:pPr>
      <w:r>
        <w:t>Total Cost of Ownership</w:t>
      </w:r>
    </w:p>
    <w:p>
      <w:pPr>
        <w:pStyle w:val="H3"/>
        <w:numPr>
          <w:ilvl w:val="2"/>
          <w:numId w:val="1"/>
        </w:numPr>
      </w:pPr>
      <w:r>
        <w:t>Three-Year TCO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8"/>
        <w:gridCol w:w="1685"/>
        <w:gridCol w:w="1685"/>
        <w:gridCol w:w="1685"/>
        <w:gridCol w:w="168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Three-Year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Support (Premium)</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(cloud)</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r>
        <w:rPr>
          <w:rFonts w:ascii="Figtree" w:hAnsi="Figtree"/>
          <w:b/>
          <w:i w:val="0"/>
          <w:sz w:val="22"/>
        </w:rPr>
        <w:t>What is NOT included in the estimate:</w:t>
      </w:r>
    </w:p>
    <w:p>
      <w:pPr>
        <w:pStyle w:val="ListParagraph"/>
        <w:numPr>
          <w:ilvl w:val="0"/>
          <w:numId w:val="4"/>
        </w:numPr>
      </w:pPr>
      <w:r>
        <w:rPr>
          <w:rFonts w:ascii="Figtree" w:hAnsi="Figtree"/>
          <w:b w:val="0"/>
          <w:i w:val="0"/>
          <w:sz w:val="22"/>
        </w:rPr>
        <w:t>Emirates NBD internal resource costs (75 person-days estimated)</w:t>
      </w:r>
    </w:p>
    <w:p>
      <w:pPr>
        <w:pStyle w:val="ListParagraph"/>
        <w:numPr>
          <w:ilvl w:val="0"/>
          <w:numId w:val="4"/>
        </w:numPr>
      </w:pPr>
      <w:r>
        <w:rPr>
          <w:rFonts w:ascii="Figtree" w:hAnsi="Figtree"/>
          <w:b w:val="0"/>
          <w:i w:val="0"/>
          <w:sz w:val="22"/>
        </w:rPr>
        <w:t>Third-party custody provider fees (DFNS or Fireblocks — separate commercial agreement)</w:t>
      </w:r>
    </w:p>
    <w:p>
      <w:pPr>
        <w:pStyle w:val="ListParagraph"/>
        <w:numPr>
          <w:ilvl w:val="0"/>
          <w:numId w:val="4"/>
        </w:numPr>
      </w:pPr>
      <w:r>
        <w:rPr>
          <w:rFonts w:ascii="Figtree" w:hAnsi="Figtree"/>
          <w:b w:val="0"/>
          <w:i w:val="0"/>
          <w:sz w:val="22"/>
        </w:rPr>
        <w:t>Cloud infrastructure costs beyond SettleMint-managed components</w:t>
      </w:r>
    </w:p>
    <w:p>
      <w:pPr>
        <w:pStyle w:val="ListParagraph"/>
        <w:numPr>
          <w:ilvl w:val="0"/>
          <w:numId w:val="4"/>
        </w:numPr>
      </w:pPr>
      <w:r>
        <w:rPr>
          <w:rFonts w:ascii="Figtree" w:hAnsi="Figtree"/>
          <w:b w:val="0"/>
          <w:i w:val="0"/>
          <w:sz w:val="22"/>
        </w:rPr>
        <w:t>Legal and regulatory advisory costs</w:t>
      </w:r>
    </w:p>
    <w:p>
      <w:pPr>
        <w:pStyle w:val="ListParagraph"/>
        <w:numPr>
          <w:ilvl w:val="0"/>
          <w:numId w:val="4"/>
        </w:numPr>
      </w:pPr>
      <w:r>
        <w:rPr>
          <w:rFonts w:ascii="Figtree" w:hAnsi="Figtree"/>
          <w:b w:val="0"/>
          <w:i w:val="0"/>
          <w:sz w:val="22"/>
        </w:rPr>
        <w:t>Any bespoke development beyond platform configuration</w:t>
      </w:r>
    </w:p>
    <w:p>
      <w:pPr>
        <w:pStyle w:val="H3"/>
        <w:numPr>
          <w:ilvl w:val="2"/>
          <w:numId w:val="1"/>
        </w:numPr>
      </w:pPr>
      <w:r>
        <w:t>TCO vs. Build Decision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48"/>
        <w:gridCol w:w="3024"/>
        <w:gridCol w:w="28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Internally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12–24 months</w:t>
            </w:r>
          </w:p>
        </w:tc>
        <w:tc>
          <w:tcPr>
            <w:tcW w:type="dxa" w:w="3249"/>
            <w:vAlign w:val="center"/>
          </w:tcPr>
          <w:p>
            <w:pPr>
              <w:spacing w:line="276" w:lineRule="auto" w:before="0" w:after="0"/>
            </w:pPr>
            <w:r/>
            <w:r>
              <w:rPr>
                <w:rFonts w:ascii="Figtree" w:hAnsi="Figtree"/>
                <w:b w:val="0"/>
                <w:i w:val="0"/>
                <w:sz w:val="20"/>
              </w:rPr>
              <w:t>19 weeks</w:t>
            </w:r>
          </w:p>
        </w:tc>
      </w:tr>
      <w:tr>
        <w:trPr>
          <w:trHeight w:val="425" w:hRule="atLeast"/>
        </w:trPr>
        <w:tc>
          <w:tcPr>
            <w:tcW w:type="dxa" w:w="3249"/>
            <w:vAlign w:val="center"/>
          </w:tcPr>
          <w:p>
            <w:pPr>
              <w:spacing w:line="276" w:lineRule="auto" w:before="0" w:after="0"/>
            </w:pPr>
            <w:r/>
            <w:r>
              <w:rPr>
                <w:rFonts w:ascii="Figtree" w:hAnsi="Figtree"/>
                <w:b w:val="0"/>
                <w:i w:val="0"/>
                <w:sz w:val="20"/>
              </w:rPr>
              <w:t>Engineering team required</w:t>
            </w:r>
          </w:p>
        </w:tc>
        <w:tc>
          <w:tcPr>
            <w:tcW w:type="dxa" w:w="3249"/>
            <w:vAlign w:val="center"/>
          </w:tcPr>
          <w:p>
            <w:pPr>
              <w:spacing w:line="276" w:lineRule="auto" w:before="0" w:after="0"/>
            </w:pPr>
            <w:r/>
            <w:r>
              <w:rPr>
                <w:rFonts w:ascii="Figtree" w:hAnsi="Figtree"/>
                <w:b w:val="0"/>
                <w:i w:val="0"/>
                <w:sz w:val="20"/>
              </w:rPr>
              <w:t>8–15 FTEs</w:t>
            </w:r>
          </w:p>
        </w:tc>
        <w:tc>
          <w:tcPr>
            <w:tcW w:type="dxa" w:w="3249"/>
            <w:vAlign w:val="center"/>
          </w:tcPr>
          <w:p>
            <w:pPr>
              <w:spacing w:line="276" w:lineRule="auto" w:before="0" w:after="0"/>
            </w:pPr>
            <w:r/>
            <w:r>
              <w:rPr>
                <w:rFonts w:ascii="Figtree" w:hAnsi="Figtree"/>
                <w:b w:val="0"/>
                <w:i w:val="0"/>
                <w:sz w:val="20"/>
              </w:rPr>
              <w:t>0 FTEs (platform managed)</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w:t>
            </w:r>
          </w:p>
        </w:tc>
        <w:tc>
          <w:tcPr>
            <w:tcW w:type="dxa" w:w="3249"/>
            <w:vAlign w:val="center"/>
          </w:tcPr>
          <w:p>
            <w:pPr>
              <w:spacing w:line="276" w:lineRule="auto" w:before="0" w:after="0"/>
            </w:pPr>
            <w:r/>
            <w:r>
              <w:rPr>
                <w:rFonts w:ascii="Figtree" w:hAnsi="Figtree"/>
                <w:b w:val="0"/>
                <w:i w:val="0"/>
                <w:sz w:val="20"/>
              </w:rPr>
              <w:t>$200K–$500K per asset class</w:t>
            </w:r>
          </w:p>
        </w:tc>
        <w:tc>
          <w:tcPr>
            <w:tcW w:type="dxa" w:w="3249"/>
            <w:vAlign w:val="center"/>
          </w:tcPr>
          <w:p>
            <w:pPr>
              <w:spacing w:line="276" w:lineRule="auto" w:before="0" w:after="0"/>
            </w:pPr>
            <w:r/>
            <w:r>
              <w:rPr>
                <w:rFonts w:ascii="Figtree" w:hAnsi="Figtree"/>
                <w:b w:val="0"/>
                <w:i w:val="0"/>
                <w:sz w:val="20"/>
              </w:rPr>
              <w:t>Included (pre-audited)</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Custom per regulation</w:t>
            </w:r>
          </w:p>
        </w:tc>
        <w:tc>
          <w:tcPr>
            <w:tcW w:type="dxa" w:w="3249"/>
            <w:vAlign w:val="center"/>
          </w:tcPr>
          <w:p>
            <w:pPr>
              <w:spacing w:line="276" w:lineRule="auto" w:before="0" w:after="0"/>
            </w:pPr>
            <w:r/>
            <w:r>
              <w:rPr>
                <w:rFonts w:ascii="Figtree" w:hAnsi="Figtree"/>
                <w:b w:val="0"/>
                <w:i w:val="0"/>
                <w:sz w:val="20"/>
              </w:rPr>
              <w:t>18 modules included</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4–6 FTEs</w:t>
            </w:r>
          </w:p>
        </w:tc>
        <w:tc>
          <w:tcPr>
            <w:tcW w:type="dxa" w:w="3249"/>
            <w:vAlign w:val="center"/>
          </w:tcPr>
          <w:p>
            <w:pPr>
              <w:spacing w:line="276" w:lineRule="auto" w:before="0" w:after="0"/>
            </w:pPr>
            <w:r/>
            <w:r>
              <w:rPr>
                <w:rFonts w:ascii="Figtree" w:hAnsi="Figtree"/>
                <w:b w:val="0"/>
                <w:i w:val="0"/>
                <w:sz w:val="20"/>
              </w:rPr>
              <w:t>Included in support</w:t>
            </w:r>
          </w:p>
        </w:tc>
      </w:tr>
      <w:tr>
        <w:trPr>
          <w:trHeight w:val="425" w:hRule="atLeast"/>
        </w:trPr>
        <w:tc>
          <w:tcPr>
            <w:tcW w:type="dxa" w:w="3249"/>
            <w:vAlign w:val="center"/>
          </w:tcPr>
          <w:p>
            <w:pPr>
              <w:spacing w:line="276" w:lineRule="auto" w:before="0" w:after="0"/>
            </w:pPr>
            <w:r/>
            <w:r>
              <w:rPr>
                <w:rFonts w:ascii="Figtree" w:hAnsi="Figtree"/>
                <w:b w:val="0"/>
                <w:i w:val="0"/>
                <w:sz w:val="20"/>
              </w:rPr>
              <w:t>Multi-asset scalability</w:t>
            </w:r>
          </w:p>
        </w:tc>
        <w:tc>
          <w:tcPr>
            <w:tcW w:type="dxa" w:w="3249"/>
            <w:vAlign w:val="center"/>
          </w:tcPr>
          <w:p>
            <w:pPr>
              <w:spacing w:line="276" w:lineRule="auto" w:before="0" w:after="0"/>
            </w:pPr>
            <w:r/>
            <w:r>
              <w:rPr>
                <w:rFonts w:ascii="Figtree" w:hAnsi="Figtree"/>
                <w:b w:val="0"/>
                <w:i w:val="0"/>
                <w:sz w:val="20"/>
              </w:rPr>
              <w:t>Rebuild per asset type</w:t>
            </w:r>
          </w:p>
        </w:tc>
        <w:tc>
          <w:tcPr>
            <w:tcW w:type="dxa" w:w="3249"/>
            <w:vAlign w:val="center"/>
          </w:tcPr>
          <w:p>
            <w:pPr>
              <w:spacing w:line="276" w:lineRule="auto" w:before="0" w:after="0"/>
            </w:pPr>
            <w:r/>
            <w:r>
              <w:rPr>
                <w:rFonts w:ascii="Figtree" w:hAnsi="Figtree"/>
                <w:b w:val="0"/>
                <w:i w:val="0"/>
                <w:sz w:val="20"/>
              </w:rPr>
              <w:t>Configuration change</w:t>
            </w:r>
          </w:p>
        </w:tc>
      </w:tr>
    </w:tbl>
    <w:p>
      <w:pPr>
        <w:spacing w:before="0" w:after="0" w:line="120" w:lineRule="exact"/>
      </w:pPr>
    </w:p>
    <w:p>
      <w:r>
        <w:br w:type="page"/>
      </w:r>
    </w:p>
    <w:p>
      <w:pPr>
        <w:pStyle w:val="H2"/>
        <w:numPr>
          <w:ilvl w:val="1"/>
          <w:numId w:val="1"/>
        </w:numPr>
      </w:pPr>
      <w:r>
        <w:t>Payment Terms</w:t>
      </w:r>
    </w:p>
    <w:p>
      <w:pPr>
        <w:pStyle w:val="H3"/>
        <w:numPr>
          <w:ilvl w:val="2"/>
          <w:numId w:val="1"/>
        </w:numPr>
      </w:pPr>
      <w:r>
        <w:t>Standard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19"/>
        <w:gridCol w:w="2209"/>
        <w:gridCol w:w="24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30% of Year 1 total</w:t>
            </w:r>
          </w:p>
        </w:tc>
        <w:tc>
          <w:tcPr>
            <w:tcW w:type="dxa" w:w="3249"/>
            <w:vAlign w:val="center"/>
          </w:tcPr>
          <w:p>
            <w:pPr>
              <w:spacing w:line="276" w:lineRule="auto" w:before="0" w:after="0"/>
            </w:pPr>
            <w:r/>
            <w:r>
              <w:rPr>
                <w:rFonts w:ascii="Figtree" w:hAnsi="Figtree"/>
                <w:b w:val="0"/>
                <w:i w:val="0"/>
                <w:sz w:val="20"/>
              </w:rPr>
              <w:t>Executed agreement</w:t>
            </w:r>
          </w:p>
        </w:tc>
      </w:tr>
      <w:tr>
        <w:trPr>
          <w:trHeight w:val="425" w:hRule="atLeast"/>
        </w:trPr>
        <w:tc>
          <w:tcPr>
            <w:tcW w:type="dxa" w:w="3249"/>
            <w:vAlign w:val="center"/>
          </w:tcPr>
          <w:p>
            <w:pPr>
              <w:spacing w:line="276" w:lineRule="auto" w:before="0" w:after="0"/>
            </w:pPr>
            <w:r/>
            <w:r>
              <w:rPr>
                <w:rFonts w:ascii="Figtree" w:hAnsi="Figtree"/>
                <w:b w:val="0"/>
                <w:i w:val="0"/>
                <w:sz w:val="20"/>
              </w:rPr>
              <w:t>Gate 2 completion (environments ready)</w:t>
            </w:r>
          </w:p>
        </w:tc>
        <w:tc>
          <w:tcPr>
            <w:tcW w:type="dxa" w:w="3249"/>
            <w:vAlign w:val="center"/>
          </w:tcPr>
          <w:p>
            <w:pPr>
              <w:spacing w:line="276" w:lineRule="auto" w:before="0" w:after="0"/>
            </w:pPr>
            <w:r/>
            <w:r>
              <w:rPr>
                <w:rFonts w:ascii="Figtree" w:hAnsi="Figtree"/>
                <w:b w:val="0"/>
                <w:i w:val="0"/>
                <w:sz w:val="20"/>
              </w:rPr>
              <w:t>20% of Year 1 total</w:t>
            </w:r>
          </w:p>
        </w:tc>
        <w:tc>
          <w:tcPr>
            <w:tcW w:type="dxa" w:w="3249"/>
            <w:vAlign w:val="center"/>
          </w:tcPr>
          <w:p>
            <w:pPr>
              <w:spacing w:line="276" w:lineRule="auto" w:before="0" w:after="0"/>
            </w:pPr>
            <w:r/>
            <w:r>
              <w:rPr>
                <w:rFonts w:ascii="Figtree" w:hAnsi="Figtree"/>
                <w:b w:val="0"/>
                <w:i w:val="0"/>
                <w:sz w:val="20"/>
              </w:rPr>
              <w:t>Gate 2 sign-off</w:t>
            </w:r>
          </w:p>
        </w:tc>
      </w:tr>
      <w:tr>
        <w:trPr>
          <w:trHeight w:val="425" w:hRule="atLeast"/>
        </w:trPr>
        <w:tc>
          <w:tcPr>
            <w:tcW w:type="dxa" w:w="3249"/>
            <w:vAlign w:val="center"/>
          </w:tcPr>
          <w:p>
            <w:pPr>
              <w:spacing w:line="276" w:lineRule="auto" w:before="0" w:after="0"/>
            </w:pPr>
            <w:r/>
            <w:r>
              <w:rPr>
                <w:rFonts w:ascii="Figtree" w:hAnsi="Figtree"/>
                <w:b w:val="0"/>
                <w:i w:val="0"/>
                <w:sz w:val="20"/>
              </w:rPr>
              <w:t>Gate 4 completion (UAT passed)</w:t>
            </w:r>
          </w:p>
        </w:tc>
        <w:tc>
          <w:tcPr>
            <w:tcW w:type="dxa" w:w="3249"/>
            <w:vAlign w:val="center"/>
          </w:tcPr>
          <w:p>
            <w:pPr>
              <w:spacing w:line="276" w:lineRule="auto" w:before="0" w:after="0"/>
            </w:pPr>
            <w:r/>
            <w:r>
              <w:rPr>
                <w:rFonts w:ascii="Figtree" w:hAnsi="Figtree"/>
                <w:b w:val="0"/>
                <w:i w:val="0"/>
                <w:sz w:val="20"/>
              </w:rPr>
              <w:t>30% of Year 1 total</w:t>
            </w:r>
          </w:p>
        </w:tc>
        <w:tc>
          <w:tcPr>
            <w:tcW w:type="dxa" w:w="3249"/>
            <w:vAlign w:val="center"/>
          </w:tcPr>
          <w:p>
            <w:pPr>
              <w:spacing w:line="276" w:lineRule="auto" w:before="0" w:after="0"/>
            </w:pPr>
            <w:r/>
            <w:r>
              <w:rPr>
                <w:rFonts w:ascii="Figtree" w:hAnsi="Figtree"/>
                <w:b w:val="0"/>
                <w:i w:val="0"/>
                <w:sz w:val="20"/>
              </w:rPr>
              <w:t>Gate 4 sign-off</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20% of Year 1 total</w:t>
            </w:r>
          </w:p>
        </w:tc>
        <w:tc>
          <w:tcPr>
            <w:tcW w:type="dxa" w:w="3249"/>
            <w:vAlign w:val="center"/>
          </w:tcPr>
          <w:p>
            <w:pPr>
              <w:spacing w:line="276" w:lineRule="auto" w:before="0" w:after="0"/>
            </w:pPr>
            <w:r/>
            <w:r>
              <w:rPr>
                <w:rFonts w:ascii="Figtree" w:hAnsi="Figtree"/>
                <w:b w:val="0"/>
                <w:i w:val="0"/>
                <w:sz w:val="20"/>
              </w:rPr>
              <w:t>Production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w:t>
            </w:r>
          </w:p>
        </w:tc>
        <w:tc>
          <w:tcPr>
            <w:tcW w:type="dxa" w:w="3249"/>
            <w:vAlign w:val="center"/>
          </w:tcPr>
          <w:p>
            <w:pPr>
              <w:spacing w:line="276" w:lineRule="auto" w:before="0" w:after="0"/>
            </w:pPr>
            <w:r/>
            <w:r>
              <w:rPr>
                <w:rFonts w:ascii="Figtree" w:hAnsi="Figtree"/>
                <w:b w:val="0"/>
                <w:i w:val="0"/>
                <w:sz w:val="20"/>
              </w:rPr>
              <w:t>Annual fee</w:t>
            </w:r>
          </w:p>
        </w:tc>
        <w:tc>
          <w:tcPr>
            <w:tcW w:type="dxa" w:w="3249"/>
            <w:vAlign w:val="center"/>
          </w:tcPr>
          <w:p>
            <w:pPr>
              <w:spacing w:line="276" w:lineRule="auto" w:before="0" w:after="0"/>
            </w:pPr>
            <w:r/>
            <w:r>
              <w:rPr>
                <w:rFonts w:ascii="Figtree" w:hAnsi="Figtree"/>
                <w:b w:val="0"/>
                <w:i w:val="0"/>
                <w:sz w:val="20"/>
              </w:rPr>
              <w:t>Anniversary date</w:t>
            </w:r>
          </w:p>
        </w:tc>
      </w:tr>
    </w:tbl>
    <w:p>
      <w:pPr>
        <w:spacing w:before="0" w:after="0" w:line="120" w:lineRule="exact"/>
      </w:pPr>
    </w:p>
    <w:p>
      <w:pPr>
        <w:pStyle w:val="H3"/>
        <w:numPr>
          <w:ilvl w:val="2"/>
          <w:numId w:val="1"/>
        </w:numPr>
      </w:pPr>
      <w:r>
        <w:t>Commercial 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7"/>
        <w:gridCol w:w="65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Currency</w:t>
            </w:r>
          </w:p>
        </w:tc>
        <w:tc>
          <w:tcPr>
            <w:tcW w:type="dxa" w:w="4873"/>
            <w:vAlign w:val="center"/>
          </w:tcPr>
          <w:p>
            <w:pPr>
              <w:spacing w:line="276" w:lineRule="auto" w:before="0" w:after="0"/>
            </w:pPr>
            <w:r/>
            <w:r>
              <w:rPr>
                <w:rFonts w:ascii="Figtree" w:hAnsi="Figtree"/>
                <w:b w:val="0"/>
                <w:i w:val="0"/>
                <w:sz w:val="20"/>
              </w:rPr>
              <w:t>USD</w:t>
            </w:r>
          </w:p>
        </w:tc>
      </w:tr>
      <w:tr>
        <w:trPr>
          <w:trHeight w:val="425" w:hRule="atLeast"/>
        </w:trPr>
        <w:tc>
          <w:tcPr>
            <w:tcW w:type="dxa" w:w="4873"/>
            <w:vAlign w:val="center"/>
          </w:tcPr>
          <w:p>
            <w:pPr>
              <w:spacing w:line="276" w:lineRule="auto" w:before="0" w:after="0"/>
            </w:pPr>
            <w:r/>
            <w:r>
              <w:rPr>
                <w:rFonts w:ascii="Figtree" w:hAnsi="Figtree"/>
                <w:b w:val="0"/>
                <w:i w:val="0"/>
                <w:sz w:val="20"/>
              </w:rPr>
              <w:t>Payment terms</w:t>
            </w:r>
          </w:p>
        </w:tc>
        <w:tc>
          <w:tcPr>
            <w:tcW w:type="dxa" w:w="4873"/>
            <w:vAlign w:val="center"/>
          </w:tcPr>
          <w:p>
            <w:pPr>
              <w:spacing w:line="276" w:lineRule="auto" w:before="0" w:after="0"/>
            </w:pPr>
            <w:r/>
            <w:r>
              <w:rPr>
                <w:rFonts w:ascii="Figtree" w:hAnsi="Figtree"/>
                <w:b w:val="0"/>
                <w:i w:val="0"/>
                <w:sz w:val="20"/>
              </w:rPr>
              <w:t>Net 30 from invoice date</w:t>
            </w:r>
          </w:p>
        </w:tc>
      </w:tr>
      <w:tr>
        <w:trPr>
          <w:trHeight w:val="425" w:hRule="atLeast"/>
        </w:trPr>
        <w:tc>
          <w:tcPr>
            <w:tcW w:type="dxa" w:w="4873"/>
            <w:vAlign w:val="center"/>
          </w:tcPr>
          <w:p>
            <w:pPr>
              <w:spacing w:line="276" w:lineRule="auto" w:before="0" w:after="0"/>
            </w:pPr>
            <w:r/>
            <w:r>
              <w:rPr>
                <w:rFonts w:ascii="Figtree" w:hAnsi="Figtree"/>
                <w:b w:val="0"/>
                <w:i w:val="0"/>
                <w:sz w:val="20"/>
              </w:rPr>
              <w:t>Contract term</w:t>
            </w:r>
          </w:p>
        </w:tc>
        <w:tc>
          <w:tcPr>
            <w:tcW w:type="dxa" w:w="4873"/>
            <w:vAlign w:val="center"/>
          </w:tcPr>
          <w:p>
            <w:pPr>
              <w:spacing w:line="276" w:lineRule="auto" w:before="0" w:after="0"/>
            </w:pPr>
            <w:r/>
            <w:r>
              <w:rPr>
                <w:rFonts w:ascii="Figtree" w:hAnsi="Figtree"/>
                <w:b w:val="0"/>
                <w:i w:val="0"/>
                <w:sz w:val="20"/>
              </w:rPr>
              <w:t>3 years (annual renewal thereafter)</w:t>
            </w:r>
          </w:p>
        </w:tc>
      </w:tr>
      <w:tr>
        <w:trPr>
          <w:trHeight w:val="425" w:hRule="atLeast"/>
        </w:trPr>
        <w:tc>
          <w:tcPr>
            <w:tcW w:type="dxa" w:w="4873"/>
            <w:vAlign w:val="center"/>
          </w:tcPr>
          <w:p>
            <w:pPr>
              <w:spacing w:line="276" w:lineRule="auto" w:before="0" w:after="0"/>
            </w:pPr>
            <w:r/>
            <w:r>
              <w:rPr>
                <w:rFonts w:ascii="Figtree" w:hAnsi="Figtree"/>
                <w:b w:val="0"/>
                <w:i w:val="0"/>
                <w:sz w:val="20"/>
              </w:rPr>
              <w:t>Price escalation</w:t>
            </w:r>
          </w:p>
        </w:tc>
        <w:tc>
          <w:tcPr>
            <w:tcW w:type="dxa" w:w="4873"/>
            <w:vAlign w:val="center"/>
          </w:tcPr>
          <w:p>
            <w:pPr>
              <w:spacing w:line="276" w:lineRule="auto" w:before="0" w:after="0"/>
            </w:pPr>
            <w:r/>
            <w:r>
              <w:rPr>
                <w:rFonts w:ascii="Figtree" w:hAnsi="Figtree"/>
                <w:b w:val="0"/>
                <w:i w:val="0"/>
                <w:sz w:val="20"/>
              </w:rPr>
              <w:t>Fixed for Year 1; CPI-indexed for Years 2–3 (capped at 5%)</w:t>
            </w:r>
          </w:p>
        </w:tc>
      </w:tr>
      <w:tr>
        <w:trPr>
          <w:trHeight w:val="425" w:hRule="atLeast"/>
        </w:trPr>
        <w:tc>
          <w:tcPr>
            <w:tcW w:type="dxa" w:w="4873"/>
            <w:vAlign w:val="center"/>
          </w:tcPr>
          <w:p>
            <w:pPr>
              <w:spacing w:line="276" w:lineRule="auto" w:before="0" w:after="0"/>
            </w:pPr>
            <w:r/>
            <w:r>
              <w:rPr>
                <w:rFonts w:ascii="Figtree" w:hAnsi="Figtree"/>
                <w:b w:val="0"/>
                <w:i w:val="0"/>
                <w:sz w:val="20"/>
              </w:rPr>
              <w:t>Early termination</w:t>
            </w:r>
          </w:p>
        </w:tc>
        <w:tc>
          <w:tcPr>
            <w:tcW w:type="dxa" w:w="4873"/>
            <w:vAlign w:val="center"/>
          </w:tcPr>
          <w:p>
            <w:pPr>
              <w:spacing w:line="276" w:lineRule="auto" w:before="0" w:after="0"/>
            </w:pPr>
            <w:r/>
            <w:r>
              <w:rPr>
                <w:rFonts w:ascii="Figtree" w:hAnsi="Figtree"/>
                <w:b w:val="0"/>
                <w:i w:val="0"/>
                <w:sz w:val="20"/>
              </w:rPr>
              <w:t>90-day notice; remaining annual license prorated</w:t>
            </w:r>
          </w:p>
        </w:tc>
      </w:tr>
    </w:tbl>
    <w:p>
      <w:pPr>
        <w:spacing w:before="0" w:after="0" w:line="120" w:lineRule="exact"/>
      </w:pPr>
    </w:p>
    <w:p>
      <w:r>
        <w:br w:type="page"/>
      </w:r>
    </w:p>
    <w:p>
      <w:pPr>
        <w:pStyle w:val="H2"/>
        <w:numPr>
          <w:ilvl w:val="1"/>
          <w:numId w:val="1"/>
        </w:numPr>
      </w:pPr>
      <w:r>
        <w:t>Value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04"/>
        <w:gridCol w:w="57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Value 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Quantified Impact</w:t>
            </w:r>
          </w:p>
        </w:tc>
      </w:tr>
      <w:tr>
        <w:trPr>
          <w:trHeight w:val="425" w:hRule="atLeast"/>
        </w:trPr>
        <w:tc>
          <w:tcPr>
            <w:tcW w:type="dxa" w:w="4873"/>
            <w:vAlign w:val="center"/>
          </w:tcPr>
          <w:p>
            <w:pPr>
              <w:spacing w:line="276" w:lineRule="auto" w:before="0" w:after="0"/>
            </w:pPr>
            <w:r/>
            <w:r>
              <w:rPr>
                <w:rFonts w:ascii="Figtree" w:hAnsi="Figtree"/>
                <w:b w:val="0"/>
                <w:i w:val="0"/>
                <w:sz w:val="20"/>
              </w:rPr>
              <w:t>Settlement speed</w:t>
            </w:r>
          </w:p>
        </w:tc>
        <w:tc>
          <w:tcPr>
            <w:tcW w:type="dxa" w:w="4873"/>
            <w:vAlign w:val="center"/>
          </w:tcPr>
          <w:p>
            <w:pPr>
              <w:spacing w:line="276" w:lineRule="auto" w:before="0" w:after="0"/>
            </w:pPr>
            <w:r/>
            <w:r>
              <w:rPr>
                <w:rFonts w:ascii="Figtree" w:hAnsi="Figtree"/>
                <w:b w:val="0"/>
                <w:i w:val="0"/>
                <w:sz w:val="20"/>
              </w:rPr>
              <w:t>T+2/T+5 → T+0 (under 3 seconds)</w:t>
            </w:r>
          </w:p>
        </w:tc>
      </w:tr>
      <w:tr>
        <w:trPr>
          <w:trHeight w:val="425" w:hRule="atLeast"/>
        </w:trPr>
        <w:tc>
          <w:tcPr>
            <w:tcW w:type="dxa" w:w="4873"/>
            <w:vAlign w:val="center"/>
          </w:tcPr>
          <w:p>
            <w:pPr>
              <w:spacing w:line="276" w:lineRule="auto" w:before="0" w:after="0"/>
            </w:pPr>
            <w:r/>
            <w:r>
              <w:rPr>
                <w:rFonts w:ascii="Figtree" w:hAnsi="Figtree"/>
                <w:b w:val="0"/>
                <w:i w:val="0"/>
                <w:sz w:val="20"/>
              </w:rPr>
              <w:t>Time-to-market</w:t>
            </w:r>
          </w:p>
        </w:tc>
        <w:tc>
          <w:tcPr>
            <w:tcW w:type="dxa" w:w="4873"/>
            <w:vAlign w:val="center"/>
          </w:tcPr>
          <w:p>
            <w:pPr>
              <w:spacing w:line="276" w:lineRule="auto" w:before="0" w:after="0"/>
            </w:pPr>
            <w:r/>
            <w:r>
              <w:rPr>
                <w:rFonts w:ascii="Figtree" w:hAnsi="Figtree"/>
                <w:b w:val="0"/>
                <w:i w:val="0"/>
                <w:sz w:val="20"/>
              </w:rPr>
              <w:t>6–12 months → 19 weeks (first product)</w:t>
            </w:r>
          </w:p>
        </w:tc>
      </w:tr>
      <w:tr>
        <w:trPr>
          <w:trHeight w:val="425" w:hRule="atLeast"/>
        </w:trPr>
        <w:tc>
          <w:tcPr>
            <w:tcW w:type="dxa" w:w="4873"/>
            <w:vAlign w:val="center"/>
          </w:tcPr>
          <w:p>
            <w:pPr>
              <w:spacing w:line="276" w:lineRule="auto" w:before="0" w:after="0"/>
            </w:pPr>
            <w:r/>
            <w:r>
              <w:rPr>
                <w:rFonts w:ascii="Figtree" w:hAnsi="Figtree"/>
                <w:b w:val="0"/>
                <w:i w:val="0"/>
                <w:sz w:val="20"/>
              </w:rPr>
              <w:t>Reconciliation effort</w:t>
            </w:r>
          </w:p>
        </w:tc>
        <w:tc>
          <w:tcPr>
            <w:tcW w:type="dxa" w:w="4873"/>
            <w:vAlign w:val="center"/>
          </w:tcPr>
          <w:p>
            <w:pPr>
              <w:spacing w:line="276" w:lineRule="auto" w:before="0" w:after="0"/>
            </w:pPr>
            <w:r/>
            <w:r>
              <w:rPr>
                <w:rFonts w:ascii="Figtree" w:hAnsi="Figtree"/>
                <w:b w:val="0"/>
                <w:i w:val="0"/>
                <w:sz w:val="20"/>
              </w:rPr>
              <w:t>60–80% reduction (estimate)</w:t>
            </w:r>
          </w:p>
        </w:tc>
      </w:tr>
      <w:tr>
        <w:trPr>
          <w:trHeight w:val="425" w:hRule="atLeast"/>
        </w:trPr>
        <w:tc>
          <w:tcPr>
            <w:tcW w:type="dxa" w:w="4873"/>
            <w:vAlign w:val="center"/>
          </w:tcPr>
          <w:p>
            <w:pPr>
              <w:spacing w:line="276" w:lineRule="auto" w:before="0" w:after="0"/>
            </w:pPr>
            <w:r/>
            <w:r>
              <w:rPr>
                <w:rFonts w:ascii="Figtree" w:hAnsi="Figtree"/>
                <w:b w:val="0"/>
                <w:i w:val="0"/>
                <w:sz w:val="20"/>
              </w:rPr>
              <w:t>Compliance audit prep</w:t>
            </w:r>
          </w:p>
        </w:tc>
        <w:tc>
          <w:tcPr>
            <w:tcW w:type="dxa" w:w="4873"/>
            <w:vAlign w:val="center"/>
          </w:tcPr>
          <w:p>
            <w:pPr>
              <w:spacing w:line="276" w:lineRule="auto" w:before="0" w:after="0"/>
            </w:pPr>
            <w:r/>
            <w:r>
              <w:rPr>
                <w:rFonts w:ascii="Figtree" w:hAnsi="Figtree"/>
                <w:b w:val="0"/>
                <w:i w:val="0"/>
                <w:sz w:val="20"/>
              </w:rPr>
              <w:t>Days → hours (automated extraction)</w:t>
            </w:r>
          </w:p>
        </w:tc>
      </w:tr>
      <w:tr>
        <w:trPr>
          <w:trHeight w:val="425" w:hRule="atLeast"/>
        </w:trPr>
        <w:tc>
          <w:tcPr>
            <w:tcW w:type="dxa" w:w="4873"/>
            <w:vAlign w:val="center"/>
          </w:tcPr>
          <w:p>
            <w:pPr>
              <w:spacing w:line="276" w:lineRule="auto" w:before="0" w:after="0"/>
            </w:pPr>
            <w:r/>
            <w:r>
              <w:rPr>
                <w:rFonts w:ascii="Figtree" w:hAnsi="Figtree"/>
                <w:b w:val="0"/>
                <w:i w:val="0"/>
                <w:sz w:val="20"/>
              </w:rPr>
              <w:t>Product expansion cost</w:t>
            </w:r>
          </w:p>
        </w:tc>
        <w:tc>
          <w:tcPr>
            <w:tcW w:type="dxa" w:w="4873"/>
            <w:vAlign w:val="center"/>
          </w:tcPr>
          <w:p>
            <w:pPr>
              <w:spacing w:line="276" w:lineRule="auto" w:before="0" w:after="0"/>
            </w:pPr>
            <w:r/>
            <w:r>
              <w:rPr>
                <w:rFonts w:ascii="Figtree" w:hAnsi="Figtree"/>
                <w:b w:val="0"/>
                <w:i w:val="0"/>
                <w:sz w:val="20"/>
              </w:rPr>
              <w:t>Custom development → configuration change</w:t>
            </w:r>
          </w:p>
        </w:tc>
      </w:tr>
      <w:tr>
        <w:trPr>
          <w:trHeight w:val="425" w:hRule="atLeast"/>
        </w:trPr>
        <w:tc>
          <w:tcPr>
            <w:tcW w:type="dxa" w:w="4873"/>
            <w:vAlign w:val="center"/>
          </w:tcPr>
          <w:p>
            <w:pPr>
              <w:spacing w:line="276" w:lineRule="auto" w:before="0" w:after="0"/>
            </w:pPr>
            <w:r/>
            <w:r>
              <w:rPr>
                <w:rFonts w:ascii="Figtree" w:hAnsi="Figtree"/>
                <w:b w:val="0"/>
                <w:i w:val="0"/>
                <w:sz w:val="20"/>
              </w:rPr>
              <w:t>Reference benchmark</w:t>
            </w:r>
          </w:p>
        </w:tc>
        <w:tc>
          <w:tcPr>
            <w:tcW w:type="dxa" w:w="4873"/>
            <w:vAlign w:val="center"/>
          </w:tcPr>
          <w:p>
            <w:pPr>
              <w:spacing w:line="276" w:lineRule="auto" w:before="0" w:after="0"/>
            </w:pPr>
            <w:r/>
            <w:r>
              <w:rPr>
                <w:rFonts w:ascii="Figtree" w:hAnsi="Figtree"/>
                <w:b w:val="0"/>
                <w:i w:val="0"/>
                <w:sz w:val="20"/>
              </w:rPr>
              <w:t>Commerzbank: EUR 7M/year projected savings</w:t>
            </w:r>
          </w:p>
        </w:tc>
      </w:tr>
    </w:tbl>
    <w:p>
      <w:pPr>
        <w:spacing w:before="0" w:after="0" w:line="120" w:lineRule="exact"/>
      </w:pPr>
    </w:p>
    <w:p>
      <w:r>
        <w:br w:type="page"/>
      </w:r>
    </w:p>
    <w:p>
      <w:pPr>
        <w:pStyle w:val="H2"/>
        <w:numPr>
          <w:ilvl w:val="1"/>
          <w:numId w:val="1"/>
        </w:numPr>
      </w:pPr>
      <w:r>
        <w:t>Detailed Commercial Analysis</w:t>
      </w:r>
    </w:p>
    <w:p>
      <w:pPr>
        <w:pStyle w:val="H3"/>
        <w:numPr>
          <w:ilvl w:val="2"/>
          <w:numId w:val="1"/>
        </w:numPr>
      </w:pPr>
      <w:r>
        <w:t>Buy vs. Build Analysis</w:t>
      </w:r>
    </w:p>
    <w:p>
      <w:r>
        <w:rPr>
          <w:rFonts w:ascii="Figtree" w:hAnsi="Figtree"/>
          <w:b w:val="0"/>
          <w:i w:val="0"/>
          <w:sz w:val="22"/>
        </w:rPr>
        <w:t>Emirates NBD faces a fundamental decision: build tokenized deposit and trade finance infrastructure internally, assemble it from multiple point-solution vendors, or adopt a unified platform like DALP. This section provides a structured analysis of each approach.</w:t>
      </w:r>
    </w:p>
    <w:p>
      <w:r>
        <w:rPr>
          <w:rFonts w:ascii="Figtree" w:hAnsi="Figtree"/>
          <w:b/>
          <w:i w:val="0"/>
          <w:sz w:val="22"/>
        </w:rPr>
        <w:t>Option 1: Internal Build</w:t>
      </w:r>
    </w:p>
    <w:p>
      <w:r>
        <w:rPr>
          <w:rFonts w:ascii="Figtree" w:hAnsi="Figtree"/>
          <w:b w:val="0"/>
          <w:i w:val="0"/>
          <w:sz w:val="22"/>
        </w:rPr>
        <w:t>Building internally would require Emirates NBD to assemble a team of blockchain engineers, smart contract developers, compliance system designers, and infrastructure operators. Based on comparable institutional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5"/>
        <w:gridCol w:w="2155"/>
        <w:gridCol w:w="44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Cost (3 Years)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Engineering team (8–15 FTEs)</w:t>
            </w:r>
          </w:p>
        </w:tc>
        <w:tc>
          <w:tcPr>
            <w:tcW w:type="dxa" w:w="3249"/>
            <w:vAlign w:val="center"/>
          </w:tcPr>
          <w:p>
            <w:pPr>
              <w:spacing w:line="276" w:lineRule="auto" w:before="0" w:after="0"/>
            </w:pPr>
            <w:r/>
            <w:r>
              <w:rPr>
                <w:rFonts w:ascii="Figtree" w:hAnsi="Figtree"/>
                <w:b w:val="0"/>
                <w:i w:val="0"/>
                <w:sz w:val="20"/>
              </w:rPr>
              <w:t>$3.2M – $6.0M</w:t>
            </w:r>
          </w:p>
        </w:tc>
        <w:tc>
          <w:tcPr>
            <w:tcW w:type="dxa" w:w="3249"/>
            <w:vAlign w:val="center"/>
          </w:tcPr>
          <w:p>
            <w:pPr>
              <w:spacing w:line="276" w:lineRule="auto" w:before="0" w:after="0"/>
            </w:pPr>
            <w:r/>
            <w:r>
              <w:rPr>
                <w:rFonts w:ascii="Figtree" w:hAnsi="Figtree"/>
                <w:b w:val="0"/>
                <w:i w:val="0"/>
                <w:sz w:val="20"/>
              </w:rPr>
              <w:t>Blockchain + compliance + integration specialists</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development</w:t>
            </w:r>
          </w:p>
        </w:tc>
        <w:tc>
          <w:tcPr>
            <w:tcW w:type="dxa" w:w="3249"/>
            <w:vAlign w:val="center"/>
          </w:tcPr>
          <w:p>
            <w:pPr>
              <w:spacing w:line="276" w:lineRule="auto" w:before="0" w:after="0"/>
            </w:pPr>
            <w:r/>
            <w:r>
              <w:rPr>
                <w:rFonts w:ascii="Figtree" w:hAnsi="Figtree"/>
                <w:b w:val="0"/>
                <w:i w:val="0"/>
                <w:sz w:val="20"/>
              </w:rPr>
              <w:t>$800K – $1.5M</w:t>
            </w:r>
          </w:p>
        </w:tc>
        <w:tc>
          <w:tcPr>
            <w:tcW w:type="dxa" w:w="3249"/>
            <w:vAlign w:val="center"/>
          </w:tcPr>
          <w:p>
            <w:pPr>
              <w:spacing w:line="276" w:lineRule="auto" w:before="0" w:after="0"/>
            </w:pPr>
            <w:r/>
            <w:r>
              <w:rPr>
                <w:rFonts w:ascii="Figtree" w:hAnsi="Figtree"/>
                <w:b w:val="0"/>
                <w:i w:val="0"/>
                <w:sz w:val="20"/>
              </w:rPr>
              <w:t>Custom development for each asset type</w:t>
            </w:r>
          </w:p>
        </w:tc>
      </w:tr>
      <w:tr>
        <w:trPr>
          <w:trHeight w:val="425" w:hRule="atLeast"/>
        </w:trPr>
        <w:tc>
          <w:tcPr>
            <w:tcW w:type="dxa" w:w="3249"/>
            <w:vAlign w:val="center"/>
          </w:tcPr>
          <w:p>
            <w:pPr>
              <w:spacing w:line="276" w:lineRule="auto" w:before="0" w:after="0"/>
            </w:pPr>
            <w:r/>
            <w:r>
              <w:rPr>
                <w:rFonts w:ascii="Figtree" w:hAnsi="Figtree"/>
                <w:b w:val="0"/>
                <w:i w:val="0"/>
                <w:sz w:val="20"/>
              </w:rPr>
              <w:t>Security audits</w:t>
            </w:r>
          </w:p>
        </w:tc>
        <w:tc>
          <w:tcPr>
            <w:tcW w:type="dxa" w:w="3249"/>
            <w:vAlign w:val="center"/>
          </w:tcPr>
          <w:p>
            <w:pPr>
              <w:spacing w:line="276" w:lineRule="auto" w:before="0" w:after="0"/>
            </w:pPr>
            <w:r/>
            <w:r>
              <w:rPr>
                <w:rFonts w:ascii="Figtree" w:hAnsi="Figtree"/>
                <w:b w:val="0"/>
                <w:i w:val="0"/>
                <w:sz w:val="20"/>
              </w:rPr>
              <w:t>$400K – $1.0M</w:t>
            </w:r>
          </w:p>
        </w:tc>
        <w:tc>
          <w:tcPr>
            <w:tcW w:type="dxa" w:w="3249"/>
            <w:vAlign w:val="center"/>
          </w:tcPr>
          <w:p>
            <w:pPr>
              <w:spacing w:line="276" w:lineRule="auto" w:before="0" w:after="0"/>
            </w:pPr>
            <w:r/>
            <w:r>
              <w:rPr>
                <w:rFonts w:ascii="Figtree" w:hAnsi="Figtree"/>
                <w:b w:val="0"/>
                <w:i w:val="0"/>
                <w:sz w:val="20"/>
              </w:rPr>
              <w:t>$200K–$500K per asset class, annual re-audits</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setup</w:t>
            </w:r>
          </w:p>
        </w:tc>
        <w:tc>
          <w:tcPr>
            <w:tcW w:type="dxa" w:w="3249"/>
            <w:vAlign w:val="center"/>
          </w:tcPr>
          <w:p>
            <w:pPr>
              <w:spacing w:line="276" w:lineRule="auto" w:before="0" w:after="0"/>
            </w:pPr>
            <w:r/>
            <w:r>
              <w:rPr>
                <w:rFonts w:ascii="Figtree" w:hAnsi="Figtree"/>
                <w:b w:val="0"/>
                <w:i w:val="0"/>
                <w:sz w:val="20"/>
              </w:rPr>
              <w:t>$200K – $400K</w:t>
            </w:r>
          </w:p>
        </w:tc>
        <w:tc>
          <w:tcPr>
            <w:tcW w:type="dxa" w:w="3249"/>
            <w:vAlign w:val="center"/>
          </w:tcPr>
          <w:p>
            <w:pPr>
              <w:spacing w:line="276" w:lineRule="auto" w:before="0" w:after="0"/>
            </w:pPr>
            <w:r/>
            <w:r>
              <w:rPr>
                <w:rFonts w:ascii="Figtree" w:hAnsi="Figtree"/>
                <w:b w:val="0"/>
                <w:i w:val="0"/>
                <w:sz w:val="20"/>
              </w:rPr>
              <w:t>Cloud, blockchain nodes, monitoring</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$500K – $800K</w:t>
            </w:r>
          </w:p>
        </w:tc>
        <w:tc>
          <w:tcPr>
            <w:tcW w:type="dxa" w:w="3249"/>
            <w:vAlign w:val="center"/>
          </w:tcPr>
          <w:p>
            <w:pPr>
              <w:spacing w:line="276" w:lineRule="auto" w:before="0" w:after="0"/>
            </w:pPr>
            <w:r/>
            <w:r>
              <w:rPr>
                <w:rFonts w:ascii="Figtree" w:hAnsi="Figtree"/>
                <w:b w:val="0"/>
                <w:i w:val="0"/>
                <w:sz w:val="20"/>
              </w:rPr>
              <w:t>Custom compliance rules, identity integration</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$1.2M – $2.4M</w:t>
            </w:r>
          </w:p>
        </w:tc>
        <w:tc>
          <w:tcPr>
            <w:tcW w:type="dxa" w:w="3249"/>
            <w:vAlign w:val="center"/>
          </w:tcPr>
          <w:p>
            <w:pPr>
              <w:spacing w:line="276" w:lineRule="auto" w:before="0" w:after="0"/>
            </w:pPr>
            <w:r/>
            <w:r>
              <w:rPr>
                <w:rFonts w:ascii="Figtree" w:hAnsi="Figtree"/>
                <w:b w:val="0"/>
                <w:i w:val="0"/>
                <w:sz w:val="20"/>
              </w:rPr>
              <w:t>4–6 FTEs for platform operations</w:t>
            </w:r>
          </w:p>
        </w:tc>
      </w:tr>
      <w:tr>
        <w:trPr>
          <w:trHeight w:val="425" w:hRule="atLeast"/>
        </w:trPr>
        <w:tc>
          <w:tcPr>
            <w:tcW w:type="dxa" w:w="3249"/>
            <w:vAlign w:val="center"/>
          </w:tcPr>
          <w:p>
            <w:pPr>
              <w:spacing w:line="276" w:lineRule="auto" w:before="0" w:after="0"/>
            </w:pPr>
            <w:r/>
            <w:r>
              <w:rPr>
                <w:rFonts w:ascii="Figtree" w:hAnsi="Figtree"/>
                <w:b/>
                <w:i w:val="0"/>
                <w:sz w:val="20"/>
              </w:rPr>
              <w:t>Total estimate</w:t>
            </w:r>
          </w:p>
        </w:tc>
        <w:tc>
          <w:tcPr>
            <w:tcW w:type="dxa" w:w="3249"/>
            <w:vAlign w:val="center"/>
          </w:tcPr>
          <w:p>
            <w:pPr>
              <w:spacing w:line="276" w:lineRule="auto" w:before="0" w:after="0"/>
            </w:pPr>
            <w:r/>
            <w:r>
              <w:rPr>
                <w:rFonts w:ascii="Figtree" w:hAnsi="Figtree"/>
                <w:b/>
                <w:i w:val="0"/>
                <w:sz w:val="20"/>
              </w:rPr>
              <w:t>$6.3M – $12.1M</w:t>
            </w:r>
          </w:p>
        </w:tc>
        <w:tc>
          <w:tcPr>
            <w:tcW w:type="dxa" w:w="3249"/>
            <w:vAlign w:val="center"/>
          </w:tcPr>
          <w:p>
            <w:pPr>
              <w:spacing w:line="276" w:lineRule="auto" w:before="0" w:after="0"/>
            </w:pPr>
            <w:r/>
            <w:r>
              <w:rPr>
                <w:rFonts w:ascii="Figtree" w:hAnsi="Figtree"/>
                <w:b w:val="0"/>
                <w:i w:val="0"/>
                <w:sz w:val="20"/>
              </w:rPr>
              <w:t>Before Emirates NBD internal cost allocation</w:t>
            </w:r>
          </w:p>
        </w:tc>
      </w:tr>
    </w:tbl>
    <w:p>
      <w:pPr>
        <w:spacing w:before="0" w:after="0" w:line="120" w:lineRule="exact"/>
      </w:pPr>
    </w:p>
    <w:p>
      <w:r>
        <w:rPr>
          <w:rFonts w:ascii="Figtree" w:hAnsi="Figtree"/>
          <w:b/>
          <w:i w:val="0"/>
          <w:sz w:val="22"/>
        </w:rPr>
        <w:t>Risks of internal build:</w:t>
      </w:r>
    </w:p>
    <w:p>
      <w:pPr>
        <w:pStyle w:val="ListParagraph"/>
        <w:numPr>
          <w:ilvl w:val="0"/>
          <w:numId w:val="4"/>
        </w:numPr>
      </w:pPr>
      <w:r>
        <w:rPr>
          <w:rFonts w:ascii="Figtree" w:hAnsi="Figtree"/>
          <w:b w:val="0"/>
          <w:i w:val="0"/>
          <w:sz w:val="22"/>
        </w:rPr>
        <w:t>12–24 months to first production deployment (vs. 19 weeks with DALP)</w:t>
      </w:r>
    </w:p>
    <w:p>
      <w:pPr>
        <w:pStyle w:val="ListParagraph"/>
        <w:numPr>
          <w:ilvl w:val="0"/>
          <w:numId w:val="4"/>
        </w:numPr>
      </w:pPr>
      <w:r>
        <w:rPr>
          <w:rFonts w:ascii="Figtree" w:hAnsi="Figtree"/>
          <w:b w:val="0"/>
          <w:i w:val="0"/>
          <w:sz w:val="22"/>
        </w:rPr>
        <w:t>Single-vendor dependency on Emirates NBD's own team (attrition risk)</w:t>
      </w:r>
    </w:p>
    <w:p>
      <w:pPr>
        <w:pStyle w:val="ListParagraph"/>
        <w:numPr>
          <w:ilvl w:val="0"/>
          <w:numId w:val="4"/>
        </w:numPr>
      </w:pPr>
      <w:r>
        <w:rPr>
          <w:rFonts w:ascii="Figtree" w:hAnsi="Figtree"/>
          <w:b w:val="0"/>
          <w:i w:val="0"/>
          <w:sz w:val="22"/>
        </w:rPr>
        <w:t>No production reference deployments to validate architecture decisions</w:t>
      </w:r>
    </w:p>
    <w:p>
      <w:pPr>
        <w:pStyle w:val="ListParagraph"/>
        <w:numPr>
          <w:ilvl w:val="0"/>
          <w:numId w:val="4"/>
        </w:numPr>
      </w:pPr>
      <w:r>
        <w:rPr>
          <w:rFonts w:ascii="Figtree" w:hAnsi="Figtree"/>
          <w:b w:val="0"/>
          <w:i w:val="0"/>
          <w:sz w:val="22"/>
        </w:rPr>
        <w:t>Each new asset class requires a fresh development cycle</w:t>
      </w:r>
    </w:p>
    <w:p>
      <w:pPr>
        <w:pStyle w:val="ListParagraph"/>
        <w:numPr>
          <w:ilvl w:val="0"/>
          <w:numId w:val="4"/>
        </w:numPr>
      </w:pPr>
      <w:r>
        <w:rPr>
          <w:rFonts w:ascii="Figtree" w:hAnsi="Figtree"/>
          <w:b w:val="0"/>
          <w:i w:val="0"/>
          <w:sz w:val="22"/>
        </w:rPr>
        <w:t>Compliance module updates require re-audit with each regulatory change</w:t>
      </w:r>
    </w:p>
    <w:p>
      <w:r>
        <w:rPr>
          <w:rFonts w:ascii="Figtree" w:hAnsi="Figtree"/>
          <w:b/>
          <w:i w:val="0"/>
          <w:sz w:val="22"/>
        </w:rPr>
        <w:t>Option 2: Multi-Vendor Assembly</w:t>
      </w:r>
    </w:p>
    <w:p>
      <w:r>
        <w:rPr>
          <w:rFonts w:ascii="Figtree" w:hAnsi="Figtree"/>
          <w:b w:val="0"/>
          <w:i w:val="0"/>
          <w:sz w:val="22"/>
        </w:rPr>
        <w:t>Assembling capabilities from multiple vendors (one for tokenization, one for compliance, one for custody, one for settlement) introduces coordination complexity: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50"/>
        <w:gridCol w:w="652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Challenge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Vendor coordination</w:t>
            </w:r>
          </w:p>
        </w:tc>
        <w:tc>
          <w:tcPr>
            <w:tcW w:type="dxa" w:w="4873"/>
            <w:vAlign w:val="center"/>
          </w:tcPr>
          <w:p>
            <w:pPr>
              <w:spacing w:line="276" w:lineRule="auto" w:before="0" w:after="0"/>
            </w:pPr>
            <w:r/>
            <w:r>
              <w:rPr>
                <w:rFonts w:ascii="Figtree" w:hAnsi="Figtree"/>
                <w:b w:val="0"/>
                <w:i w:val="0"/>
                <w:sz w:val="20"/>
              </w:rPr>
              <w:t>3–5 vendor relationships to manage, with unclear integration responsibility</w:t>
            </w:r>
          </w:p>
        </w:tc>
      </w:tr>
      <w:tr>
        <w:trPr>
          <w:trHeight w:val="425" w:hRule="atLeast"/>
        </w:trPr>
        <w:tc>
          <w:tcPr>
            <w:tcW w:type="dxa" w:w="4873"/>
            <w:vAlign w:val="center"/>
          </w:tcPr>
          <w:p>
            <w:pPr>
              <w:spacing w:line="276" w:lineRule="auto" w:before="0" w:after="0"/>
            </w:pPr>
            <w:r/>
            <w:r>
              <w:rPr>
                <w:rFonts w:ascii="Figtree" w:hAnsi="Figtree"/>
                <w:b w:val="0"/>
                <w:i w:val="0"/>
                <w:sz w:val="20"/>
              </w:rPr>
              <w:t>SLA gaps</w:t>
            </w:r>
          </w:p>
        </w:tc>
        <w:tc>
          <w:tcPr>
            <w:tcW w:type="dxa" w:w="4873"/>
            <w:vAlign w:val="center"/>
          </w:tcPr>
          <w:p>
            <w:pPr>
              <w:spacing w:line="276" w:lineRule="auto" w:before="0" w:after="0"/>
            </w:pPr>
            <w:r/>
            <w:r>
              <w:rPr>
                <w:rFonts w:ascii="Figtree" w:hAnsi="Figtree"/>
                <w:b w:val="0"/>
                <w:i w:val="0"/>
                <w:sz w:val="20"/>
              </w:rPr>
              <w:t>No single party accountable for end-to-end operation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 cost</w:t>
            </w:r>
          </w:p>
        </w:tc>
        <w:tc>
          <w:tcPr>
            <w:tcW w:type="dxa" w:w="4873"/>
            <w:vAlign w:val="center"/>
          </w:tcPr>
          <w:p>
            <w:pPr>
              <w:spacing w:line="276" w:lineRule="auto" w:before="0" w:after="0"/>
            </w:pPr>
            <w:r/>
            <w:r>
              <w:rPr>
                <w:rFonts w:ascii="Figtree" w:hAnsi="Figtree"/>
                <w:b w:val="0"/>
                <w:i w:val="0"/>
                <w:sz w:val="20"/>
              </w:rPr>
              <w:t>Custom integration between each vendor pair</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consistency</w:t>
            </w:r>
          </w:p>
        </w:tc>
        <w:tc>
          <w:tcPr>
            <w:tcW w:type="dxa" w:w="4873"/>
            <w:vAlign w:val="center"/>
          </w:tcPr>
          <w:p>
            <w:pPr>
              <w:spacing w:line="276" w:lineRule="auto" w:before="0" w:after="0"/>
            </w:pPr>
            <w:r/>
            <w:r>
              <w:rPr>
                <w:rFonts w:ascii="Figtree" w:hAnsi="Figtree"/>
                <w:b w:val="0"/>
                <w:i w:val="0"/>
                <w:sz w:val="20"/>
              </w:rPr>
              <w:t>Each vendor's compliance approach may conflict</w:t>
            </w:r>
          </w:p>
        </w:tc>
      </w:tr>
      <w:tr>
        <w:trPr>
          <w:trHeight w:val="425" w:hRule="atLeast"/>
        </w:trPr>
        <w:tc>
          <w:tcPr>
            <w:tcW w:type="dxa" w:w="4873"/>
            <w:vAlign w:val="center"/>
          </w:tcPr>
          <w:p>
            <w:pPr>
              <w:spacing w:line="276" w:lineRule="auto" w:before="0" w:after="0"/>
            </w:pPr>
            <w:r/>
            <w:r>
              <w:rPr>
                <w:rFonts w:ascii="Figtree" w:hAnsi="Figtree"/>
                <w:b w:val="0"/>
                <w:i w:val="0"/>
                <w:sz w:val="20"/>
              </w:rPr>
              <w:t>Upgrade synchronization</w:t>
            </w:r>
          </w:p>
        </w:tc>
        <w:tc>
          <w:tcPr>
            <w:tcW w:type="dxa" w:w="4873"/>
            <w:vAlign w:val="center"/>
          </w:tcPr>
          <w:p>
            <w:pPr>
              <w:spacing w:line="276" w:lineRule="auto" w:before="0" w:after="0"/>
            </w:pPr>
            <w:r/>
            <w:r>
              <w:rPr>
                <w:rFonts w:ascii="Figtree" w:hAnsi="Figtree"/>
                <w:b w:val="0"/>
                <w:i w:val="0"/>
                <w:sz w:val="20"/>
              </w:rPr>
              <w:t>Updates to one vendor may break integrations with others</w:t>
            </w:r>
          </w:p>
        </w:tc>
      </w:tr>
      <w:tr>
        <w:trPr>
          <w:trHeight w:val="425" w:hRule="atLeast"/>
        </w:trPr>
        <w:tc>
          <w:tcPr>
            <w:tcW w:type="dxa" w:w="4873"/>
            <w:vAlign w:val="center"/>
          </w:tcPr>
          <w:p>
            <w:pPr>
              <w:spacing w:line="276" w:lineRule="auto" w:before="0" w:after="0"/>
            </w:pPr>
            <w:r/>
            <w:r>
              <w:rPr>
                <w:rFonts w:ascii="Figtree" w:hAnsi="Figtree"/>
                <w:b w:val="0"/>
                <w:i w:val="0"/>
                <w:sz w:val="20"/>
              </w:rPr>
              <w:t>Audit complexity</w:t>
            </w:r>
          </w:p>
        </w:tc>
        <w:tc>
          <w:tcPr>
            <w:tcW w:type="dxa" w:w="4873"/>
            <w:vAlign w:val="center"/>
          </w:tcPr>
          <w:p>
            <w:pPr>
              <w:spacing w:line="276" w:lineRule="auto" w:before="0" w:after="0"/>
            </w:pPr>
            <w:r/>
            <w:r>
              <w:rPr>
                <w:rFonts w:ascii="Figtree" w:hAnsi="Figtree"/>
                <w:b w:val="0"/>
                <w:i w:val="0"/>
                <w:sz w:val="20"/>
              </w:rPr>
              <w:t>Multiple audit trails to correlate</w:t>
            </w:r>
          </w:p>
        </w:tc>
      </w:tr>
    </w:tbl>
    <w:p>
      <w:pPr>
        <w:spacing w:before="0" w:after="0" w:line="120" w:lineRule="exact"/>
      </w:pPr>
    </w:p>
    <w:p>
      <w:r>
        <w:rPr>
          <w:rFonts w:ascii="Figtree" w:hAnsi="Figtree"/>
          <w:b/>
          <w:i w:val="0"/>
          <w:sz w:val="22"/>
        </w:rPr>
        <w:t>Option 3: DALP Platform (Recommended)</w:t>
      </w:r>
    </w:p>
    <w:p>
      <w:r>
        <w:rPr>
          <w:rFonts w:ascii="Figtree" w:hAnsi="Figtree"/>
          <w:b w:val="0"/>
          <w:i w:val="0"/>
          <w:sz w:val="22"/>
        </w:rPr>
        <w:t>DALP provides all five lifecycle capabilities (issuance, compliance, custody integration, settlement, servicing) in a single governed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8"/>
        <w:gridCol w:w="64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Advantage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Quantified Impact</w:t>
            </w:r>
          </w:p>
        </w:tc>
      </w:tr>
      <w:tr>
        <w:trPr>
          <w:trHeight w:val="425" w:hRule="atLeast"/>
        </w:trPr>
        <w:tc>
          <w:tcPr>
            <w:tcW w:type="dxa" w:w="4873"/>
            <w:vAlign w:val="center"/>
          </w:tcPr>
          <w:p>
            <w:pPr>
              <w:spacing w:line="276" w:lineRule="auto" w:before="0" w:after="0"/>
            </w:pPr>
            <w:r/>
            <w:r>
              <w:rPr>
                <w:rFonts w:ascii="Figtree" w:hAnsi="Figtree"/>
                <w:b w:val="0"/>
                <w:i w:val="0"/>
                <w:sz w:val="20"/>
              </w:rPr>
              <w:t>Time to production</w:t>
            </w:r>
          </w:p>
        </w:tc>
        <w:tc>
          <w:tcPr>
            <w:tcW w:type="dxa" w:w="4873"/>
            <w:vAlign w:val="center"/>
          </w:tcPr>
          <w:p>
            <w:pPr>
              <w:spacing w:line="276" w:lineRule="auto" w:before="0" w:after="0"/>
            </w:pPr>
            <w:r/>
            <w:r>
              <w:rPr>
                <w:rFonts w:ascii="Figtree" w:hAnsi="Figtree"/>
                <w:b w:val="0"/>
                <w:i w:val="0"/>
                <w:sz w:val="20"/>
              </w:rPr>
              <w:t>19 weeks (vs. 12–24 months internal)</w:t>
            </w:r>
          </w:p>
        </w:tc>
      </w:tr>
      <w:tr>
        <w:trPr>
          <w:trHeight w:val="425" w:hRule="atLeast"/>
        </w:trPr>
        <w:tc>
          <w:tcPr>
            <w:tcW w:type="dxa" w:w="4873"/>
            <w:vAlign w:val="center"/>
          </w:tcPr>
          <w:p>
            <w:pPr>
              <w:spacing w:line="276" w:lineRule="auto" w:before="0" w:after="0"/>
            </w:pPr>
            <w:r/>
            <w:r>
              <w:rPr>
                <w:rFonts w:ascii="Figtree" w:hAnsi="Figtree"/>
                <w:b w:val="0"/>
                <w:i w:val="0"/>
                <w:sz w:val="20"/>
              </w:rPr>
              <w:t>Ongoing engineering</w:t>
            </w:r>
          </w:p>
        </w:tc>
        <w:tc>
          <w:tcPr>
            <w:tcW w:type="dxa" w:w="4873"/>
            <w:vAlign w:val="center"/>
          </w:tcPr>
          <w:p>
            <w:pPr>
              <w:spacing w:line="276" w:lineRule="auto" w:before="0" w:after="0"/>
            </w:pPr>
            <w:r/>
            <w:r>
              <w:rPr>
                <w:rFonts w:ascii="Figtree" w:hAnsi="Figtree"/>
                <w:b w:val="0"/>
                <w:i w:val="0"/>
                <w:sz w:val="20"/>
              </w:rPr>
              <w:t>0 FTEs (vs. 4–6 for internal)</w:t>
            </w:r>
          </w:p>
        </w:tc>
      </w:tr>
      <w:tr>
        <w:trPr>
          <w:trHeight w:val="425" w:hRule="atLeast"/>
        </w:trPr>
        <w:tc>
          <w:tcPr>
            <w:tcW w:type="dxa" w:w="4873"/>
            <w:vAlign w:val="center"/>
          </w:tcPr>
          <w:p>
            <w:pPr>
              <w:spacing w:line="276" w:lineRule="auto" w:before="0" w:after="0"/>
            </w:pPr>
            <w:r/>
            <w:r>
              <w:rPr>
                <w:rFonts w:ascii="Figtree" w:hAnsi="Figtree"/>
                <w:b w:val="0"/>
                <w:i w:val="0"/>
                <w:sz w:val="20"/>
              </w:rPr>
              <w:t>New asset class cost</w:t>
            </w:r>
          </w:p>
        </w:tc>
        <w:tc>
          <w:tcPr>
            <w:tcW w:type="dxa" w:w="4873"/>
            <w:vAlign w:val="center"/>
          </w:tcPr>
          <w:p>
            <w:pPr>
              <w:spacing w:line="276" w:lineRule="auto" w:before="0" w:after="0"/>
            </w:pPr>
            <w:r/>
            <w:r>
              <w:rPr>
                <w:rFonts w:ascii="Figtree" w:hAnsi="Figtree"/>
                <w:b w:val="0"/>
                <w:i w:val="0"/>
                <w:sz w:val="20"/>
              </w:rPr>
              <w:t>Configuration change (vs. $200K+ development + $200K+ audit)</w:t>
            </w:r>
          </w:p>
        </w:tc>
      </w:tr>
      <w:tr>
        <w:trPr>
          <w:trHeight w:val="425" w:hRule="atLeast"/>
        </w:trPr>
        <w:tc>
          <w:tcPr>
            <w:tcW w:type="dxa" w:w="4873"/>
            <w:vAlign w:val="center"/>
          </w:tcPr>
          <w:p>
            <w:pPr>
              <w:spacing w:line="276" w:lineRule="auto" w:before="0" w:after="0"/>
            </w:pPr>
            <w:r/>
            <w:r>
              <w:rPr>
                <w:rFonts w:ascii="Figtree" w:hAnsi="Figtree"/>
                <w:b w:val="0"/>
                <w:i w:val="0"/>
                <w:sz w:val="20"/>
              </w:rPr>
              <w:t>Compliance updates</w:t>
            </w:r>
          </w:p>
        </w:tc>
        <w:tc>
          <w:tcPr>
            <w:tcW w:type="dxa" w:w="4873"/>
            <w:vAlign w:val="center"/>
          </w:tcPr>
          <w:p>
            <w:pPr>
              <w:spacing w:line="276" w:lineRule="auto" w:before="0" w:after="0"/>
            </w:pPr>
            <w:r/>
            <w:r>
              <w:rPr>
                <w:rFonts w:ascii="Figtree" w:hAnsi="Figtree"/>
                <w:b w:val="0"/>
                <w:i w:val="0"/>
                <w:sz w:val="20"/>
              </w:rPr>
              <w:t>Module reconfiguration (vs. re-development + re-audit)</w:t>
            </w:r>
          </w:p>
        </w:tc>
      </w:tr>
      <w:tr>
        <w:trPr>
          <w:trHeight w:val="425" w:hRule="atLeast"/>
        </w:trPr>
        <w:tc>
          <w:tcPr>
            <w:tcW w:type="dxa" w:w="4873"/>
            <w:vAlign w:val="center"/>
          </w:tcPr>
          <w:p>
            <w:pPr>
              <w:spacing w:line="276" w:lineRule="auto" w:before="0" w:after="0"/>
            </w:pPr>
            <w:r/>
            <w:r>
              <w:rPr>
                <w:rFonts w:ascii="Figtree" w:hAnsi="Figtree"/>
                <w:b w:val="0"/>
                <w:i w:val="0"/>
                <w:sz w:val="20"/>
              </w:rPr>
              <w:t>Single SLA</w:t>
            </w:r>
          </w:p>
        </w:tc>
        <w:tc>
          <w:tcPr>
            <w:tcW w:type="dxa" w:w="4873"/>
            <w:vAlign w:val="center"/>
          </w:tcPr>
          <w:p>
            <w:pPr>
              <w:spacing w:line="276" w:lineRule="auto" w:before="0" w:after="0"/>
            </w:pPr>
            <w:r/>
            <w:r>
              <w:rPr>
                <w:rFonts w:ascii="Figtree" w:hAnsi="Figtree"/>
                <w:b w:val="0"/>
                <w:i w:val="0"/>
                <w:sz w:val="20"/>
              </w:rPr>
              <w:t>One vendor, one support contact, one accountability chain</w:t>
            </w:r>
          </w:p>
        </w:tc>
      </w:tr>
      <w:tr>
        <w:trPr>
          <w:trHeight w:val="425" w:hRule="atLeast"/>
        </w:trPr>
        <w:tc>
          <w:tcPr>
            <w:tcW w:type="dxa" w:w="4873"/>
            <w:vAlign w:val="center"/>
          </w:tcPr>
          <w:p>
            <w:pPr>
              <w:spacing w:line="276" w:lineRule="auto" w:before="0" w:after="0"/>
            </w:pPr>
            <w:r/>
            <w:r>
              <w:rPr>
                <w:rFonts w:ascii="Figtree" w:hAnsi="Figtree"/>
                <w:b w:val="0"/>
                <w:i w:val="0"/>
                <w:sz w:val="20"/>
              </w:rPr>
              <w:t>Proven track record</w:t>
            </w:r>
          </w:p>
        </w:tc>
        <w:tc>
          <w:tcPr>
            <w:tcW w:type="dxa" w:w="4873"/>
            <w:vAlign w:val="center"/>
          </w:tcPr>
          <w:p>
            <w:pPr>
              <w:spacing w:line="276" w:lineRule="auto" w:before="0" w:after="0"/>
            </w:pPr>
            <w:r/>
            <w:r>
              <w:rPr>
                <w:rFonts w:ascii="Figtree" w:hAnsi="Figtree"/>
                <w:b w:val="0"/>
                <w:i w:val="0"/>
                <w:sz w:val="20"/>
              </w:rPr>
              <w:t>14 production deployments at comparable institutions</w:t>
            </w:r>
          </w:p>
        </w:tc>
      </w:tr>
    </w:tbl>
    <w:p>
      <w:pPr>
        <w:spacing w:before="0" w:after="0" w:line="120" w:lineRule="exact"/>
      </w:pPr>
    </w:p>
    <w:p>
      <w:pPr>
        <w:pStyle w:val="H3"/>
        <w:numPr>
          <w:ilvl w:val="2"/>
          <w:numId w:val="1"/>
        </w:numPr>
      </w:pPr>
      <w:r>
        <w:t>Licensing Economics Deep Dive</w:t>
      </w:r>
    </w:p>
    <w:p>
      <w:r>
        <w:rPr>
          <w:rFonts w:ascii="Figtree" w:hAnsi="Figtree"/>
          <w:b w:val="0"/>
          <w:i w:val="0"/>
          <w:sz w:val="22"/>
        </w:rPr>
        <w:t>DALP's subscription model eliminates the cost anxiety that comes with transaction-based pricing:</w:t>
      </w:r>
    </w:p>
    <w:p>
      <w:r>
        <w:rPr>
          <w:rFonts w:ascii="Figtree" w:hAnsi="Figtree"/>
          <w:b/>
          <w:i w:val="0"/>
          <w:sz w:val="22"/>
        </w:rPr>
        <w:t>Scenario analysis: Year 1 operations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032"/>
        <w:gridCol w:w="1512"/>
        <w:gridCol w:w="1890"/>
        <w:gridCol w:w="16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Volume Metric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Low Estimate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Medium Estimate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High Estimate</w:t>
            </w:r>
          </w:p>
        </w:tc>
      </w:tr>
      <w:tr>
        <w:trPr>
          <w:trHeight w:val="425" w:hRule="atLeast"/>
        </w:trPr>
        <w:tc>
          <w:tcPr>
            <w:tcW w:type="dxa" w:w="2436"/>
            <w:vAlign w:val="center"/>
          </w:tcPr>
          <w:p>
            <w:pPr>
              <w:spacing w:line="276" w:lineRule="auto" w:before="0" w:after="0"/>
            </w:pPr>
            <w:r/>
            <w:r>
              <w:rPr>
                <w:rFonts w:ascii="Figtree" w:hAnsi="Figtree"/>
                <w:b w:val="0"/>
                <w:i w:val="0"/>
                <w:sz w:val="20"/>
              </w:rPr>
              <w:t>Deposit tokens created</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200</w:t>
            </w:r>
          </w:p>
        </w:tc>
      </w:tr>
      <w:tr>
        <w:trPr>
          <w:trHeight w:val="425" w:hRule="atLeast"/>
        </w:trPr>
        <w:tc>
          <w:tcPr>
            <w:tcW w:type="dxa" w:w="2436"/>
            <w:vAlign w:val="center"/>
          </w:tcPr>
          <w:p>
            <w:pPr>
              <w:spacing w:line="276" w:lineRule="auto" w:before="0" w:after="0"/>
            </w:pPr>
            <w:r/>
            <w:r>
              <w:rPr>
                <w:rFonts w:ascii="Figtree" w:hAnsi="Figtree"/>
                <w:b w:val="0"/>
                <w:i w:val="0"/>
                <w:sz w:val="20"/>
              </w:rPr>
              <w:t>Daily transfers</w:t>
            </w:r>
          </w:p>
        </w:tc>
        <w:tc>
          <w:tcPr>
            <w:tcW w:type="dxa" w:w="2436"/>
            <w:vAlign w:val="center"/>
          </w:tcPr>
          <w:p>
            <w:pPr>
              <w:spacing w:line="276" w:lineRule="auto" w:before="0" w:after="0"/>
            </w:pPr>
            <w:r/>
            <w:r>
              <w:rPr>
                <w:rFonts w:ascii="Figtree" w:hAnsi="Figtree"/>
                <w:b w:val="0"/>
                <w:i w:val="0"/>
                <w:sz w:val="20"/>
              </w:rPr>
              <w:t>100</w:t>
            </w:r>
          </w:p>
        </w:tc>
        <w:tc>
          <w:tcPr>
            <w:tcW w:type="dxa" w:w="2436"/>
            <w:vAlign w:val="center"/>
          </w:tcPr>
          <w:p>
            <w:pPr>
              <w:spacing w:line="276" w:lineRule="auto" w:before="0" w:after="0"/>
            </w:pPr>
            <w:r/>
            <w:r>
              <w:rPr>
                <w:rFonts w:ascii="Figtree" w:hAnsi="Figtree"/>
                <w:b w:val="0"/>
                <w:i w:val="0"/>
                <w:sz w:val="20"/>
              </w:rPr>
              <w:t>500</w:t>
            </w:r>
          </w:p>
        </w:tc>
        <w:tc>
          <w:tcPr>
            <w:tcW w:type="dxa" w:w="2436"/>
            <w:vAlign w:val="center"/>
          </w:tcPr>
          <w:p>
            <w:pPr>
              <w:spacing w:line="276" w:lineRule="auto" w:before="0" w:after="0"/>
            </w:pPr>
            <w:r/>
            <w:r>
              <w:rPr>
                <w:rFonts w:ascii="Figtree" w:hAnsi="Figtree"/>
                <w:b w:val="0"/>
                <w:i w:val="0"/>
                <w:sz w:val="20"/>
              </w:rPr>
              <w:t>2,000</w:t>
            </w:r>
          </w:p>
        </w:tc>
      </w:tr>
      <w:tr>
        <w:trPr>
          <w:trHeight w:val="425" w:hRule="atLeast"/>
        </w:trPr>
        <w:tc>
          <w:tcPr>
            <w:tcW w:type="dxa" w:w="2436"/>
            <w:vAlign w:val="center"/>
          </w:tcPr>
          <w:p>
            <w:pPr>
              <w:spacing w:line="276" w:lineRule="auto" w:before="0" w:after="0"/>
            </w:pPr>
            <w:r/>
            <w:r>
              <w:rPr>
                <w:rFonts w:ascii="Figtree" w:hAnsi="Figtree"/>
                <w:b w:val="0"/>
                <w:i w:val="0"/>
                <w:sz w:val="20"/>
              </w:rPr>
              <w:t>Compliance checks (per transfer)</w:t>
            </w:r>
          </w:p>
        </w:tc>
        <w:tc>
          <w:tcPr>
            <w:tcW w:type="dxa" w:w="2436"/>
            <w:vAlign w:val="center"/>
          </w:tcPr>
          <w:p>
            <w:pPr>
              <w:spacing w:line="276" w:lineRule="auto" w:before="0" w:after="0"/>
            </w:pPr>
            <w:r/>
            <w:r>
              <w:rPr>
                <w:rFonts w:ascii="Figtree" w:hAnsi="Figtree"/>
                <w:b w:val="0"/>
                <w:i w:val="0"/>
                <w:sz w:val="20"/>
              </w:rPr>
              <w:t>5 modules</w:t>
            </w:r>
          </w:p>
        </w:tc>
        <w:tc>
          <w:tcPr>
            <w:tcW w:type="dxa" w:w="2436"/>
            <w:vAlign w:val="center"/>
          </w:tcPr>
          <w:p>
            <w:pPr>
              <w:spacing w:line="276" w:lineRule="auto" w:before="0" w:after="0"/>
            </w:pPr>
            <w:r/>
            <w:r>
              <w:rPr>
                <w:rFonts w:ascii="Figtree" w:hAnsi="Figtree"/>
                <w:b w:val="0"/>
                <w:i w:val="0"/>
                <w:sz w:val="20"/>
              </w:rPr>
              <w:t>5 modules</w:t>
            </w:r>
          </w:p>
        </w:tc>
        <w:tc>
          <w:tcPr>
            <w:tcW w:type="dxa" w:w="2436"/>
            <w:vAlign w:val="center"/>
          </w:tcPr>
          <w:p>
            <w:pPr>
              <w:spacing w:line="276" w:lineRule="auto" w:before="0" w:after="0"/>
            </w:pPr>
            <w:r/>
            <w:r>
              <w:rPr>
                <w:rFonts w:ascii="Figtree" w:hAnsi="Figtree"/>
                <w:b w:val="0"/>
                <w:i w:val="0"/>
                <w:sz w:val="20"/>
              </w:rPr>
              <w:t>5 modules</w:t>
            </w:r>
          </w:p>
        </w:tc>
      </w:tr>
      <w:tr>
        <w:trPr>
          <w:trHeight w:val="425" w:hRule="atLeast"/>
        </w:trPr>
        <w:tc>
          <w:tcPr>
            <w:tcW w:type="dxa" w:w="2436"/>
            <w:vAlign w:val="center"/>
          </w:tcPr>
          <w:p>
            <w:pPr>
              <w:spacing w:line="276" w:lineRule="auto" w:before="0" w:after="0"/>
            </w:pPr>
            <w:r/>
            <w:r>
              <w:rPr>
                <w:rFonts w:ascii="Figtree" w:hAnsi="Figtree"/>
                <w:b w:val="0"/>
                <w:i w:val="0"/>
                <w:sz w:val="20"/>
              </w:rPr>
              <w:t>Daily compliance events</w:t>
            </w:r>
          </w:p>
        </w:tc>
        <w:tc>
          <w:tcPr>
            <w:tcW w:type="dxa" w:w="2436"/>
            <w:vAlign w:val="center"/>
          </w:tcPr>
          <w:p>
            <w:pPr>
              <w:spacing w:line="276" w:lineRule="auto" w:before="0" w:after="0"/>
            </w:pPr>
            <w:r/>
            <w:r>
              <w:rPr>
                <w:rFonts w:ascii="Figtree" w:hAnsi="Figtree"/>
                <w:b w:val="0"/>
                <w:i w:val="0"/>
                <w:sz w:val="20"/>
              </w:rPr>
              <w:t>500</w:t>
            </w:r>
          </w:p>
        </w:tc>
        <w:tc>
          <w:tcPr>
            <w:tcW w:type="dxa" w:w="2436"/>
            <w:vAlign w:val="center"/>
          </w:tcPr>
          <w:p>
            <w:pPr>
              <w:spacing w:line="276" w:lineRule="auto" w:before="0" w:after="0"/>
            </w:pPr>
            <w:r/>
            <w:r>
              <w:rPr>
                <w:rFonts w:ascii="Figtree" w:hAnsi="Figtree"/>
                <w:b w:val="0"/>
                <w:i w:val="0"/>
                <w:sz w:val="20"/>
              </w:rPr>
              <w:t>2,500</w:t>
            </w:r>
          </w:p>
        </w:tc>
        <w:tc>
          <w:tcPr>
            <w:tcW w:type="dxa" w:w="2436"/>
            <w:vAlign w:val="center"/>
          </w:tcPr>
          <w:p>
            <w:pPr>
              <w:spacing w:line="276" w:lineRule="auto" w:before="0" w:after="0"/>
            </w:pPr>
            <w:r/>
            <w:r>
              <w:rPr>
                <w:rFonts w:ascii="Figtree" w:hAnsi="Figtree"/>
                <w:b w:val="0"/>
                <w:i w:val="0"/>
                <w:sz w:val="20"/>
              </w:rPr>
              <w:t>10,000</w:t>
            </w:r>
          </w:p>
        </w:tc>
      </w:tr>
      <w:tr>
        <w:trPr>
          <w:trHeight w:val="425" w:hRule="atLeast"/>
        </w:trPr>
        <w:tc>
          <w:tcPr>
            <w:tcW w:type="dxa" w:w="2436"/>
            <w:vAlign w:val="center"/>
          </w:tcPr>
          <w:p>
            <w:pPr>
              <w:spacing w:line="276" w:lineRule="auto" w:before="0" w:after="0"/>
            </w:pPr>
            <w:r/>
            <w:r>
              <w:rPr>
                <w:rFonts w:ascii="Figtree" w:hAnsi="Figtree"/>
                <w:b w:val="0"/>
                <w:i w:val="0"/>
                <w:sz w:val="20"/>
              </w:rPr>
              <w:t>Monthly yield distributions</w:t>
            </w:r>
          </w:p>
        </w:tc>
        <w:tc>
          <w:tcPr>
            <w:tcW w:type="dxa" w:w="2436"/>
            <w:vAlign w:val="center"/>
          </w:tcPr>
          <w:p>
            <w:pPr>
              <w:spacing w:line="276" w:lineRule="auto" w:before="0" w:after="0"/>
            </w:pPr>
            <w:r/>
            <w:r>
              <w:rPr>
                <w:rFonts w:ascii="Figtree" w:hAnsi="Figtree"/>
                <w:b w:val="0"/>
                <w:i w:val="0"/>
                <w:sz w:val="20"/>
              </w:rPr>
              <w:t>20</w:t>
            </w:r>
          </w:p>
        </w:tc>
        <w:tc>
          <w:tcPr>
            <w:tcW w:type="dxa" w:w="2436"/>
            <w:vAlign w:val="center"/>
          </w:tcPr>
          <w:p>
            <w:pPr>
              <w:spacing w:line="276" w:lineRule="auto" w:before="0" w:after="0"/>
            </w:pPr>
            <w:r/>
            <w:r>
              <w:rPr>
                <w:rFonts w:ascii="Figtree" w:hAnsi="Figtree"/>
                <w:b w:val="0"/>
                <w:i w:val="0"/>
                <w:sz w:val="20"/>
              </w:rPr>
              <w:t>50</w:t>
            </w:r>
          </w:p>
        </w:tc>
        <w:tc>
          <w:tcPr>
            <w:tcW w:type="dxa" w:w="2436"/>
            <w:vAlign w:val="center"/>
          </w:tcPr>
          <w:p>
            <w:pPr>
              <w:spacing w:line="276" w:lineRule="auto" w:before="0" w:after="0"/>
            </w:pPr>
            <w:r/>
            <w:r>
              <w:rPr>
                <w:rFonts w:ascii="Figtree" w:hAnsi="Figtree"/>
                <w:b w:val="0"/>
                <w:i w:val="0"/>
                <w:sz w:val="20"/>
              </w:rPr>
              <w:t>200</w:t>
            </w:r>
          </w:p>
        </w:tc>
      </w:tr>
      <w:tr>
        <w:trPr>
          <w:trHeight w:val="425" w:hRule="atLeast"/>
        </w:trPr>
        <w:tc>
          <w:tcPr>
            <w:tcW w:type="dxa" w:w="2436"/>
            <w:vAlign w:val="center"/>
          </w:tcPr>
          <w:p>
            <w:pPr>
              <w:spacing w:line="276" w:lineRule="auto" w:before="0" w:after="0"/>
            </w:pPr>
            <w:r/>
            <w:r>
              <w:rPr>
                <w:rFonts w:ascii="Figtree" w:hAnsi="Figtree"/>
                <w:b w:val="0"/>
                <w:i w:val="0"/>
                <w:sz w:val="20"/>
              </w:rPr>
              <w:t>Annual trade finance workflows</w:t>
            </w:r>
          </w:p>
        </w:tc>
        <w:tc>
          <w:tcPr>
            <w:tcW w:type="dxa" w:w="2436"/>
            <w:vAlign w:val="center"/>
          </w:tcPr>
          <w:p>
            <w:pPr>
              <w:spacing w:line="276" w:lineRule="auto" w:before="0" w:after="0"/>
            </w:pPr>
            <w:r/>
            <w:r>
              <w:rPr>
                <w:rFonts w:ascii="Figtree" w:hAnsi="Figtree"/>
                <w:b w:val="0"/>
                <w:i w:val="0"/>
                <w:sz w:val="20"/>
              </w:rPr>
              <w:t>100</w:t>
            </w:r>
          </w:p>
        </w:tc>
        <w:tc>
          <w:tcPr>
            <w:tcW w:type="dxa" w:w="2436"/>
            <w:vAlign w:val="center"/>
          </w:tcPr>
          <w:p>
            <w:pPr>
              <w:spacing w:line="276" w:lineRule="auto" w:before="0" w:after="0"/>
            </w:pPr>
            <w:r/>
            <w:r>
              <w:rPr>
                <w:rFonts w:ascii="Figtree" w:hAnsi="Figtree"/>
                <w:b w:val="0"/>
                <w:i w:val="0"/>
                <w:sz w:val="20"/>
              </w:rPr>
              <w:t>500</w:t>
            </w:r>
          </w:p>
        </w:tc>
        <w:tc>
          <w:tcPr>
            <w:tcW w:type="dxa" w:w="2436"/>
            <w:vAlign w:val="center"/>
          </w:tcPr>
          <w:p>
            <w:pPr>
              <w:spacing w:line="276" w:lineRule="auto" w:before="0" w:after="0"/>
            </w:pPr>
            <w:r/>
            <w:r>
              <w:rPr>
                <w:rFonts w:ascii="Figtree" w:hAnsi="Figtree"/>
                <w:b w:val="0"/>
                <w:i w:val="0"/>
                <w:sz w:val="20"/>
              </w:rPr>
              <w:t>2,000</w:t>
            </w:r>
          </w:p>
        </w:tc>
      </w:tr>
    </w:tbl>
    <w:p>
      <w:pPr>
        <w:spacing w:before="0" w:after="0" w:line="120" w:lineRule="exact"/>
      </w:pPr>
    </w:p>
    <w:p>
      <w:r>
        <w:rPr>
          <w:rFonts w:ascii="Figtree" w:hAnsi="Figtree"/>
          <w:b/>
          <w:i w:val="0"/>
          <w:sz w:val="22"/>
        </w:rPr>
        <w:t>Under per-transaction pricing (competitor models):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5"/>
        <w:gridCol w:w="724"/>
        <w:gridCol w:w="1556"/>
        <w:gridCol w:w="1697"/>
        <w:gridCol w:w="16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Fee 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Low 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Medium 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High Cost</w:t>
            </w:r>
          </w:p>
        </w:tc>
      </w:tr>
      <w:tr>
        <w:trPr>
          <w:trHeight w:val="425" w:hRule="atLeast"/>
        </w:trPr>
        <w:tc>
          <w:tcPr>
            <w:tcW w:type="dxa" w:w="1949"/>
            <w:vAlign w:val="center"/>
          </w:tcPr>
          <w:p>
            <w:pPr>
              <w:spacing w:line="276" w:lineRule="auto" w:before="0" w:after="0"/>
            </w:pPr>
            <w:r/>
            <w:r>
              <w:rPr>
                <w:rFonts w:ascii="Figtree" w:hAnsi="Figtree"/>
                <w:b w:val="0"/>
                <w:i w:val="0"/>
                <w:sz w:val="20"/>
              </w:rPr>
              <w:t>Per-transfer fee</w:t>
            </w:r>
          </w:p>
        </w:tc>
        <w:tc>
          <w:tcPr>
            <w:tcW w:type="dxa" w:w="1949"/>
            <w:vAlign w:val="center"/>
          </w:tcPr>
          <w:p>
            <w:pPr>
              <w:spacing w:line="276" w:lineRule="auto" w:before="0" w:after="0"/>
            </w:pPr>
            <w:r/>
            <w:r>
              <w:rPr>
                <w:rFonts w:ascii="Figtree" w:hAnsi="Figtree"/>
                <w:b w:val="0"/>
                <w:i w:val="0"/>
                <w:sz w:val="20"/>
              </w:rPr>
              <w:t>$0.50</w:t>
            </w:r>
          </w:p>
        </w:tc>
        <w:tc>
          <w:tcPr>
            <w:tcW w:type="dxa" w:w="1949"/>
            <w:vAlign w:val="center"/>
          </w:tcPr>
          <w:p>
            <w:pPr>
              <w:spacing w:line="276" w:lineRule="auto" w:before="0" w:after="0"/>
            </w:pPr>
            <w:r/>
            <w:r>
              <w:rPr>
                <w:rFonts w:ascii="Figtree" w:hAnsi="Figtree"/>
                <w:b w:val="0"/>
                <w:i w:val="0"/>
                <w:sz w:val="20"/>
              </w:rPr>
              <w:t>$18,250</w:t>
            </w:r>
          </w:p>
        </w:tc>
        <w:tc>
          <w:tcPr>
            <w:tcW w:type="dxa" w:w="1949"/>
            <w:vAlign w:val="center"/>
          </w:tcPr>
          <w:p>
            <w:pPr>
              <w:spacing w:line="276" w:lineRule="auto" w:before="0" w:after="0"/>
            </w:pPr>
            <w:r/>
            <w:r>
              <w:rPr>
                <w:rFonts w:ascii="Figtree" w:hAnsi="Figtree"/>
                <w:b w:val="0"/>
                <w:i w:val="0"/>
                <w:sz w:val="20"/>
              </w:rPr>
              <w:t>$91,250</w:t>
            </w:r>
          </w:p>
        </w:tc>
        <w:tc>
          <w:tcPr>
            <w:tcW w:type="dxa" w:w="1949"/>
            <w:vAlign w:val="center"/>
          </w:tcPr>
          <w:p>
            <w:pPr>
              <w:spacing w:line="276" w:lineRule="auto" w:before="0" w:after="0"/>
            </w:pPr>
            <w:r/>
            <w:r>
              <w:rPr>
                <w:rFonts w:ascii="Figtree" w:hAnsi="Figtree"/>
                <w:b w:val="0"/>
                <w:i w:val="0"/>
                <w:sz w:val="20"/>
              </w:rPr>
              <w:t>$365,000</w:t>
            </w:r>
          </w:p>
        </w:tc>
      </w:tr>
      <w:tr>
        <w:trPr>
          <w:trHeight w:val="425" w:hRule="atLeast"/>
        </w:trPr>
        <w:tc>
          <w:tcPr>
            <w:tcW w:type="dxa" w:w="1949"/>
            <w:vAlign w:val="center"/>
          </w:tcPr>
          <w:p>
            <w:pPr>
              <w:spacing w:line="276" w:lineRule="auto" w:before="0" w:after="0"/>
            </w:pPr>
            <w:r/>
            <w:r>
              <w:rPr>
                <w:rFonts w:ascii="Figtree" w:hAnsi="Figtree"/>
                <w:b w:val="0"/>
                <w:i w:val="0"/>
                <w:sz w:val="20"/>
              </w:rPr>
              <w:t>Per-compliance check</w:t>
            </w:r>
          </w:p>
        </w:tc>
        <w:tc>
          <w:tcPr>
            <w:tcW w:type="dxa" w:w="1949"/>
            <w:vAlign w:val="center"/>
          </w:tcPr>
          <w:p>
            <w:pPr>
              <w:spacing w:line="276" w:lineRule="auto" w:before="0" w:after="0"/>
            </w:pPr>
            <w:r/>
            <w:r>
              <w:rPr>
                <w:rFonts w:ascii="Figtree" w:hAnsi="Figtree"/>
                <w:b w:val="0"/>
                <w:i w:val="0"/>
                <w:sz w:val="20"/>
              </w:rPr>
              <w:t>$0.10</w:t>
            </w:r>
          </w:p>
        </w:tc>
        <w:tc>
          <w:tcPr>
            <w:tcW w:type="dxa" w:w="1949"/>
            <w:vAlign w:val="center"/>
          </w:tcPr>
          <w:p>
            <w:pPr>
              <w:spacing w:line="276" w:lineRule="auto" w:before="0" w:after="0"/>
            </w:pPr>
            <w:r/>
            <w:r>
              <w:rPr>
                <w:rFonts w:ascii="Figtree" w:hAnsi="Figtree"/>
                <w:b w:val="0"/>
                <w:i w:val="0"/>
                <w:sz w:val="20"/>
              </w:rPr>
              <w:t>$18,250</w:t>
            </w:r>
          </w:p>
        </w:tc>
        <w:tc>
          <w:tcPr>
            <w:tcW w:type="dxa" w:w="1949"/>
            <w:vAlign w:val="center"/>
          </w:tcPr>
          <w:p>
            <w:pPr>
              <w:spacing w:line="276" w:lineRule="auto" w:before="0" w:after="0"/>
            </w:pPr>
            <w:r/>
            <w:r>
              <w:rPr>
                <w:rFonts w:ascii="Figtree" w:hAnsi="Figtree"/>
                <w:b w:val="0"/>
                <w:i w:val="0"/>
                <w:sz w:val="20"/>
              </w:rPr>
              <w:t>$91,250</w:t>
            </w:r>
          </w:p>
        </w:tc>
        <w:tc>
          <w:tcPr>
            <w:tcW w:type="dxa" w:w="1949"/>
            <w:vAlign w:val="center"/>
          </w:tcPr>
          <w:p>
            <w:pPr>
              <w:spacing w:line="276" w:lineRule="auto" w:before="0" w:after="0"/>
            </w:pPr>
            <w:r/>
            <w:r>
              <w:rPr>
                <w:rFonts w:ascii="Figtree" w:hAnsi="Figtree"/>
                <w:b w:val="0"/>
                <w:i w:val="0"/>
                <w:sz w:val="20"/>
              </w:rPr>
              <w:t>$365,000</w:t>
            </w:r>
          </w:p>
        </w:tc>
      </w:tr>
      <w:tr>
        <w:trPr>
          <w:trHeight w:val="425" w:hRule="atLeast"/>
        </w:trPr>
        <w:tc>
          <w:tcPr>
            <w:tcW w:type="dxa" w:w="1949"/>
            <w:vAlign w:val="center"/>
          </w:tcPr>
          <w:p>
            <w:pPr>
              <w:spacing w:line="276" w:lineRule="auto" w:before="0" w:after="0"/>
            </w:pPr>
            <w:r/>
            <w:r>
              <w:rPr>
                <w:rFonts w:ascii="Figtree" w:hAnsi="Figtree"/>
                <w:b w:val="0"/>
                <w:i w:val="0"/>
                <w:sz w:val="20"/>
              </w:rPr>
              <w:t>Per-yield distribution</w:t>
            </w:r>
          </w:p>
        </w:tc>
        <w:tc>
          <w:tcPr>
            <w:tcW w:type="dxa" w:w="1949"/>
            <w:vAlign w:val="center"/>
          </w:tcPr>
          <w:p>
            <w:pPr>
              <w:spacing w:line="276" w:lineRule="auto" w:before="0" w:after="0"/>
            </w:pPr>
            <w:r/>
            <w:r>
              <w:rPr>
                <w:rFonts w:ascii="Figtree" w:hAnsi="Figtree"/>
                <w:b w:val="0"/>
                <w:i w:val="0"/>
                <w:sz w:val="20"/>
              </w:rPr>
              <w:t>$1.00</w:t>
            </w:r>
          </w:p>
        </w:tc>
        <w:tc>
          <w:tcPr>
            <w:tcW w:type="dxa" w:w="1949"/>
            <w:vAlign w:val="center"/>
          </w:tcPr>
          <w:p>
            <w:pPr>
              <w:spacing w:line="276" w:lineRule="auto" w:before="0" w:after="0"/>
            </w:pPr>
            <w:r/>
            <w:r>
              <w:rPr>
                <w:rFonts w:ascii="Figtree" w:hAnsi="Figtree"/>
                <w:b w:val="0"/>
                <w:i w:val="0"/>
                <w:sz w:val="20"/>
              </w:rPr>
              <w:t>$240</w:t>
            </w:r>
          </w:p>
        </w:tc>
        <w:tc>
          <w:tcPr>
            <w:tcW w:type="dxa" w:w="1949"/>
            <w:vAlign w:val="center"/>
          </w:tcPr>
          <w:p>
            <w:pPr>
              <w:spacing w:line="276" w:lineRule="auto" w:before="0" w:after="0"/>
            </w:pPr>
            <w:r/>
            <w:r>
              <w:rPr>
                <w:rFonts w:ascii="Figtree" w:hAnsi="Figtree"/>
                <w:b w:val="0"/>
                <w:i w:val="0"/>
                <w:sz w:val="20"/>
              </w:rPr>
              <w:t>$600</w:t>
            </w:r>
          </w:p>
        </w:tc>
        <w:tc>
          <w:tcPr>
            <w:tcW w:type="dxa" w:w="1949"/>
            <w:vAlign w:val="center"/>
          </w:tcPr>
          <w:p>
            <w:pPr>
              <w:spacing w:line="276" w:lineRule="auto" w:before="0" w:after="0"/>
            </w:pPr>
            <w:r/>
            <w:r>
              <w:rPr>
                <w:rFonts w:ascii="Figtree" w:hAnsi="Figtree"/>
                <w:b w:val="0"/>
                <w:i w:val="0"/>
                <w:sz w:val="20"/>
              </w:rPr>
              <w:t>$2,400</w:t>
            </w:r>
          </w:p>
        </w:tc>
      </w:tr>
      <w:tr>
        <w:trPr>
          <w:trHeight w:val="425" w:hRule="atLeast"/>
        </w:trPr>
        <w:tc>
          <w:tcPr>
            <w:tcW w:type="dxa" w:w="1949"/>
            <w:vAlign w:val="center"/>
          </w:tcPr>
          <w:p>
            <w:pPr>
              <w:spacing w:line="276" w:lineRule="auto" w:before="0" w:after="0"/>
            </w:pPr>
            <w:r/>
            <w:r>
              <w:rPr>
                <w:rFonts w:ascii="Figtree" w:hAnsi="Figtree"/>
                <w:b w:val="0"/>
                <w:i w:val="0"/>
                <w:sz w:val="20"/>
              </w:rPr>
              <w:t>Per-token creation</w:t>
            </w:r>
          </w:p>
        </w:tc>
        <w:tc>
          <w:tcPr>
            <w:tcW w:type="dxa" w:w="1949"/>
            <w:vAlign w:val="center"/>
          </w:tcPr>
          <w:p>
            <w:pPr>
              <w:spacing w:line="276" w:lineRule="auto" w:before="0" w:after="0"/>
            </w:pPr>
            <w:r/>
            <w:r>
              <w:rPr>
                <w:rFonts w:ascii="Figtree" w:hAnsi="Figtree"/>
                <w:b w:val="0"/>
                <w:i w:val="0"/>
                <w:sz w:val="20"/>
              </w:rPr>
              <w:t>$100</w:t>
            </w:r>
          </w:p>
        </w:tc>
        <w:tc>
          <w:tcPr>
            <w:tcW w:type="dxa" w:w="1949"/>
            <w:vAlign w:val="center"/>
          </w:tcPr>
          <w:p>
            <w:pPr>
              <w:spacing w:line="276" w:lineRule="auto" w:before="0" w:after="0"/>
            </w:pPr>
            <w:r/>
            <w:r>
              <w:rPr>
                <w:rFonts w:ascii="Figtree" w:hAnsi="Figtree"/>
                <w:b w:val="0"/>
                <w:i w:val="0"/>
                <w:sz w:val="20"/>
              </w:rPr>
              <w:t>$2,000</w:t>
            </w:r>
          </w:p>
        </w:tc>
        <w:tc>
          <w:tcPr>
            <w:tcW w:type="dxa" w:w="1949"/>
            <w:vAlign w:val="center"/>
          </w:tcPr>
          <w:p>
            <w:pPr>
              <w:spacing w:line="276" w:lineRule="auto" w:before="0" w:after="0"/>
            </w:pPr>
            <w:r/>
            <w:r>
              <w:rPr>
                <w:rFonts w:ascii="Figtree" w:hAnsi="Figtree"/>
                <w:b w:val="0"/>
                <w:i w:val="0"/>
                <w:sz w:val="20"/>
              </w:rPr>
              <w:t>$5,000</w:t>
            </w:r>
          </w:p>
        </w:tc>
        <w:tc>
          <w:tcPr>
            <w:tcW w:type="dxa" w:w="1949"/>
            <w:vAlign w:val="center"/>
          </w:tcPr>
          <w:p>
            <w:pPr>
              <w:spacing w:line="276" w:lineRule="auto" w:before="0" w:after="0"/>
            </w:pPr>
            <w:r/>
            <w:r>
              <w:rPr>
                <w:rFonts w:ascii="Figtree" w:hAnsi="Figtree"/>
                <w:b w:val="0"/>
                <w:i w:val="0"/>
                <w:sz w:val="20"/>
              </w:rPr>
              <w:t>$20,000</w:t>
            </w:r>
          </w:p>
        </w:tc>
      </w:tr>
      <w:tr>
        <w:trPr>
          <w:trHeight w:val="425" w:hRule="atLeast"/>
        </w:trPr>
        <w:tc>
          <w:tcPr>
            <w:tcW w:type="dxa" w:w="1949"/>
            <w:vAlign w:val="center"/>
          </w:tcPr>
          <w:p>
            <w:pPr>
              <w:spacing w:line="276" w:lineRule="auto" w:before="0" w:after="0"/>
            </w:pPr>
            <w:r/>
            <w:r>
              <w:rPr>
                <w:rFonts w:ascii="Figtree" w:hAnsi="Figtree"/>
                <w:b/>
                <w:i w:val="0"/>
                <w:sz w:val="20"/>
              </w:rPr>
              <w:t>Annual variable cost</w:t>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$38,740</w:t>
            </w:r>
          </w:p>
        </w:tc>
        <w:tc>
          <w:tcPr>
            <w:tcW w:type="dxa" w:w="1949"/>
            <w:vAlign w:val="center"/>
          </w:tcPr>
          <w:p>
            <w:pPr>
              <w:spacing w:line="276" w:lineRule="auto" w:before="0" w:after="0"/>
            </w:pPr>
            <w:r/>
            <w:r>
              <w:rPr>
                <w:rFonts w:ascii="Figtree" w:hAnsi="Figtree"/>
                <w:b/>
                <w:i w:val="0"/>
                <w:sz w:val="20"/>
              </w:rPr>
              <w:t>$188,100</w:t>
            </w:r>
          </w:p>
        </w:tc>
        <w:tc>
          <w:tcPr>
            <w:tcW w:type="dxa" w:w="1949"/>
            <w:vAlign w:val="center"/>
          </w:tcPr>
          <w:p>
            <w:pPr>
              <w:spacing w:line="276" w:lineRule="auto" w:before="0" w:after="0"/>
            </w:pPr>
            <w:r/>
            <w:r>
              <w:rPr>
                <w:rFonts w:ascii="Figtree" w:hAnsi="Figtree"/>
                <w:b/>
                <w:i w:val="0"/>
                <w:sz w:val="20"/>
              </w:rPr>
              <w:t>$752,400</w:t>
            </w:r>
          </w:p>
        </w:tc>
      </w:tr>
    </w:tbl>
    <w:p>
      <w:pPr>
        <w:spacing w:before="0" w:after="0" w:line="120" w:lineRule="exact"/>
      </w:pPr>
    </w:p>
    <w:p>
      <w:r>
        <w:rPr>
          <w:rFonts w:ascii="Figtree" w:hAnsi="Figtree"/>
          <w:b/>
          <w:i w:val="0"/>
          <w:sz w:val="22"/>
        </w:rPr>
        <w:t>Under DALP subscription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8"/>
        <w:gridCol w:w="2112"/>
        <w:gridCol w:w="1491"/>
        <w:gridCol w:w="1864"/>
        <w:gridCol w:w="161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Fee 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Low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Medium Estimate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High Estimate</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Same</w:t>
            </w:r>
          </w:p>
        </w:tc>
        <w:tc>
          <w:tcPr>
            <w:tcW w:type="dxa" w:w="1949"/>
            <w:vAlign w:val="center"/>
          </w:tcPr>
          <w:p>
            <w:pPr>
              <w:spacing w:line="276" w:lineRule="auto" w:before="0" w:after="0"/>
            </w:pPr>
            <w:r/>
            <w:r>
              <w:rPr>
                <w:rFonts w:ascii="Figtree" w:hAnsi="Figtree"/>
                <w:b w:val="0"/>
                <w:i w:val="0"/>
                <w:sz w:val="20"/>
              </w:rPr>
              <w:t>Same</w:t>
            </w:r>
          </w:p>
        </w:tc>
        <w:tc>
          <w:tcPr>
            <w:tcW w:type="dxa" w:w="1949"/>
            <w:vAlign w:val="center"/>
          </w:tcPr>
          <w:p>
            <w:pPr>
              <w:spacing w:line="276" w:lineRule="auto" w:before="0" w:after="0"/>
            </w:pPr>
            <w:r/>
            <w:r>
              <w:rPr>
                <w:rFonts w:ascii="Figtree" w:hAnsi="Figtree"/>
                <w:b w:val="0"/>
                <w:i w:val="0"/>
                <w:sz w:val="20"/>
              </w:rPr>
              <w:t>Same</w:t>
            </w:r>
          </w:p>
        </w:tc>
      </w:tr>
      <w:tr>
        <w:trPr>
          <w:trHeight w:val="425" w:hRule="atLeast"/>
        </w:trPr>
        <w:tc>
          <w:tcPr>
            <w:tcW w:type="dxa" w:w="1949"/>
            <w:vAlign w:val="center"/>
          </w:tcPr>
          <w:p>
            <w:pPr>
              <w:spacing w:line="276" w:lineRule="auto" w:before="0" w:after="0"/>
            </w:pPr>
            <w:r/>
            <w:r>
              <w:rPr>
                <w:rFonts w:ascii="Figtree" w:hAnsi="Figtree"/>
                <w:b w:val="0"/>
                <w:i w:val="0"/>
                <w:sz w:val="20"/>
              </w:rPr>
              <w:t>Variable fees</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c>
          <w:tcPr>
            <w:tcW w:type="dxa" w:w="1949"/>
            <w:vAlign w:val="center"/>
          </w:tcPr>
          <w:p>
            <w:pPr>
              <w:spacing w:line="276" w:lineRule="auto" w:before="0" w:after="0"/>
            </w:pPr>
            <w:r/>
            <w:r>
              <w:rPr>
                <w:rFonts w:ascii="Figtree" w:hAnsi="Figtree"/>
                <w:b w:val="0"/>
                <w:i w:val="0"/>
                <w:sz w:val="20"/>
              </w:rPr>
              <w:t>$0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Fixed</w:t>
            </w:r>
          </w:p>
        </w:tc>
        <w:tc>
          <w:tcPr>
            <w:tcW w:type="dxa" w:w="1949"/>
            <w:vAlign w:val="center"/>
          </w:tcPr>
          <w:p>
            <w:pPr>
              <w:spacing w:line="276" w:lineRule="auto" w:before="0" w:after="0"/>
            </w:pPr>
            <w:r/>
            <w:r>
              <w:rPr>
                <w:rFonts w:ascii="Figtree" w:hAnsi="Figtree"/>
                <w:b/>
                <w:i w:val="0"/>
                <w:sz w:val="20"/>
              </w:rPr>
              <w:t>Fixed</w:t>
            </w:r>
          </w:p>
        </w:tc>
        <w:tc>
          <w:tcPr>
            <w:tcW w:type="dxa" w:w="1949"/>
            <w:vAlign w:val="center"/>
          </w:tcPr>
          <w:p>
            <w:pPr>
              <w:spacing w:line="276" w:lineRule="auto" w:before="0" w:after="0"/>
            </w:pPr>
            <w:r/>
            <w:r>
              <w:rPr>
                <w:rFonts w:ascii="Figtree" w:hAnsi="Figtree"/>
                <w:b/>
                <w:i w:val="0"/>
                <w:sz w:val="20"/>
              </w:rPr>
              <w:t>Fixed</w:t>
            </w:r>
          </w:p>
        </w:tc>
        <w:tc>
          <w:tcPr>
            <w:tcW w:type="dxa" w:w="1949"/>
            <w:vAlign w:val="center"/>
          </w:tcPr>
          <w:p>
            <w:pPr>
              <w:spacing w:line="276" w:lineRule="auto" w:before="0" w:after="0"/>
            </w:pPr>
            <w:r/>
            <w:r>
              <w:rPr>
                <w:rFonts w:ascii="Figtree" w:hAnsi="Figtree"/>
                <w:b/>
                <w:i w:val="0"/>
                <w:sz w:val="20"/>
              </w:rPr>
              <w:t>Fixed</w:t>
            </w:r>
          </w:p>
        </w:tc>
      </w:tr>
    </w:tbl>
    <w:p>
      <w:pPr>
        <w:spacing w:before="0" w:after="0" w:line="120" w:lineRule="exact"/>
      </w:pPr>
    </w:p>
    <w:p>
      <w:r>
        <w:rPr>
          <w:rFonts w:ascii="Figtree" w:hAnsi="Figtree"/>
          <w:b w:val="0"/>
          <w:i w:val="0"/>
          <w:sz w:val="22"/>
        </w:rPr>
        <w:t>The critical insight: as Emirates NBD's volumes grow (which is the success scenario), transaction-based pricing makes success expensive. DALP's subscription model means Emirates NBD's platform costs remain predictable regardless of volume growth.</w:t>
      </w:r>
    </w:p>
    <w:p>
      <w:pPr>
        <w:pStyle w:val="H3"/>
        <w:numPr>
          <w:ilvl w:val="2"/>
          <w:numId w:val="1"/>
        </w:numPr>
      </w:pPr>
      <w:r>
        <w:t>Infrastructure Cost Estimates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3"/>
        <w:gridCol w:w="2513"/>
        <w:gridCol w:w="24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Infrastructure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Cost (Estimate)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 (3 workers)</w:t>
            </w:r>
          </w:p>
        </w:tc>
        <w:tc>
          <w:tcPr>
            <w:tcW w:type="dxa" w:w="3249"/>
            <w:vAlign w:val="center"/>
          </w:tcPr>
          <w:p>
            <w:pPr>
              <w:spacing w:line="276" w:lineRule="auto" w:before="0" w:after="0"/>
            </w:pPr>
            <w:r/>
            <w:r>
              <w:rPr>
                <w:rFonts w:ascii="Figtree" w:hAnsi="Figtree"/>
                <w:b w:val="0"/>
                <w:i w:val="0"/>
                <w:sz w:val="20"/>
              </w:rPr>
              <w:t>$2,500 – $3,500</w:t>
            </w:r>
          </w:p>
        </w:tc>
        <w:tc>
          <w:tcPr>
            <w:tcW w:type="dxa" w:w="3249"/>
            <w:vAlign w:val="center"/>
          </w:tcPr>
          <w:p>
            <w:pPr>
              <w:spacing w:line="276" w:lineRule="auto" w:before="0" w:after="0"/>
            </w:pPr>
            <w:r/>
            <w:r>
              <w:rPr>
                <w:rFonts w:ascii="Figtree" w:hAnsi="Figtree"/>
                <w:b w:val="0"/>
                <w:i w:val="0"/>
                <w:sz w:val="20"/>
              </w:rPr>
              <w:t>$30,000 – $42,000</w:t>
            </w:r>
          </w:p>
        </w:tc>
      </w:tr>
      <w:tr>
        <w:trPr>
          <w:trHeight w:val="425" w:hRule="atLeast"/>
        </w:trPr>
        <w:tc>
          <w:tcPr>
            <w:tcW w:type="dxa" w:w="3249"/>
            <w:vAlign w:val="center"/>
          </w:tcPr>
          <w:p>
            <w:pPr>
              <w:spacing w:line="276" w:lineRule="auto" w:before="0" w:after="0"/>
            </w:pPr>
            <w:r/>
            <w:r>
              <w:rPr>
                <w:rFonts w:ascii="Figtree" w:hAnsi="Figtree"/>
                <w:b w:val="0"/>
                <w:i w:val="0"/>
                <w:sz w:val="20"/>
              </w:rPr>
              <w:t>PostgreSQL (Multi-AZ, production spec)</w:t>
            </w:r>
          </w:p>
        </w:tc>
        <w:tc>
          <w:tcPr>
            <w:tcW w:type="dxa" w:w="3249"/>
            <w:vAlign w:val="center"/>
          </w:tcPr>
          <w:p>
            <w:pPr>
              <w:spacing w:line="276" w:lineRule="auto" w:before="0" w:after="0"/>
            </w:pPr>
            <w:r/>
            <w:r>
              <w:rPr>
                <w:rFonts w:ascii="Figtree" w:hAnsi="Figtree"/>
                <w:b w:val="0"/>
                <w:i w:val="0"/>
                <w:sz w:val="20"/>
              </w:rPr>
              <w:t>$1,500 – $2,000</w:t>
            </w:r>
          </w:p>
        </w:tc>
        <w:tc>
          <w:tcPr>
            <w:tcW w:type="dxa" w:w="3249"/>
            <w:vAlign w:val="center"/>
          </w:tcPr>
          <w:p>
            <w:pPr>
              <w:spacing w:line="276" w:lineRule="auto" w:before="0" w:after="0"/>
            </w:pPr>
            <w:r/>
            <w:r>
              <w:rPr>
                <w:rFonts w:ascii="Figtree" w:hAnsi="Figtree"/>
                <w:b w:val="0"/>
                <w:i w:val="0"/>
                <w:sz w:val="20"/>
              </w:rPr>
              <w:t>$18,000 – $24,000</w:t>
            </w:r>
          </w:p>
        </w:tc>
      </w:tr>
      <w:tr>
        <w:trPr>
          <w:trHeight w:val="425" w:hRule="atLeast"/>
        </w:trPr>
        <w:tc>
          <w:tcPr>
            <w:tcW w:type="dxa" w:w="3249"/>
            <w:vAlign w:val="center"/>
          </w:tcPr>
          <w:p>
            <w:pPr>
              <w:spacing w:line="276" w:lineRule="auto" w:before="0" w:after="0"/>
            </w:pPr>
            <w:r/>
            <w:r>
              <w:rPr>
                <w:rFonts w:ascii="Figtree" w:hAnsi="Figtree"/>
                <w:b w:val="0"/>
                <w:i w:val="0"/>
                <w:sz w:val="20"/>
              </w:rPr>
              <w:t>Redis cluster</w:t>
            </w:r>
          </w:p>
        </w:tc>
        <w:tc>
          <w:tcPr>
            <w:tcW w:type="dxa" w:w="3249"/>
            <w:vAlign w:val="center"/>
          </w:tcPr>
          <w:p>
            <w:pPr>
              <w:spacing w:line="276" w:lineRule="auto" w:before="0" w:after="0"/>
            </w:pPr>
            <w:r/>
            <w:r>
              <w:rPr>
                <w:rFonts w:ascii="Figtree" w:hAnsi="Figtree"/>
                <w:b w:val="0"/>
                <w:i w:val="0"/>
                <w:sz w:val="20"/>
              </w:rPr>
              <w:t>$500 – $800</w:t>
            </w:r>
          </w:p>
        </w:tc>
        <w:tc>
          <w:tcPr>
            <w:tcW w:type="dxa" w:w="3249"/>
            <w:vAlign w:val="center"/>
          </w:tcPr>
          <w:p>
            <w:pPr>
              <w:spacing w:line="276" w:lineRule="auto" w:before="0" w:after="0"/>
            </w:pPr>
            <w:r/>
            <w:r>
              <w:rPr>
                <w:rFonts w:ascii="Figtree" w:hAnsi="Figtree"/>
                <w:b w:val="0"/>
                <w:i w:val="0"/>
                <w:sz w:val="20"/>
              </w:rPr>
              <w:t>$6,000 – $9,600</w:t>
            </w:r>
          </w:p>
        </w:tc>
      </w:tr>
      <w:tr>
        <w:trPr>
          <w:trHeight w:val="425" w:hRule="atLeast"/>
        </w:trPr>
        <w:tc>
          <w:tcPr>
            <w:tcW w:type="dxa" w:w="3249"/>
            <w:vAlign w:val="center"/>
          </w:tcPr>
          <w:p>
            <w:pPr>
              <w:spacing w:line="276" w:lineRule="auto" w:before="0" w:after="0"/>
            </w:pPr>
            <w:r/>
            <w:r>
              <w:rPr>
                <w:rFonts w:ascii="Figtree" w:hAnsi="Figtree"/>
                <w:b w:val="0"/>
                <w:i w:val="0"/>
                <w:sz w:val="20"/>
              </w:rPr>
              <w:t>Blockchain nodes (4 validators)</w:t>
            </w:r>
          </w:p>
        </w:tc>
        <w:tc>
          <w:tcPr>
            <w:tcW w:type="dxa" w:w="3249"/>
            <w:vAlign w:val="center"/>
          </w:tcPr>
          <w:p>
            <w:pPr>
              <w:spacing w:line="276" w:lineRule="auto" w:before="0" w:after="0"/>
            </w:pPr>
            <w:r/>
            <w:r>
              <w:rPr>
                <w:rFonts w:ascii="Figtree" w:hAnsi="Figtree"/>
                <w:b w:val="0"/>
                <w:i w:val="0"/>
                <w:sz w:val="20"/>
              </w:rPr>
              <w:t>$1,200 – $1,800</w:t>
            </w:r>
          </w:p>
        </w:tc>
        <w:tc>
          <w:tcPr>
            <w:tcW w:type="dxa" w:w="3249"/>
            <w:vAlign w:val="center"/>
          </w:tcPr>
          <w:p>
            <w:pPr>
              <w:spacing w:line="276" w:lineRule="auto" w:before="0" w:after="0"/>
            </w:pPr>
            <w:r/>
            <w:r>
              <w:rPr>
                <w:rFonts w:ascii="Figtree" w:hAnsi="Figtree"/>
                <w:b w:val="0"/>
                <w:i w:val="0"/>
                <w:sz w:val="20"/>
              </w:rPr>
              <w:t>$14,400 – $21,600</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$100 – $300</w:t>
            </w:r>
          </w:p>
        </w:tc>
        <w:tc>
          <w:tcPr>
            <w:tcW w:type="dxa" w:w="3249"/>
            <w:vAlign w:val="center"/>
          </w:tcPr>
          <w:p>
            <w:pPr>
              <w:spacing w:line="276" w:lineRule="auto" w:before="0" w:after="0"/>
            </w:pPr>
            <w:r/>
            <w:r>
              <w:rPr>
                <w:rFonts w:ascii="Figtree" w:hAnsi="Figtree"/>
                <w:b w:val="0"/>
                <w:i w:val="0"/>
                <w:sz w:val="20"/>
              </w:rPr>
              <w:t>$1,200 – $3,600</w:t>
            </w:r>
          </w:p>
        </w:tc>
      </w:tr>
      <w:tr>
        <w:trPr>
          <w:trHeight w:val="425" w:hRule="atLeast"/>
        </w:trPr>
        <w:tc>
          <w:tcPr>
            <w:tcW w:type="dxa" w:w="3249"/>
            <w:vAlign w:val="center"/>
          </w:tcPr>
          <w:p>
            <w:pPr>
              <w:spacing w:line="276" w:lineRule="auto" w:before="0" w:after="0"/>
            </w:pPr>
            <w:r/>
            <w:r>
              <w:rPr>
                <w:rFonts w:ascii="Figtree" w:hAnsi="Figtree"/>
                <w:b w:val="0"/>
                <w:i w:val="0"/>
                <w:sz w:val="20"/>
              </w:rPr>
              <w:t>Load balancer + WAF</w:t>
            </w:r>
          </w:p>
        </w:tc>
        <w:tc>
          <w:tcPr>
            <w:tcW w:type="dxa" w:w="3249"/>
            <w:vAlign w:val="center"/>
          </w:tcPr>
          <w:p>
            <w:pPr>
              <w:spacing w:line="276" w:lineRule="auto" w:before="0" w:after="0"/>
            </w:pPr>
            <w:r/>
            <w:r>
              <w:rPr>
                <w:rFonts w:ascii="Figtree" w:hAnsi="Figtree"/>
                <w:b w:val="0"/>
                <w:i w:val="0"/>
                <w:sz w:val="20"/>
              </w:rPr>
              <w:t>$300 – $500</w:t>
            </w:r>
          </w:p>
        </w:tc>
        <w:tc>
          <w:tcPr>
            <w:tcW w:type="dxa" w:w="3249"/>
            <w:vAlign w:val="center"/>
          </w:tcPr>
          <w:p>
            <w:pPr>
              <w:spacing w:line="276" w:lineRule="auto" w:before="0" w:after="0"/>
            </w:pPr>
            <w:r/>
            <w:r>
              <w:rPr>
                <w:rFonts w:ascii="Figtree" w:hAnsi="Figtree"/>
                <w:b w:val="0"/>
                <w:i w:val="0"/>
                <w:sz w:val="20"/>
              </w:rPr>
              <w:t>$3,600 – $6,000</w:t>
            </w:r>
          </w:p>
        </w:tc>
      </w:tr>
      <w:tr>
        <w:trPr>
          <w:trHeight w:val="425" w:hRule="atLeast"/>
        </w:trPr>
        <w:tc>
          <w:tcPr>
            <w:tcW w:type="dxa" w:w="3249"/>
            <w:vAlign w:val="center"/>
          </w:tcPr>
          <w:p>
            <w:pPr>
              <w:spacing w:line="276" w:lineRule="auto" w:before="0" w:after="0"/>
            </w:pPr>
            <w:r/>
            <w:r>
              <w:rPr>
                <w:rFonts w:ascii="Figtree" w:hAnsi="Figtree"/>
                <w:b w:val="0"/>
                <w:i w:val="0"/>
                <w:sz w:val="20"/>
              </w:rPr>
              <w:t>Monitoring (Grafana)</w:t>
            </w:r>
          </w:p>
        </w:tc>
        <w:tc>
          <w:tcPr>
            <w:tcW w:type="dxa" w:w="3249"/>
            <w:vAlign w:val="center"/>
          </w:tcPr>
          <w:p>
            <w:pPr>
              <w:spacing w:line="276" w:lineRule="auto" w:before="0" w:after="0"/>
            </w:pPr>
            <w:r/>
            <w:r>
              <w:rPr>
                <w:rFonts w:ascii="Figtree" w:hAnsi="Figtree"/>
                <w:b w:val="0"/>
                <w:i w:val="0"/>
                <w:sz w:val="20"/>
              </w:rPr>
              <w:t>$200 – $400</w:t>
            </w:r>
          </w:p>
        </w:tc>
        <w:tc>
          <w:tcPr>
            <w:tcW w:type="dxa" w:w="3249"/>
            <w:vAlign w:val="center"/>
          </w:tcPr>
          <w:p>
            <w:pPr>
              <w:spacing w:line="276" w:lineRule="auto" w:before="0" w:after="0"/>
            </w:pPr>
            <w:r/>
            <w:r>
              <w:rPr>
                <w:rFonts w:ascii="Figtree" w:hAnsi="Figtree"/>
                <w:b w:val="0"/>
                <w:i w:val="0"/>
                <w:sz w:val="20"/>
              </w:rPr>
              <w:t>$2,400 – $4,800</w:t>
            </w:r>
          </w:p>
        </w:tc>
      </w:tr>
      <w:tr>
        <w:trPr>
          <w:trHeight w:val="425" w:hRule="atLeast"/>
        </w:trPr>
        <w:tc>
          <w:tcPr>
            <w:tcW w:type="dxa" w:w="3249"/>
            <w:vAlign w:val="center"/>
          </w:tcPr>
          <w:p>
            <w:pPr>
              <w:spacing w:line="276" w:lineRule="auto" w:before="0" w:after="0"/>
            </w:pPr>
            <w:r/>
            <w:r>
              <w:rPr>
                <w:rFonts w:ascii="Figtree" w:hAnsi="Figtree"/>
                <w:b w:val="0"/>
                <w:i w:val="0"/>
                <w:sz w:val="20"/>
              </w:rPr>
              <w:t>Network (VPN, data transfer)</w:t>
            </w:r>
          </w:p>
        </w:tc>
        <w:tc>
          <w:tcPr>
            <w:tcW w:type="dxa" w:w="3249"/>
            <w:vAlign w:val="center"/>
          </w:tcPr>
          <w:p>
            <w:pPr>
              <w:spacing w:line="276" w:lineRule="auto" w:before="0" w:after="0"/>
            </w:pPr>
            <w:r/>
            <w:r>
              <w:rPr>
                <w:rFonts w:ascii="Figtree" w:hAnsi="Figtree"/>
                <w:b w:val="0"/>
                <w:i w:val="0"/>
                <w:sz w:val="20"/>
              </w:rPr>
              <w:t>$500 – $800</w:t>
            </w:r>
          </w:p>
        </w:tc>
        <w:tc>
          <w:tcPr>
            <w:tcW w:type="dxa" w:w="3249"/>
            <w:vAlign w:val="center"/>
          </w:tcPr>
          <w:p>
            <w:pPr>
              <w:spacing w:line="276" w:lineRule="auto" w:before="0" w:after="0"/>
            </w:pPr>
            <w:r/>
            <w:r>
              <w:rPr>
                <w:rFonts w:ascii="Figtree" w:hAnsi="Figtree"/>
                <w:b w:val="0"/>
                <w:i w:val="0"/>
                <w:sz w:val="20"/>
              </w:rPr>
              <w:t>$6,000 – $9,600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w:t>
            </w:r>
          </w:p>
        </w:tc>
        <w:tc>
          <w:tcPr>
            <w:tcW w:type="dxa" w:w="3249"/>
            <w:vAlign w:val="center"/>
          </w:tcPr>
          <w:p>
            <w:pPr>
              <w:spacing w:line="276" w:lineRule="auto" w:before="0" w:after="0"/>
            </w:pPr>
            <w:r/>
            <w:r>
              <w:rPr>
                <w:rFonts w:ascii="Figtree" w:hAnsi="Figtree"/>
                <w:b/>
                <w:i w:val="0"/>
                <w:sz w:val="20"/>
              </w:rPr>
              <w:t>$6,800 – $10,100</w:t>
            </w:r>
          </w:p>
        </w:tc>
        <w:tc>
          <w:tcPr>
            <w:tcW w:type="dxa" w:w="3249"/>
            <w:vAlign w:val="center"/>
          </w:tcPr>
          <w:p>
            <w:pPr>
              <w:spacing w:line="276" w:lineRule="auto" w:before="0" w:after="0"/>
            </w:pPr>
            <w:r/>
            <w:r>
              <w:rPr>
                <w:rFonts w:ascii="Figtree" w:hAnsi="Figtree"/>
                <w:b/>
                <w:i w:val="0"/>
                <w:sz w:val="20"/>
              </w:rPr>
              <w:t>$81,600 – $121,200</w:t>
            </w:r>
          </w:p>
        </w:tc>
      </w:tr>
    </w:tbl>
    <w:p>
      <w:pPr>
        <w:spacing w:before="0" w:after="0" w:line="120" w:lineRule="exact"/>
      </w:pPr>
    </w:p>
    <w:p>
      <w:r>
        <w:rPr>
          <w:rFonts w:ascii="Figtree" w:hAnsi="Figtree"/>
          <w:b w:val="0"/>
          <w:i w:val="0"/>
          <w:sz w:val="22"/>
        </w:rPr>
        <w:t>Infrastructure costs are estimates based on UAE cloud pricing (AWS Bahrain / Azure UAE North) at current rates. Actual costs will be finalized during commercial discussions based on Emirates NBD's specific requirements and existing cloud agreements.</w:t>
      </w:r>
    </w:p>
    <w:p>
      <w:pPr>
        <w:pStyle w:val="H3"/>
        <w:numPr>
          <w:ilvl w:val="2"/>
          <w:numId w:val="1"/>
        </w:numPr>
      </w:pPr>
      <w:r>
        <w:t>Contract Structure</w:t>
      </w:r>
    </w:p>
    <w:p>
      <w:r>
        <w:rPr>
          <w:rFonts w:ascii="Figtree" w:hAnsi="Figtree"/>
          <w:b/>
          <w:i w:val="0"/>
          <w:sz w:val="22"/>
        </w:rPr>
        <w:t>Recommended contract components: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45"/>
        <w:gridCol w:w="942"/>
        <w:gridCol w:w="51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Document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Master Services Agreement</w:t>
            </w:r>
          </w:p>
        </w:tc>
        <w:tc>
          <w:tcPr>
            <w:tcW w:type="dxa" w:w="3249"/>
            <w:vAlign w:val="center"/>
          </w:tcPr>
          <w:p>
            <w:pPr>
              <w:spacing w:line="276" w:lineRule="auto" w:before="0" w:after="0"/>
            </w:pPr>
            <w:r/>
            <w:r>
              <w:rPr>
                <w:rFonts w:ascii="Figtree" w:hAnsi="Figtree"/>
                <w:b w:val="0"/>
                <w:i w:val="0"/>
                <w:sz w:val="20"/>
              </w:rPr>
              <w:t>MSA</w:t>
            </w:r>
          </w:p>
        </w:tc>
        <w:tc>
          <w:tcPr>
            <w:tcW w:type="dxa" w:w="3249"/>
            <w:vAlign w:val="center"/>
          </w:tcPr>
          <w:p>
            <w:pPr>
              <w:spacing w:line="276" w:lineRule="auto" w:before="0" w:after="0"/>
            </w:pPr>
            <w:r/>
            <w:r>
              <w:rPr>
                <w:rFonts w:ascii="Figtree" w:hAnsi="Figtree"/>
                <w:b w:val="0"/>
                <w:i w:val="0"/>
                <w:sz w:val="20"/>
              </w:rPr>
              <w:t>Overarching commercial and legal terms</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w:t>
            </w:r>
          </w:p>
        </w:tc>
        <w:tc>
          <w:tcPr>
            <w:tcW w:type="dxa" w:w="3249"/>
            <w:vAlign w:val="center"/>
          </w:tcPr>
          <w:p>
            <w:pPr>
              <w:spacing w:line="276" w:lineRule="auto" w:before="0" w:after="0"/>
            </w:pPr>
            <w:r/>
            <w:r>
              <w:rPr>
                <w:rFonts w:ascii="Figtree" w:hAnsi="Figtree"/>
                <w:b w:val="0"/>
                <w:i w:val="0"/>
                <w:sz w:val="20"/>
              </w:rPr>
              <w:t>SOW</w:t>
            </w:r>
          </w:p>
        </w:tc>
        <w:tc>
          <w:tcPr>
            <w:tcW w:type="dxa" w:w="3249"/>
            <w:vAlign w:val="center"/>
          </w:tcPr>
          <w:p>
            <w:pPr>
              <w:spacing w:line="276" w:lineRule="auto" w:before="0" w:after="0"/>
            </w:pPr>
            <w:r/>
            <w:r>
              <w:rPr>
                <w:rFonts w:ascii="Figtree" w:hAnsi="Figtree"/>
                <w:b w:val="0"/>
                <w:i w:val="0"/>
                <w:sz w:val="20"/>
              </w:rPr>
              <w:t>Implementation scope, timeline, deliverables</w:t>
            </w:r>
          </w:p>
        </w:tc>
      </w:tr>
      <w:tr>
        <w:trPr>
          <w:trHeight w:val="425" w:hRule="atLeast"/>
        </w:trPr>
        <w:tc>
          <w:tcPr>
            <w:tcW w:type="dxa" w:w="3249"/>
            <w:vAlign w:val="center"/>
          </w:tcPr>
          <w:p>
            <w:pPr>
              <w:spacing w:line="276" w:lineRule="auto" w:before="0" w:after="0"/>
            </w:pPr>
            <w:r/>
            <w:r>
              <w:rPr>
                <w:rFonts w:ascii="Figtree" w:hAnsi="Figtree"/>
                <w:b w:val="0"/>
                <w:i w:val="0"/>
                <w:sz w:val="20"/>
              </w:rPr>
              <w:t>License Agreement</w:t>
            </w:r>
          </w:p>
        </w:tc>
        <w:tc>
          <w:tcPr>
            <w:tcW w:type="dxa" w:w="3249"/>
            <w:vAlign w:val="center"/>
          </w:tcPr>
          <w:p>
            <w:pPr>
              <w:spacing w:line="276" w:lineRule="auto" w:before="0" w:after="0"/>
            </w:pPr>
            <w:r/>
            <w:r>
              <w:rPr>
                <w:rFonts w:ascii="Figtree" w:hAnsi="Figtree"/>
                <w:b w:val="0"/>
                <w:i w:val="0"/>
                <w:sz w:val="20"/>
              </w:rPr>
              <w:t>LA</w:t>
            </w:r>
          </w:p>
        </w:tc>
        <w:tc>
          <w:tcPr>
            <w:tcW w:type="dxa" w:w="3249"/>
            <w:vAlign w:val="center"/>
          </w:tcPr>
          <w:p>
            <w:pPr>
              <w:spacing w:line="276" w:lineRule="auto" w:before="0" w:after="0"/>
            </w:pPr>
            <w:r/>
            <w:r>
              <w:rPr>
                <w:rFonts w:ascii="Figtree" w:hAnsi="Figtree"/>
                <w:b w:val="0"/>
                <w:i w:val="0"/>
                <w:sz w:val="20"/>
              </w:rPr>
              <w:t>Platform licensing terms, usage rights</w:t>
            </w:r>
          </w:p>
        </w:tc>
      </w:tr>
      <w:tr>
        <w:trPr>
          <w:trHeight w:val="425" w:hRule="atLeast"/>
        </w:trPr>
        <w:tc>
          <w:tcPr>
            <w:tcW w:type="dxa" w:w="3249"/>
            <w:vAlign w:val="center"/>
          </w:tcPr>
          <w:p>
            <w:pPr>
              <w:spacing w:line="276" w:lineRule="auto" w:before="0" w:after="0"/>
            </w:pPr>
            <w:r/>
            <w:r>
              <w:rPr>
                <w:rFonts w:ascii="Figtree" w:hAnsi="Figtree"/>
                <w:b w:val="0"/>
                <w:i w:val="0"/>
                <w:sz w:val="20"/>
              </w:rPr>
              <w:t>Support Agreement</w:t>
            </w:r>
          </w:p>
        </w:tc>
        <w:tc>
          <w:tcPr>
            <w:tcW w:type="dxa" w:w="3249"/>
            <w:vAlign w:val="center"/>
          </w:tcPr>
          <w:p>
            <w:pPr>
              <w:spacing w:line="276" w:lineRule="auto" w:before="0" w:after="0"/>
            </w:pPr>
            <w:r/>
            <w:r>
              <w:rPr>
                <w:rFonts w:ascii="Figtree" w:hAnsi="Figtree"/>
                <w:b w:val="0"/>
                <w:i w:val="0"/>
                <w:sz w:val="20"/>
              </w:rPr>
              <w:t>SA</w:t>
            </w:r>
          </w:p>
        </w:tc>
        <w:tc>
          <w:tcPr>
            <w:tcW w:type="dxa" w:w="3249"/>
            <w:vAlign w:val="center"/>
          </w:tcPr>
          <w:p>
            <w:pPr>
              <w:spacing w:line="276" w:lineRule="auto" w:before="0" w:after="0"/>
            </w:pPr>
            <w:r/>
            <w:r>
              <w:rPr>
                <w:rFonts w:ascii="Figtree" w:hAnsi="Figtree"/>
                <w:b w:val="0"/>
                <w:i w:val="0"/>
                <w:sz w:val="20"/>
              </w:rPr>
              <w:t>Support tier, SLAs, escalation procedures</w:t>
            </w:r>
          </w:p>
        </w:tc>
      </w:tr>
      <w:tr>
        <w:trPr>
          <w:trHeight w:val="425" w:hRule="atLeast"/>
        </w:trPr>
        <w:tc>
          <w:tcPr>
            <w:tcW w:type="dxa" w:w="3249"/>
            <w:vAlign w:val="center"/>
          </w:tcPr>
          <w:p>
            <w:pPr>
              <w:spacing w:line="276" w:lineRule="auto" w:before="0" w:after="0"/>
            </w:pPr>
            <w:r/>
            <w:r>
              <w:rPr>
                <w:rFonts w:ascii="Figtree" w:hAnsi="Figtree"/>
                <w:b w:val="0"/>
                <w:i w:val="0"/>
                <w:sz w:val="20"/>
              </w:rPr>
              <w:t>Data Processing Agreement</w:t>
            </w:r>
          </w:p>
        </w:tc>
        <w:tc>
          <w:tcPr>
            <w:tcW w:type="dxa" w:w="3249"/>
            <w:vAlign w:val="center"/>
          </w:tcPr>
          <w:p>
            <w:pPr>
              <w:spacing w:line="276" w:lineRule="auto" w:before="0" w:after="0"/>
            </w:pPr>
            <w:r/>
            <w:r>
              <w:rPr>
                <w:rFonts w:ascii="Figtree" w:hAnsi="Figtree"/>
                <w:b w:val="0"/>
                <w:i w:val="0"/>
                <w:sz w:val="20"/>
              </w:rPr>
              <w:t>DPA</w:t>
            </w:r>
          </w:p>
        </w:tc>
        <w:tc>
          <w:tcPr>
            <w:tcW w:type="dxa" w:w="3249"/>
            <w:vAlign w:val="center"/>
          </w:tcPr>
          <w:p>
            <w:pPr>
              <w:spacing w:line="276" w:lineRule="auto" w:before="0" w:after="0"/>
            </w:pPr>
            <w:r/>
            <w:r>
              <w:rPr>
                <w:rFonts w:ascii="Figtree" w:hAnsi="Figtree"/>
                <w:b w:val="0"/>
                <w:i w:val="0"/>
                <w:sz w:val="20"/>
              </w:rPr>
              <w:t>Data handling, residency, privacy compliance</w:t>
            </w:r>
          </w:p>
        </w:tc>
      </w:tr>
      <w:tr>
        <w:trPr>
          <w:trHeight w:val="425" w:hRule="atLeast"/>
        </w:trPr>
        <w:tc>
          <w:tcPr>
            <w:tcW w:type="dxa" w:w="3249"/>
            <w:vAlign w:val="center"/>
          </w:tcPr>
          <w:p>
            <w:pPr>
              <w:spacing w:line="276" w:lineRule="auto" w:before="0" w:after="0"/>
            </w:pPr>
            <w:r/>
            <w:r>
              <w:rPr>
                <w:rFonts w:ascii="Figtree" w:hAnsi="Figtree"/>
                <w:b w:val="0"/>
                <w:i w:val="0"/>
                <w:sz w:val="20"/>
              </w:rPr>
              <w:t>Security Addendum</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Security obligations, incident notification</w:t>
            </w:r>
          </w:p>
        </w:tc>
      </w:tr>
    </w:tbl>
    <w:p>
      <w:pPr>
        <w:spacing w:before="0" w:after="0" w:line="120" w:lineRule="exact"/>
      </w:pPr>
    </w:p>
    <w:p>
      <w:r>
        <w:rPr>
          <w:rFonts w:ascii="Figtree" w:hAnsi="Figtree"/>
          <w:b/>
          <w:i w:val="0"/>
          <w:sz w:val="22"/>
        </w:rPr>
        <w:t>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70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Proposed Position</w:t>
            </w:r>
          </w:p>
        </w:tc>
      </w:tr>
      <w:tr>
        <w:trPr>
          <w:trHeight w:val="425" w:hRule="atLeast"/>
        </w:trPr>
        <w:tc>
          <w:tcPr>
            <w:tcW w:type="dxa" w:w="4873"/>
            <w:vAlign w:val="center"/>
          </w:tcPr>
          <w:p>
            <w:pPr>
              <w:spacing w:line="276" w:lineRule="auto" w:before="0" w:after="0"/>
            </w:pPr>
            <w:r/>
            <w:r>
              <w:rPr>
                <w:rFonts w:ascii="Figtree" w:hAnsi="Figtree"/>
                <w:b w:val="0"/>
                <w:i w:val="0"/>
                <w:sz w:val="20"/>
              </w:rPr>
              <w:t>Contract duration</w:t>
            </w:r>
          </w:p>
        </w:tc>
        <w:tc>
          <w:tcPr>
            <w:tcW w:type="dxa" w:w="4873"/>
            <w:vAlign w:val="center"/>
          </w:tcPr>
          <w:p>
            <w:pPr>
              <w:spacing w:line="276" w:lineRule="auto" w:before="0" w:after="0"/>
            </w:pPr>
            <w:r/>
            <w:r>
              <w:rPr>
                <w:rFonts w:ascii="Figtree" w:hAnsi="Figtree"/>
                <w:b w:val="0"/>
                <w:i w:val="0"/>
                <w:sz w:val="20"/>
              </w:rPr>
              <w:t>3 years initial, annual renewal thereafter</w:t>
            </w:r>
          </w:p>
        </w:tc>
      </w:tr>
      <w:tr>
        <w:trPr>
          <w:trHeight w:val="425" w:hRule="atLeast"/>
        </w:trPr>
        <w:tc>
          <w:tcPr>
            <w:tcW w:type="dxa" w:w="4873"/>
            <w:vAlign w:val="center"/>
          </w:tcPr>
          <w:p>
            <w:pPr>
              <w:spacing w:line="276" w:lineRule="auto" w:before="0" w:after="0"/>
            </w:pPr>
            <w:r/>
            <w:r>
              <w:rPr>
                <w:rFonts w:ascii="Figtree" w:hAnsi="Figtree"/>
                <w:b w:val="0"/>
                <w:i w:val="0"/>
                <w:sz w:val="20"/>
              </w:rPr>
              <w:t>Price lock</w:t>
            </w:r>
          </w:p>
        </w:tc>
        <w:tc>
          <w:tcPr>
            <w:tcW w:type="dxa" w:w="4873"/>
            <w:vAlign w:val="center"/>
          </w:tcPr>
          <w:p>
            <w:pPr>
              <w:spacing w:line="276" w:lineRule="auto" w:before="0" w:after="0"/>
            </w:pPr>
            <w:r/>
            <w:r>
              <w:rPr>
                <w:rFonts w:ascii="Figtree" w:hAnsi="Figtree"/>
                <w:b w:val="0"/>
                <w:i w:val="0"/>
                <w:sz w:val="20"/>
              </w:rPr>
              <w:t>Year 1 fixed; Years 2–3 CPI-indexed (capped at 5% annual increase)</w:t>
            </w:r>
          </w:p>
        </w:tc>
      </w:tr>
      <w:tr>
        <w:trPr>
          <w:trHeight w:val="425" w:hRule="atLeast"/>
        </w:trPr>
        <w:tc>
          <w:tcPr>
            <w:tcW w:type="dxa" w:w="4873"/>
            <w:vAlign w:val="center"/>
          </w:tcPr>
          <w:p>
            <w:pPr>
              <w:spacing w:line="276" w:lineRule="auto" w:before="0" w:after="0"/>
            </w:pPr>
            <w:r/>
            <w:r>
              <w:rPr>
                <w:rFonts w:ascii="Figtree" w:hAnsi="Figtree"/>
                <w:b w:val="0"/>
                <w:i w:val="0"/>
                <w:sz w:val="20"/>
              </w:rPr>
              <w:t>Payment currency</w:t>
            </w:r>
          </w:p>
        </w:tc>
        <w:tc>
          <w:tcPr>
            <w:tcW w:type="dxa" w:w="4873"/>
            <w:vAlign w:val="center"/>
          </w:tcPr>
          <w:p>
            <w:pPr>
              <w:spacing w:line="276" w:lineRule="auto" w:before="0" w:after="0"/>
            </w:pPr>
            <w:r/>
            <w:r>
              <w:rPr>
                <w:rFonts w:ascii="Figtree" w:hAnsi="Figtree"/>
                <w:b w:val="0"/>
                <w:i w:val="0"/>
                <w:sz w:val="20"/>
              </w:rPr>
              <w:t>USD</w:t>
            </w:r>
          </w:p>
        </w:tc>
      </w:tr>
      <w:tr>
        <w:trPr>
          <w:trHeight w:val="425" w:hRule="atLeast"/>
        </w:trPr>
        <w:tc>
          <w:tcPr>
            <w:tcW w:type="dxa" w:w="4873"/>
            <w:vAlign w:val="center"/>
          </w:tcPr>
          <w:p>
            <w:pPr>
              <w:spacing w:line="276" w:lineRule="auto" w:before="0" w:after="0"/>
            </w:pPr>
            <w:r/>
            <w:r>
              <w:rPr>
                <w:rFonts w:ascii="Figtree" w:hAnsi="Figtree"/>
                <w:b w:val="0"/>
                <w:i w:val="0"/>
                <w:sz w:val="20"/>
              </w:rPr>
              <w:t>Payment terms</w:t>
            </w:r>
          </w:p>
        </w:tc>
        <w:tc>
          <w:tcPr>
            <w:tcW w:type="dxa" w:w="4873"/>
            <w:vAlign w:val="center"/>
          </w:tcPr>
          <w:p>
            <w:pPr>
              <w:spacing w:line="276" w:lineRule="auto" w:before="0" w:after="0"/>
            </w:pPr>
            <w:r/>
            <w:r>
              <w:rPr>
                <w:rFonts w:ascii="Figtree" w:hAnsi="Figtree"/>
                <w:b w:val="0"/>
                <w:i w:val="0"/>
                <w:sz w:val="20"/>
              </w:rPr>
              <w:t>Net 30 from invoice date</w:t>
            </w:r>
          </w:p>
        </w:tc>
      </w:tr>
      <w:tr>
        <w:trPr>
          <w:trHeight w:val="425" w:hRule="atLeast"/>
        </w:trPr>
        <w:tc>
          <w:tcPr>
            <w:tcW w:type="dxa" w:w="4873"/>
            <w:vAlign w:val="center"/>
          </w:tcPr>
          <w:p>
            <w:pPr>
              <w:spacing w:line="276" w:lineRule="auto" w:before="0" w:after="0"/>
            </w:pPr>
            <w:r/>
            <w:r>
              <w:rPr>
                <w:rFonts w:ascii="Figtree" w:hAnsi="Figtree"/>
                <w:b w:val="0"/>
                <w:i w:val="0"/>
                <w:sz w:val="20"/>
              </w:rPr>
              <w:t>Early termination</w:t>
            </w:r>
          </w:p>
        </w:tc>
        <w:tc>
          <w:tcPr>
            <w:tcW w:type="dxa" w:w="4873"/>
            <w:vAlign w:val="center"/>
          </w:tcPr>
          <w:p>
            <w:pPr>
              <w:spacing w:line="276" w:lineRule="auto" w:before="0" w:after="0"/>
            </w:pPr>
            <w:r/>
            <w:r>
              <w:rPr>
                <w:rFonts w:ascii="Figtree" w:hAnsi="Figtree"/>
                <w:b w:val="0"/>
                <w:i w:val="0"/>
                <w:sz w:val="20"/>
              </w:rPr>
              <w:t>90-day written notice; remaining annual license prorated</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Emirates NBD owns all configuration, data, and integrations built on the platform</w:t>
            </w:r>
          </w:p>
        </w:tc>
      </w:tr>
      <w:tr>
        <w:trPr>
          <w:trHeight w:val="425" w:hRule="atLeast"/>
        </w:trPr>
        <w:tc>
          <w:tcPr>
            <w:tcW w:type="dxa" w:w="4873"/>
            <w:vAlign w:val="center"/>
          </w:tcPr>
          <w:p>
            <w:pPr>
              <w:spacing w:line="276" w:lineRule="auto" w:before="0" w:after="0"/>
            </w:pPr>
            <w:r/>
            <w:r>
              <w:rPr>
                <w:rFonts w:ascii="Figtree" w:hAnsi="Figtree"/>
                <w:b w:val="0"/>
                <w:i w:val="0"/>
                <w:sz w:val="20"/>
              </w:rPr>
              <w:t>Platform IP</w:t>
            </w:r>
          </w:p>
        </w:tc>
        <w:tc>
          <w:tcPr>
            <w:tcW w:type="dxa" w:w="4873"/>
            <w:vAlign w:val="center"/>
          </w:tcPr>
          <w:p>
            <w:pPr>
              <w:spacing w:line="276" w:lineRule="auto" w:before="0" w:after="0"/>
            </w:pPr>
            <w:r/>
            <w:r>
              <w:rPr>
                <w:rFonts w:ascii="Figtree" w:hAnsi="Figtree"/>
                <w:b w:val="0"/>
                <w:i w:val="0"/>
                <w:sz w:val="20"/>
              </w:rPr>
              <w:t>SettleMint retains ownership of the DALP platform and smart contracts</w:t>
            </w:r>
          </w:p>
        </w:tc>
      </w:tr>
      <w:tr>
        <w:trPr>
          <w:trHeight w:val="425" w:hRule="atLeast"/>
        </w:trPr>
        <w:tc>
          <w:tcPr>
            <w:tcW w:type="dxa" w:w="4873"/>
            <w:vAlign w:val="center"/>
          </w:tcPr>
          <w:p>
            <w:pPr>
              <w:spacing w:line="276" w:lineRule="auto" w:before="0" w:after="0"/>
            </w:pPr>
            <w:r/>
            <w:r>
              <w:rPr>
                <w:rFonts w:ascii="Figtree" w:hAnsi="Figtree"/>
                <w:b w:val="0"/>
                <w:i w:val="0"/>
                <w:sz w:val="20"/>
              </w:rPr>
              <w:t>Exit assistance</w:t>
            </w:r>
          </w:p>
        </w:tc>
        <w:tc>
          <w:tcPr>
            <w:tcW w:type="dxa" w:w="4873"/>
            <w:vAlign w:val="center"/>
          </w:tcPr>
          <w:p>
            <w:pPr>
              <w:spacing w:line="276" w:lineRule="auto" w:before="0" w:after="0"/>
            </w:pPr>
            <w:r/>
            <w:r>
              <w:rPr>
                <w:rFonts w:ascii="Figtree" w:hAnsi="Figtree"/>
                <w:b w:val="0"/>
                <w:i w:val="0"/>
                <w:sz w:val="20"/>
              </w:rPr>
              <w:t>90-day transition support period included if Emirates NBD terminates</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amount (negotiable)</w:t>
            </w:r>
          </w:p>
        </w:tc>
      </w:tr>
    </w:tbl>
    <w:p>
      <w:pPr>
        <w:spacing w:before="0" w:after="0" w:line="120" w:lineRule="exact"/>
      </w:pPr>
    </w:p>
    <w:p>
      <w:pPr>
        <w:pStyle w:val="H3"/>
        <w:numPr>
          <w:ilvl w:val="2"/>
          <w:numId w:val="1"/>
        </w:numPr>
      </w:pPr>
      <w:r>
        <w:t>Operational Cost Comparison (3-Year View)</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1855"/>
        <w:gridCol w:w="1752"/>
        <w:gridCol w:w="288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2436"/>
            <w:vAlign w:val="center"/>
          </w:tcPr>
          <w:p>
            <w:pPr>
              <w:spacing w:line="276" w:lineRule="auto" w:before="0" w:after="0"/>
            </w:pPr>
            <w:r/>
            <w:r>
              <w:rPr>
                <w:rFonts w:ascii="Figtree" w:hAnsi="Figtree"/>
                <w:b w:val="0"/>
                <w:i w:val="0"/>
                <w:sz w:val="20"/>
              </w:rPr>
              <w:t>Engineering / development</w:t>
            </w:r>
          </w:p>
        </w:tc>
        <w:tc>
          <w:tcPr>
            <w:tcW w:type="dxa" w:w="2436"/>
            <w:vAlign w:val="center"/>
          </w:tcPr>
          <w:p>
            <w:pPr>
              <w:spacing w:line="276" w:lineRule="auto" w:before="0" w:after="0"/>
            </w:pPr>
            <w:r/>
            <w:r>
              <w:rPr>
                <w:rFonts w:ascii="Figtree" w:hAnsi="Figtree"/>
                <w:b w:val="0"/>
                <w:i w:val="0"/>
                <w:sz w:val="20"/>
              </w:rPr>
              <w:t>$3.2M – $6.0M</w:t>
            </w:r>
          </w:p>
        </w:tc>
        <w:tc>
          <w:tcPr>
            <w:tcW w:type="dxa" w:w="2436"/>
            <w:vAlign w:val="center"/>
          </w:tcPr>
          <w:p>
            <w:pPr>
              <w:spacing w:line="276" w:lineRule="auto" w:before="0" w:after="0"/>
            </w:pPr>
            <w:r/>
            <w:r>
              <w:rPr>
                <w:rFonts w:ascii="Figtree" w:hAnsi="Figtree"/>
                <w:b w:val="0"/>
                <w:i w:val="0"/>
                <w:sz w:val="20"/>
              </w:rPr>
              <w:t>$1.5M – $3.0M</w:t>
            </w:r>
          </w:p>
        </w:tc>
        <w:tc>
          <w:tcPr>
            <w:tcW w:type="dxa" w:w="2436"/>
            <w:vAlign w:val="center"/>
          </w:tcPr>
          <w:p>
            <w:pPr>
              <w:spacing w:line="276" w:lineRule="auto" w:before="0" w:after="0"/>
            </w:pPr>
            <w:r/>
            <w:r>
              <w:rPr>
                <w:rFonts w:ascii="Figtree" w:hAnsi="Figtree"/>
                <w:b w:val="0"/>
                <w:i w:val="0"/>
                <w:sz w:val="20"/>
              </w:rPr>
              <w:t>$0</w:t>
            </w:r>
          </w:p>
        </w:tc>
      </w:tr>
      <w:tr>
        <w:trPr>
          <w:trHeight w:val="425" w:hRule="atLeast"/>
        </w:trPr>
        <w:tc>
          <w:tcPr>
            <w:tcW w:type="dxa" w:w="2436"/>
            <w:vAlign w:val="center"/>
          </w:tcPr>
          <w:p>
            <w:pPr>
              <w:spacing w:line="276" w:lineRule="auto" w:before="0" w:after="0"/>
            </w:pPr>
            <w:r/>
            <w:r>
              <w:rPr>
                <w:rFonts w:ascii="Figtree" w:hAnsi="Figtree"/>
                <w:b w:val="0"/>
                <w:i w:val="0"/>
                <w:sz w:val="20"/>
              </w:rPr>
              <w:t>Platform / license fees</w:t>
            </w:r>
          </w:p>
        </w:tc>
        <w:tc>
          <w:tcPr>
            <w:tcW w:type="dxa" w:w="2436"/>
            <w:vAlign w:val="center"/>
          </w:tcPr>
          <w:p>
            <w:pPr>
              <w:spacing w:line="276" w:lineRule="auto" w:before="0" w:after="0"/>
            </w:pPr>
            <w:r/>
            <w:r>
              <w:rPr>
                <w:rFonts w:ascii="Figtree" w:hAnsi="Figtree"/>
                <w:b w:val="0"/>
                <w:i w:val="0"/>
                <w:sz w:val="20"/>
              </w:rPr>
              <w:t>$0</w:t>
            </w:r>
          </w:p>
        </w:tc>
        <w:tc>
          <w:tcPr>
            <w:tcW w:type="dxa" w:w="2436"/>
            <w:vAlign w:val="center"/>
          </w:tcPr>
          <w:p>
            <w:pPr>
              <w:spacing w:line="276" w:lineRule="auto" w:before="0" w:after="0"/>
            </w:pPr>
            <w:r/>
            <w:r>
              <w:rPr>
                <w:rFonts w:ascii="Figtree" w:hAnsi="Figtree"/>
                <w:b w:val="0"/>
                <w:i w:val="0"/>
                <w:sz w:val="20"/>
              </w:rPr>
              <w:t>$600K – $1.2M</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w:t>
            </w:r>
          </w:p>
        </w:tc>
        <w:tc>
          <w:tcPr>
            <w:tcW w:type="dxa" w:w="2436"/>
            <w:vAlign w:val="center"/>
          </w:tcPr>
          <w:p>
            <w:pPr>
              <w:spacing w:line="276" w:lineRule="auto" w:before="0" w:after="0"/>
            </w:pPr>
            <w:r/>
            <w:r>
              <w:rPr>
                <w:rFonts w:ascii="Figtree" w:hAnsi="Figtree"/>
                <w:b w:val="0"/>
                <w:i w:val="0"/>
                <w:sz w:val="20"/>
              </w:rPr>
              <w:t>$300K – $600K</w:t>
            </w:r>
          </w:p>
        </w:tc>
        <w:tc>
          <w:tcPr>
            <w:tcW w:type="dxa" w:w="2436"/>
            <w:vAlign w:val="center"/>
          </w:tcPr>
          <w:p>
            <w:pPr>
              <w:spacing w:line="276" w:lineRule="auto" w:before="0" w:after="0"/>
            </w:pPr>
            <w:r/>
            <w:r>
              <w:rPr>
                <w:rFonts w:ascii="Figtree" w:hAnsi="Figtree"/>
                <w:b w:val="0"/>
                <w:i w:val="0"/>
                <w:sz w:val="20"/>
              </w:rPr>
              <w:t>$300K – $600K</w:t>
            </w:r>
          </w:p>
        </w:tc>
        <w:tc>
          <w:tcPr>
            <w:tcW w:type="dxa" w:w="2436"/>
            <w:vAlign w:val="center"/>
          </w:tcPr>
          <w:p>
            <w:pPr>
              <w:spacing w:line="276" w:lineRule="auto" w:before="0" w:after="0"/>
            </w:pPr>
            <w:r/>
            <w:r>
              <w:rPr>
                <w:rFonts w:ascii="Figtree" w:hAnsi="Figtree"/>
                <w:b w:val="0"/>
                <w:i w:val="0"/>
                <w:sz w:val="20"/>
              </w:rPr>
              <w:t>$245K – $364K</w:t>
            </w:r>
          </w:p>
        </w:tc>
      </w:tr>
      <w:tr>
        <w:trPr>
          <w:trHeight w:val="425" w:hRule="atLeast"/>
        </w:trPr>
        <w:tc>
          <w:tcPr>
            <w:tcW w:type="dxa" w:w="2436"/>
            <w:vAlign w:val="center"/>
          </w:tcPr>
          <w:p>
            <w:pPr>
              <w:spacing w:line="276" w:lineRule="auto" w:before="0" w:after="0"/>
            </w:pPr>
            <w:r/>
            <w:r>
              <w:rPr>
                <w:rFonts w:ascii="Figtree" w:hAnsi="Figtree"/>
                <w:b w:val="0"/>
                <w:i w:val="0"/>
                <w:sz w:val="20"/>
              </w:rPr>
              <w:t>Ongoing maintenance</w:t>
            </w:r>
          </w:p>
        </w:tc>
        <w:tc>
          <w:tcPr>
            <w:tcW w:type="dxa" w:w="2436"/>
            <w:vAlign w:val="center"/>
          </w:tcPr>
          <w:p>
            <w:pPr>
              <w:spacing w:line="276" w:lineRule="auto" w:before="0" w:after="0"/>
            </w:pPr>
            <w:r/>
            <w:r>
              <w:rPr>
                <w:rFonts w:ascii="Figtree" w:hAnsi="Figtree"/>
                <w:b w:val="0"/>
                <w:i w:val="0"/>
                <w:sz w:val="20"/>
              </w:rPr>
              <w:t>$1.2M – $2.4M</w:t>
            </w:r>
          </w:p>
        </w:tc>
        <w:tc>
          <w:tcPr>
            <w:tcW w:type="dxa" w:w="2436"/>
            <w:vAlign w:val="center"/>
          </w:tcPr>
          <w:p>
            <w:pPr>
              <w:spacing w:line="276" w:lineRule="auto" w:before="0" w:after="0"/>
            </w:pPr>
            <w:r/>
            <w:r>
              <w:rPr>
                <w:rFonts w:ascii="Figtree" w:hAnsi="Figtree"/>
                <w:b w:val="0"/>
                <w:i w:val="0"/>
                <w:sz w:val="20"/>
              </w:rPr>
              <w:t>$800K – $1.5M</w:t>
            </w:r>
          </w:p>
        </w:tc>
        <w:tc>
          <w:tcPr>
            <w:tcW w:type="dxa" w:w="2436"/>
            <w:vAlign w:val="center"/>
          </w:tcPr>
          <w:p>
            <w:pPr>
              <w:spacing w:line="276" w:lineRule="auto" w:before="0" w:after="0"/>
            </w:pPr>
            <w:r/>
            <w:r>
              <w:rPr>
                <w:rFonts w:ascii="Figtree" w:hAnsi="Figtree"/>
                <w:b w:val="0"/>
                <w:i w:val="0"/>
                <w:sz w:val="20"/>
              </w:rPr>
              <w:t>[Included in support]</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$0 (internal)</w:t>
            </w:r>
          </w:p>
        </w:tc>
        <w:tc>
          <w:tcPr>
            <w:tcW w:type="dxa" w:w="2436"/>
            <w:vAlign w:val="center"/>
          </w:tcPr>
          <w:p>
            <w:pPr>
              <w:spacing w:line="276" w:lineRule="auto" w:before="0" w:after="0"/>
            </w:pPr>
            <w:r/>
            <w:r>
              <w:rPr>
                <w:rFonts w:ascii="Figtree" w:hAnsi="Figtree"/>
                <w:b w:val="0"/>
                <w:i w:val="0"/>
                <w:sz w:val="20"/>
              </w:rPr>
              <w:t>$200K – $400K</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Security audits</w:t>
            </w:r>
          </w:p>
        </w:tc>
        <w:tc>
          <w:tcPr>
            <w:tcW w:type="dxa" w:w="2436"/>
            <w:vAlign w:val="center"/>
          </w:tcPr>
          <w:p>
            <w:pPr>
              <w:spacing w:line="276" w:lineRule="auto" w:before="0" w:after="0"/>
            </w:pPr>
            <w:r/>
            <w:r>
              <w:rPr>
                <w:rFonts w:ascii="Figtree" w:hAnsi="Figtree"/>
                <w:b w:val="0"/>
                <w:i w:val="0"/>
                <w:sz w:val="20"/>
              </w:rPr>
              <w:t>$400K – $1.0M</w:t>
            </w:r>
          </w:p>
        </w:tc>
        <w:tc>
          <w:tcPr>
            <w:tcW w:type="dxa" w:w="2436"/>
            <w:vAlign w:val="center"/>
          </w:tcPr>
          <w:p>
            <w:pPr>
              <w:spacing w:line="276" w:lineRule="auto" w:before="0" w:after="0"/>
            </w:pPr>
            <w:r/>
            <w:r>
              <w:rPr>
                <w:rFonts w:ascii="Figtree" w:hAnsi="Figtree"/>
                <w:b w:val="0"/>
                <w:i w:val="0"/>
                <w:sz w:val="20"/>
              </w:rPr>
              <w:t>$200K – $500K</w:t>
            </w:r>
          </w:p>
        </w:tc>
        <w:tc>
          <w:tcPr>
            <w:tcW w:type="dxa" w:w="2436"/>
            <w:vAlign w:val="center"/>
          </w:tcPr>
          <w:p>
            <w:pPr>
              <w:spacing w:line="276" w:lineRule="auto" w:before="0" w:after="0"/>
            </w:pPr>
            <w:r/>
            <w:r>
              <w:rPr>
                <w:rFonts w:ascii="Figtree" w:hAnsi="Figtree"/>
                <w:b w:val="0"/>
                <w:i w:val="0"/>
                <w:sz w:val="20"/>
              </w:rPr>
              <w:t>[Included]</w:t>
            </w:r>
          </w:p>
        </w:tc>
      </w:tr>
      <w:tr>
        <w:trPr>
          <w:trHeight w:val="425" w:hRule="atLeast"/>
        </w:trPr>
        <w:tc>
          <w:tcPr>
            <w:tcW w:type="dxa" w:w="2436"/>
            <w:vAlign w:val="center"/>
          </w:tcPr>
          <w:p>
            <w:pPr>
              <w:spacing w:line="276" w:lineRule="auto" w:before="0" w:after="0"/>
            </w:pPr>
            <w:r/>
            <w:r>
              <w:rPr>
                <w:rFonts w:ascii="Figtree" w:hAnsi="Figtree"/>
                <w:b w:val="0"/>
                <w:i w:val="0"/>
                <w:sz w:val="20"/>
              </w:rPr>
              <w:t>Integration</w:t>
            </w:r>
          </w:p>
        </w:tc>
        <w:tc>
          <w:tcPr>
            <w:tcW w:type="dxa" w:w="2436"/>
            <w:vAlign w:val="center"/>
          </w:tcPr>
          <w:p>
            <w:pPr>
              <w:spacing w:line="276" w:lineRule="auto" w:before="0" w:after="0"/>
            </w:pPr>
            <w:r/>
            <w:r>
              <w:rPr>
                <w:rFonts w:ascii="Figtree" w:hAnsi="Figtree"/>
                <w:b w:val="0"/>
                <w:i w:val="0"/>
                <w:sz w:val="20"/>
              </w:rPr>
              <w:t>$300K – $500K</w:t>
            </w:r>
          </w:p>
        </w:tc>
        <w:tc>
          <w:tcPr>
            <w:tcW w:type="dxa" w:w="2436"/>
            <w:vAlign w:val="center"/>
          </w:tcPr>
          <w:p>
            <w:pPr>
              <w:spacing w:line="276" w:lineRule="auto" w:before="0" w:after="0"/>
            </w:pPr>
            <w:r/>
            <w:r>
              <w:rPr>
                <w:rFonts w:ascii="Figtree" w:hAnsi="Figtree"/>
                <w:b w:val="0"/>
                <w:i w:val="0"/>
                <w:sz w:val="20"/>
              </w:rPr>
              <w:t>$500K – $800K</w:t>
            </w:r>
          </w:p>
        </w:tc>
        <w:tc>
          <w:tcPr>
            <w:tcW w:type="dxa" w:w="2436"/>
            <w:vAlign w:val="center"/>
          </w:tcPr>
          <w:p>
            <w:pPr>
              <w:spacing w:line="276" w:lineRule="auto" w:before="0" w:after="0"/>
            </w:pPr>
            <w:r/>
            <w:r>
              <w:rPr>
                <w:rFonts w:ascii="Figtree" w:hAnsi="Figtree"/>
                <w:b w:val="0"/>
                <w:i w:val="0"/>
                <w:sz w:val="20"/>
              </w:rPr>
              <w:t>[Included in implementation]</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$5.4M – $10.5M</w:t>
            </w:r>
          </w:p>
        </w:tc>
        <w:tc>
          <w:tcPr>
            <w:tcW w:type="dxa" w:w="2436"/>
            <w:vAlign w:val="center"/>
          </w:tcPr>
          <w:p>
            <w:pPr>
              <w:spacing w:line="276" w:lineRule="auto" w:before="0" w:after="0"/>
            </w:pPr>
            <w:r/>
            <w:r>
              <w:rPr>
                <w:rFonts w:ascii="Figtree" w:hAnsi="Figtree"/>
                <w:b/>
                <w:i w:val="0"/>
                <w:sz w:val="20"/>
              </w:rPr>
              <w:t>$4.1M – $8.0M</w:t>
            </w:r>
          </w:p>
        </w:tc>
        <w:tc>
          <w:tcPr>
            <w:tcW w:type="dxa" w:w="2436"/>
            <w:vAlign w:val="center"/>
          </w:tcPr>
          <w:p>
            <w:pPr>
              <w:spacing w:line="276" w:lineRule="auto" w:before="0" w:after="0"/>
            </w:pPr>
            <w:r/>
            <w:r>
              <w:rPr>
                <w:rFonts w:ascii="Figtree" w:hAnsi="Figtree"/>
                <w:b/>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12–24 months</w:t>
            </w:r>
          </w:p>
        </w:tc>
        <w:tc>
          <w:tcPr>
            <w:tcW w:type="dxa" w:w="2436"/>
            <w:vAlign w:val="center"/>
          </w:tcPr>
          <w:p>
            <w:pPr>
              <w:spacing w:line="276" w:lineRule="auto" w:before="0" w:after="0"/>
            </w:pPr>
            <w:r/>
            <w:r>
              <w:rPr>
                <w:rFonts w:ascii="Figtree" w:hAnsi="Figtree"/>
                <w:b w:val="0"/>
                <w:i w:val="0"/>
                <w:sz w:val="20"/>
              </w:rPr>
              <w:t>9–18 months</w:t>
            </w:r>
          </w:p>
        </w:tc>
        <w:tc>
          <w:tcPr>
            <w:tcW w:type="dxa" w:w="2436"/>
            <w:vAlign w:val="center"/>
          </w:tcPr>
          <w:p>
            <w:pPr>
              <w:spacing w:line="276" w:lineRule="auto" w:before="0" w:after="0"/>
            </w:pPr>
            <w:r/>
            <w:r>
              <w:rPr>
                <w:rFonts w:ascii="Figtree" w:hAnsi="Figtree"/>
                <w:b w:val="0"/>
                <w:i w:val="0"/>
                <w:sz w:val="20"/>
              </w:rPr>
              <w:t>19 weeks</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 (proven)</w:t>
            </w:r>
          </w:p>
        </w:tc>
      </w:tr>
    </w:tbl>
    <w:p>
      <w:pPr>
        <w:spacing w:before="0" w:after="0" w:line="120" w:lineRule="exact"/>
      </w:pPr>
    </w:p>
    <w:p>
      <w:pPr>
        <w:pStyle w:val="H3"/>
        <w:numPr>
          <w:ilvl w:val="2"/>
          <w:numId w:val="1"/>
        </w:numPr>
      </w:pPr>
      <w:r>
        <w:t>Value Realization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8"/>
        <w:gridCol w:w="986"/>
        <w:gridCol w:w="51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 Delivered</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Month 0</w:t>
            </w:r>
          </w:p>
        </w:tc>
        <w:tc>
          <w:tcPr>
            <w:tcW w:type="dxa" w:w="3249"/>
            <w:vAlign w:val="center"/>
          </w:tcPr>
          <w:p>
            <w:pPr>
              <w:spacing w:line="276" w:lineRule="auto" w:before="0" w:after="0"/>
            </w:pPr>
            <w:r/>
            <w:r>
              <w:rPr>
                <w:rFonts w:ascii="Figtree" w:hAnsi="Figtree"/>
                <w:b w:val="0"/>
                <w:i w:val="0"/>
                <w:sz w:val="20"/>
              </w:rPr>
              <w:t>Programme initiated</w:t>
            </w:r>
          </w:p>
        </w:tc>
      </w:tr>
      <w:tr>
        <w:trPr>
          <w:trHeight w:val="425" w:hRule="atLeast"/>
        </w:trPr>
        <w:tc>
          <w:tcPr>
            <w:tcW w:type="dxa" w:w="3249"/>
            <w:vAlign w:val="center"/>
          </w:tcPr>
          <w:p>
            <w:pPr>
              <w:spacing w:line="276" w:lineRule="auto" w:before="0" w:after="0"/>
            </w:pPr>
            <w:r/>
            <w:r>
              <w:rPr>
                <w:rFonts w:ascii="Figtree" w:hAnsi="Figtree"/>
                <w:b w:val="0"/>
                <w:i w:val="0"/>
                <w:sz w:val="20"/>
              </w:rPr>
              <w:t>Gate 2 (environments ready)</w:t>
            </w:r>
          </w:p>
        </w:tc>
        <w:tc>
          <w:tcPr>
            <w:tcW w:type="dxa" w:w="3249"/>
            <w:vAlign w:val="center"/>
          </w:tcPr>
          <w:p>
            <w:pPr>
              <w:spacing w:line="276" w:lineRule="auto" w:before="0" w:after="0"/>
            </w:pPr>
            <w:r/>
            <w:r>
              <w:rPr>
                <w:rFonts w:ascii="Figtree" w:hAnsi="Figtree"/>
                <w:b w:val="0"/>
                <w:i w:val="0"/>
                <w:sz w:val="20"/>
              </w:rPr>
              <w:t>Month 1.5</w:t>
            </w:r>
          </w:p>
        </w:tc>
        <w:tc>
          <w:tcPr>
            <w:tcW w:type="dxa" w:w="3249"/>
            <w:vAlign w:val="center"/>
          </w:tcPr>
          <w:p>
            <w:pPr>
              <w:spacing w:line="276" w:lineRule="auto" w:before="0" w:after="0"/>
            </w:pPr>
            <w:r/>
            <w:r>
              <w:rPr>
                <w:rFonts w:ascii="Figtree" w:hAnsi="Figtree"/>
                <w:b w:val="0"/>
                <w:i w:val="0"/>
                <w:sz w:val="20"/>
              </w:rPr>
              <w:t>Technical foundation validated</w:t>
            </w:r>
          </w:p>
        </w:tc>
      </w:tr>
      <w:tr>
        <w:trPr>
          <w:trHeight w:val="425" w:hRule="atLeast"/>
        </w:trPr>
        <w:tc>
          <w:tcPr>
            <w:tcW w:type="dxa" w:w="3249"/>
            <w:vAlign w:val="center"/>
          </w:tcPr>
          <w:p>
            <w:pPr>
              <w:spacing w:line="276" w:lineRule="auto" w:before="0" w:after="0"/>
            </w:pPr>
            <w:r/>
            <w:r>
              <w:rPr>
                <w:rFonts w:ascii="Figtree" w:hAnsi="Figtree"/>
                <w:b w:val="0"/>
                <w:i w:val="0"/>
                <w:sz w:val="20"/>
              </w:rPr>
              <w:t>Gate 3 (products configured)</w:t>
            </w:r>
          </w:p>
        </w:tc>
        <w:tc>
          <w:tcPr>
            <w:tcW w:type="dxa" w:w="3249"/>
            <w:vAlign w:val="center"/>
          </w:tcPr>
          <w:p>
            <w:pPr>
              <w:spacing w:line="276" w:lineRule="auto" w:before="0" w:after="0"/>
            </w:pPr>
            <w:r/>
            <w:r>
              <w:rPr>
                <w:rFonts w:ascii="Figtree" w:hAnsi="Figtree"/>
                <w:b w:val="0"/>
                <w:i w:val="0"/>
                <w:sz w:val="20"/>
              </w:rPr>
              <w:t>Month 2.5</w:t>
            </w:r>
          </w:p>
        </w:tc>
        <w:tc>
          <w:tcPr>
            <w:tcW w:type="dxa" w:w="3249"/>
            <w:vAlign w:val="center"/>
          </w:tcPr>
          <w:p>
            <w:pPr>
              <w:spacing w:line="276" w:lineRule="auto" w:before="0" w:after="0"/>
            </w:pPr>
            <w:r/>
            <w:r>
              <w:rPr>
                <w:rFonts w:ascii="Figtree" w:hAnsi="Figtree"/>
                <w:b w:val="0"/>
                <w:i w:val="0"/>
                <w:sz w:val="20"/>
              </w:rPr>
              <w:t>Deposit and trade finance products ready for testing</w:t>
            </w:r>
          </w:p>
        </w:tc>
      </w:tr>
      <w:tr>
        <w:trPr>
          <w:trHeight w:val="425" w:hRule="atLeast"/>
        </w:trPr>
        <w:tc>
          <w:tcPr>
            <w:tcW w:type="dxa" w:w="3249"/>
            <w:vAlign w:val="center"/>
          </w:tcPr>
          <w:p>
            <w:pPr>
              <w:spacing w:line="276" w:lineRule="auto" w:before="0" w:after="0"/>
            </w:pPr>
            <w:r/>
            <w:r>
              <w:rPr>
                <w:rFonts w:ascii="Figtree" w:hAnsi="Figtree"/>
                <w:b w:val="0"/>
                <w:i w:val="0"/>
                <w:sz w:val="20"/>
              </w:rPr>
              <w:t>Gate 4 (UAT complete)</w:t>
            </w:r>
          </w:p>
        </w:tc>
        <w:tc>
          <w:tcPr>
            <w:tcW w:type="dxa" w:w="3249"/>
            <w:vAlign w:val="center"/>
          </w:tcPr>
          <w:p>
            <w:pPr>
              <w:spacing w:line="276" w:lineRule="auto" w:before="0" w:after="0"/>
            </w:pPr>
            <w:r/>
            <w:r>
              <w:rPr>
                <w:rFonts w:ascii="Figtree" w:hAnsi="Figtree"/>
                <w:b w:val="0"/>
                <w:i w:val="0"/>
                <w:sz w:val="20"/>
              </w:rPr>
              <w:t>Month 3.5</w:t>
            </w:r>
          </w:p>
        </w:tc>
        <w:tc>
          <w:tcPr>
            <w:tcW w:type="dxa" w:w="3249"/>
            <w:vAlign w:val="center"/>
          </w:tcPr>
          <w:p>
            <w:pPr>
              <w:spacing w:line="276" w:lineRule="auto" w:before="0" w:after="0"/>
            </w:pPr>
            <w:r/>
            <w:r>
              <w:rPr>
                <w:rFonts w:ascii="Figtree" w:hAnsi="Figtree"/>
                <w:b w:val="0"/>
                <w:i w:val="0"/>
                <w:sz w:val="20"/>
              </w:rPr>
              <w:t>End-to-end functionality validated</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Month 4</w:t>
            </w:r>
          </w:p>
        </w:tc>
        <w:tc>
          <w:tcPr>
            <w:tcW w:type="dxa" w:w="3249"/>
            <w:vAlign w:val="center"/>
          </w:tcPr>
          <w:p>
            <w:pPr>
              <w:spacing w:line="276" w:lineRule="auto" w:before="0" w:after="0"/>
            </w:pPr>
            <w:r/>
            <w:r>
              <w:rPr>
                <w:rFonts w:ascii="Figtree" w:hAnsi="Figtree"/>
                <w:b w:val="0"/>
                <w:i w:val="0"/>
                <w:sz w:val="20"/>
              </w:rPr>
              <w:t>First production transactions</w:t>
            </w:r>
          </w:p>
        </w:tc>
      </w:tr>
      <w:tr>
        <w:trPr>
          <w:trHeight w:val="425" w:hRule="atLeast"/>
        </w:trPr>
        <w:tc>
          <w:tcPr>
            <w:tcW w:type="dxa" w:w="3249"/>
            <w:vAlign w:val="center"/>
          </w:tcPr>
          <w:p>
            <w:pPr>
              <w:spacing w:line="276" w:lineRule="auto" w:before="0" w:after="0"/>
            </w:pPr>
            <w:r/>
            <w:r>
              <w:rPr>
                <w:rFonts w:ascii="Figtree" w:hAnsi="Figtree"/>
                <w:b w:val="0"/>
                <w:i w:val="0"/>
                <w:sz w:val="20"/>
              </w:rPr>
              <w:t>Hypercare complete</w:t>
            </w:r>
          </w:p>
        </w:tc>
        <w:tc>
          <w:tcPr>
            <w:tcW w:type="dxa" w:w="3249"/>
            <w:vAlign w:val="center"/>
          </w:tcPr>
          <w:p>
            <w:pPr>
              <w:spacing w:line="276" w:lineRule="auto" w:before="0" w:after="0"/>
            </w:pPr>
            <w:r/>
            <w:r>
              <w:rPr>
                <w:rFonts w:ascii="Figtree" w:hAnsi="Figtree"/>
                <w:b w:val="0"/>
                <w:i w:val="0"/>
                <w:sz w:val="20"/>
              </w:rPr>
              <w:t>Month 5</w:t>
            </w:r>
          </w:p>
        </w:tc>
        <w:tc>
          <w:tcPr>
            <w:tcW w:type="dxa" w:w="3249"/>
            <w:vAlign w:val="center"/>
          </w:tcPr>
          <w:p>
            <w:pPr>
              <w:spacing w:line="276" w:lineRule="auto" w:before="0" w:after="0"/>
            </w:pPr>
            <w:r/>
            <w:r>
              <w:rPr>
                <w:rFonts w:ascii="Figtree" w:hAnsi="Figtree"/>
                <w:b w:val="0"/>
                <w:i w:val="0"/>
                <w:sz w:val="20"/>
              </w:rPr>
              <w:t>Operational handover complete</w:t>
            </w:r>
          </w:p>
        </w:tc>
      </w:tr>
      <w:tr>
        <w:trPr>
          <w:trHeight w:val="425" w:hRule="atLeast"/>
        </w:trPr>
        <w:tc>
          <w:tcPr>
            <w:tcW w:type="dxa" w:w="3249"/>
            <w:vAlign w:val="center"/>
          </w:tcPr>
          <w:p>
            <w:pPr>
              <w:spacing w:line="276" w:lineRule="auto" w:before="0" w:after="0"/>
            </w:pPr>
            <w:r/>
            <w:r>
              <w:rPr>
                <w:rFonts w:ascii="Figtree" w:hAnsi="Figtree"/>
                <w:b w:val="0"/>
                <w:i w:val="0"/>
                <w:sz w:val="20"/>
              </w:rPr>
              <w:t>First yield distribution</w:t>
            </w:r>
          </w:p>
        </w:tc>
        <w:tc>
          <w:tcPr>
            <w:tcW w:type="dxa" w:w="3249"/>
            <w:vAlign w:val="center"/>
          </w:tcPr>
          <w:p>
            <w:pPr>
              <w:spacing w:line="276" w:lineRule="auto" w:before="0" w:after="0"/>
            </w:pPr>
            <w:r/>
            <w:r>
              <w:rPr>
                <w:rFonts w:ascii="Figtree" w:hAnsi="Figtree"/>
                <w:b w:val="0"/>
                <w:i w:val="0"/>
                <w:sz w:val="20"/>
              </w:rPr>
              <w:t>Month 5–6</w:t>
            </w:r>
          </w:p>
        </w:tc>
        <w:tc>
          <w:tcPr>
            <w:tcW w:type="dxa" w:w="3249"/>
            <w:vAlign w:val="center"/>
          </w:tcPr>
          <w:p>
            <w:pPr>
              <w:spacing w:line="276" w:lineRule="auto" w:before="0" w:after="0"/>
            </w:pPr>
            <w:r/>
            <w:r>
              <w:rPr>
                <w:rFonts w:ascii="Figtree" w:hAnsi="Figtree"/>
                <w:b w:val="0"/>
                <w:i w:val="0"/>
                <w:sz w:val="20"/>
              </w:rPr>
              <w:t>Automated interest processing</w:t>
            </w:r>
          </w:p>
        </w:tc>
      </w:tr>
      <w:tr>
        <w:trPr>
          <w:trHeight w:val="425" w:hRule="atLeast"/>
        </w:trPr>
        <w:tc>
          <w:tcPr>
            <w:tcW w:type="dxa" w:w="3249"/>
            <w:vAlign w:val="center"/>
          </w:tcPr>
          <w:p>
            <w:pPr>
              <w:spacing w:line="276" w:lineRule="auto" w:before="0" w:after="0"/>
            </w:pPr>
            <w:r/>
            <w:r>
              <w:rPr>
                <w:rFonts w:ascii="Figtree" w:hAnsi="Figtree"/>
                <w:b w:val="0"/>
                <w:i w:val="0"/>
                <w:sz w:val="20"/>
              </w:rPr>
              <w:t>First trade finance settlement</w:t>
            </w:r>
          </w:p>
        </w:tc>
        <w:tc>
          <w:tcPr>
            <w:tcW w:type="dxa" w:w="3249"/>
            <w:vAlign w:val="center"/>
          </w:tcPr>
          <w:p>
            <w:pPr>
              <w:spacing w:line="276" w:lineRule="auto" w:before="0" w:after="0"/>
            </w:pPr>
            <w:r/>
            <w:r>
              <w:rPr>
                <w:rFonts w:ascii="Figtree" w:hAnsi="Figtree"/>
                <w:b w:val="0"/>
                <w:i w:val="0"/>
                <w:sz w:val="20"/>
              </w:rPr>
              <w:t>Month 5–6</w:t>
            </w:r>
          </w:p>
        </w:tc>
        <w:tc>
          <w:tcPr>
            <w:tcW w:type="dxa" w:w="3249"/>
            <w:vAlign w:val="center"/>
          </w:tcPr>
          <w:p>
            <w:pPr>
              <w:spacing w:line="276" w:lineRule="auto" w:before="0" w:after="0"/>
            </w:pPr>
            <w:r/>
            <w:r>
              <w:rPr>
                <w:rFonts w:ascii="Figtree" w:hAnsi="Figtree"/>
                <w:b w:val="0"/>
                <w:i w:val="0"/>
                <w:sz w:val="20"/>
              </w:rPr>
              <w:t>Trade finance workflow in production</w:t>
            </w:r>
          </w:p>
        </w:tc>
      </w:tr>
      <w:tr>
        <w:trPr>
          <w:trHeight w:val="425" w:hRule="atLeast"/>
        </w:trPr>
        <w:tc>
          <w:tcPr>
            <w:tcW w:type="dxa" w:w="3249"/>
            <w:vAlign w:val="center"/>
          </w:tcPr>
          <w:p>
            <w:pPr>
              <w:spacing w:line="276" w:lineRule="auto" w:before="0" w:after="0"/>
            </w:pPr>
            <w:r/>
            <w:r>
              <w:rPr>
                <w:rFonts w:ascii="Figtree" w:hAnsi="Figtree"/>
                <w:b w:val="0"/>
                <w:i w:val="0"/>
                <w:sz w:val="20"/>
              </w:rPr>
              <w:t>Quarterly review</w:t>
            </w:r>
          </w:p>
        </w:tc>
        <w:tc>
          <w:tcPr>
            <w:tcW w:type="dxa" w:w="3249"/>
            <w:vAlign w:val="center"/>
          </w:tcPr>
          <w:p>
            <w:pPr>
              <w:spacing w:line="276" w:lineRule="auto" w:before="0" w:after="0"/>
            </w:pPr>
            <w:r/>
            <w:r>
              <w:rPr>
                <w:rFonts w:ascii="Figtree" w:hAnsi="Figtree"/>
                <w:b w:val="0"/>
                <w:i w:val="0"/>
                <w:sz w:val="20"/>
              </w:rPr>
              <w:t>Month 8</w:t>
            </w:r>
          </w:p>
        </w:tc>
        <w:tc>
          <w:tcPr>
            <w:tcW w:type="dxa" w:w="3249"/>
            <w:vAlign w:val="center"/>
          </w:tcPr>
          <w:p>
            <w:pPr>
              <w:spacing w:line="276" w:lineRule="auto" w:before="0" w:after="0"/>
            </w:pPr>
            <w:r/>
            <w:r>
              <w:rPr>
                <w:rFonts w:ascii="Figtree" w:hAnsi="Figtree"/>
                <w:b w:val="0"/>
                <w:i w:val="0"/>
                <w:sz w:val="20"/>
              </w:rPr>
              <w:t>Optimization recommendations</w:t>
            </w:r>
          </w:p>
        </w:tc>
      </w:tr>
      <w:tr>
        <w:trPr>
          <w:trHeight w:val="425" w:hRule="atLeast"/>
        </w:trPr>
        <w:tc>
          <w:tcPr>
            <w:tcW w:type="dxa" w:w="3249"/>
            <w:vAlign w:val="center"/>
          </w:tcPr>
          <w:p>
            <w:pPr>
              <w:spacing w:line="276" w:lineRule="auto" w:before="0" w:after="0"/>
            </w:pPr>
            <w:r/>
            <w:r>
              <w:rPr>
                <w:rFonts w:ascii="Figtree" w:hAnsi="Figtree"/>
                <w:b w:val="0"/>
                <w:i w:val="0"/>
                <w:sz w:val="20"/>
              </w:rPr>
              <w:t>Additional product launch</w:t>
            </w:r>
          </w:p>
        </w:tc>
        <w:tc>
          <w:tcPr>
            <w:tcW w:type="dxa" w:w="3249"/>
            <w:vAlign w:val="center"/>
          </w:tcPr>
          <w:p>
            <w:pPr>
              <w:spacing w:line="276" w:lineRule="auto" w:before="0" w:after="0"/>
            </w:pPr>
            <w:r/>
            <w:r>
              <w:rPr>
                <w:rFonts w:ascii="Figtree" w:hAnsi="Figtree"/>
                <w:b w:val="0"/>
                <w:i w:val="0"/>
                <w:sz w:val="20"/>
              </w:rPr>
              <w:t>Month 9–12</w:t>
            </w:r>
          </w:p>
        </w:tc>
        <w:tc>
          <w:tcPr>
            <w:tcW w:type="dxa" w:w="3249"/>
            <w:vAlign w:val="center"/>
          </w:tcPr>
          <w:p>
            <w:pPr>
              <w:spacing w:line="276" w:lineRule="auto" w:before="0" w:after="0"/>
            </w:pPr>
            <w:r/>
            <w:r>
              <w:rPr>
                <w:rFonts w:ascii="Figtree" w:hAnsi="Figtree"/>
                <w:b w:val="0"/>
                <w:i w:val="0"/>
                <w:sz w:val="20"/>
              </w:rPr>
              <w:t>New deposit type via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Year 1 review</w:t>
            </w:r>
          </w:p>
        </w:tc>
        <w:tc>
          <w:tcPr>
            <w:tcW w:type="dxa" w:w="3249"/>
            <w:vAlign w:val="center"/>
          </w:tcPr>
          <w:p>
            <w:pPr>
              <w:spacing w:line="276" w:lineRule="auto" w:before="0" w:after="0"/>
            </w:pPr>
            <w:r/>
            <w:r>
              <w:rPr>
                <w:rFonts w:ascii="Figtree" w:hAnsi="Figtree"/>
                <w:b w:val="0"/>
                <w:i w:val="0"/>
                <w:sz w:val="20"/>
              </w:rPr>
              <w:t>Month 12</w:t>
            </w:r>
          </w:p>
        </w:tc>
        <w:tc>
          <w:tcPr>
            <w:tcW w:type="dxa" w:w="3249"/>
            <w:vAlign w:val="center"/>
          </w:tcPr>
          <w:p>
            <w:pPr>
              <w:spacing w:line="276" w:lineRule="auto" w:before="0" w:after="0"/>
            </w:pPr>
            <w:r/>
            <w:r>
              <w:rPr>
                <w:rFonts w:ascii="Figtree" w:hAnsi="Figtree"/>
                <w:b w:val="0"/>
                <w:i w:val="0"/>
                <w:sz w:val="20"/>
              </w:rPr>
              <w:t>ROI assessment and Year 2 planning</w:t>
            </w:r>
          </w:p>
        </w:tc>
      </w:tr>
    </w:tbl>
    <w:p>
      <w:pPr>
        <w:spacing w:before="0" w:after="0" w:line="120" w:lineRule="exact"/>
      </w:pPr>
    </w:p>
    <w:p>
      <w:pPr>
        <w:pStyle w:val="H2"/>
        <w:numPr>
          <w:ilvl w:val="1"/>
          <w:numId w:val="1"/>
        </w:numPr>
      </w:pPr>
      <w:r>
        <w:t>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72"/>
        <w:gridCol w:w="3097"/>
        <w:gridCol w:w="21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Timeline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Commercial clarification meeting</w:t>
            </w:r>
          </w:p>
        </w:tc>
        <w:tc>
          <w:tcPr>
            <w:tcW w:type="dxa" w:w="3249"/>
            <w:vAlign w:val="center"/>
          </w:tcPr>
          <w:p>
            <w:pPr>
              <w:spacing w:line="276" w:lineRule="auto" w:before="0" w:after="0"/>
            </w:pPr>
            <w:r/>
            <w:r>
              <w:rPr>
                <w:rFonts w:ascii="Figtree" w:hAnsi="Figtree"/>
                <w:b w:val="0"/>
                <w:i w:val="0"/>
                <w:sz w:val="20"/>
              </w:rPr>
              <w:t>Within 2 weeks of submission</w:t>
            </w:r>
          </w:p>
        </w:tc>
        <w:tc>
          <w:tcPr>
            <w:tcW w:type="dxa" w:w="3249"/>
            <w:vAlign w:val="center"/>
          </w:tcPr>
          <w:p>
            <w:pPr>
              <w:spacing w:line="276" w:lineRule="auto" w:before="0" w:after="0"/>
            </w:pPr>
            <w:r/>
            <w:r>
              <w:rPr>
                <w:rFonts w:ascii="Figtree" w:hAnsi="Figtree"/>
                <w:b w:val="0"/>
                <w:i w:val="0"/>
                <w:sz w:val="20"/>
              </w:rPr>
              <w:t>Joint</w:t>
            </w:r>
          </w:p>
        </w:tc>
      </w:tr>
      <w:tr>
        <w:trPr>
          <w:trHeight w:val="425" w:hRule="atLeast"/>
        </w:trPr>
        <w:tc>
          <w:tcPr>
            <w:tcW w:type="dxa" w:w="3249"/>
            <w:vAlign w:val="center"/>
          </w:tcPr>
          <w:p>
            <w:pPr>
              <w:spacing w:line="276" w:lineRule="auto" w:before="0" w:after="0"/>
            </w:pPr>
            <w:r/>
            <w:r>
              <w:rPr>
                <w:rFonts w:ascii="Figtree" w:hAnsi="Figtree"/>
                <w:b w:val="0"/>
                <w:i w:val="0"/>
                <w:sz w:val="20"/>
              </w:rPr>
              <w:t>Pricing finalization workshop</w:t>
            </w:r>
          </w:p>
        </w:tc>
        <w:tc>
          <w:tcPr>
            <w:tcW w:type="dxa" w:w="3249"/>
            <w:vAlign w:val="center"/>
          </w:tcPr>
          <w:p>
            <w:pPr>
              <w:spacing w:line="276" w:lineRule="auto" w:before="0" w:after="0"/>
            </w:pPr>
            <w:r/>
            <w:r>
              <w:rPr>
                <w:rFonts w:ascii="Figtree" w:hAnsi="Figtree"/>
                <w:b w:val="0"/>
                <w:i w:val="0"/>
                <w:sz w:val="20"/>
              </w:rPr>
              <w:t>Week 3</w:t>
            </w:r>
          </w:p>
        </w:tc>
        <w:tc>
          <w:tcPr>
            <w:tcW w:type="dxa" w:w="3249"/>
            <w:vAlign w:val="center"/>
          </w:tcPr>
          <w:p>
            <w:pPr>
              <w:spacing w:line="276" w:lineRule="auto" w:before="0" w:after="0"/>
            </w:pPr>
            <w:r/>
            <w:r>
              <w:rPr>
                <w:rFonts w:ascii="Figtree" w:hAnsi="Figtree"/>
                <w:b w:val="0"/>
                <w:i w:val="0"/>
                <w:sz w:val="20"/>
              </w:rPr>
              <w:t>Joint</w:t>
            </w:r>
          </w:p>
        </w:tc>
      </w:tr>
      <w:tr>
        <w:trPr>
          <w:trHeight w:val="425" w:hRule="atLeast"/>
        </w:trPr>
        <w:tc>
          <w:tcPr>
            <w:tcW w:type="dxa" w:w="3249"/>
            <w:vAlign w:val="center"/>
          </w:tcPr>
          <w:p>
            <w:pPr>
              <w:spacing w:line="276" w:lineRule="auto" w:before="0" w:after="0"/>
            </w:pPr>
            <w:r/>
            <w:r>
              <w:rPr>
                <w:rFonts w:ascii="Figtree" w:hAnsi="Figtree"/>
                <w:b w:val="0"/>
                <w:i w:val="0"/>
                <w:sz w:val="20"/>
              </w:rPr>
              <w:t>Reference call with existing client</w:t>
            </w:r>
          </w:p>
        </w:tc>
        <w:tc>
          <w:tcPr>
            <w:tcW w:type="dxa" w:w="3249"/>
            <w:vAlign w:val="center"/>
          </w:tcPr>
          <w:p>
            <w:pPr>
              <w:spacing w:line="276" w:lineRule="auto" w:before="0" w:after="0"/>
            </w:pPr>
            <w:r/>
            <w:r>
              <w:rPr>
                <w:rFonts w:ascii="Figtree" w:hAnsi="Figtree"/>
                <w:b w:val="0"/>
                <w:i w:val="0"/>
                <w:sz w:val="20"/>
              </w:rPr>
              <w:t>Upon request</w:t>
            </w:r>
          </w:p>
        </w:tc>
        <w:tc>
          <w:tcPr>
            <w:tcW w:type="dxa" w:w="3249"/>
            <w:vAlign w:val="center"/>
          </w:tcPr>
          <w:p>
            <w:pPr>
              <w:spacing w:line="276" w:lineRule="auto" w:before="0" w:after="0"/>
            </w:pPr>
            <w:r/>
            <w:r>
              <w:rPr>
                <w:rFonts w:ascii="Figtree" w:hAnsi="Figtree"/>
                <w:b w:val="0"/>
                <w:i w:val="0"/>
                <w:sz w:val="20"/>
              </w:rPr>
              <w:t>SettleMint</w:t>
            </w:r>
          </w:p>
        </w:tc>
      </w:tr>
      <w:tr>
        <w:trPr>
          <w:trHeight w:val="425" w:hRule="atLeast"/>
        </w:trPr>
        <w:tc>
          <w:tcPr>
            <w:tcW w:type="dxa" w:w="3249"/>
            <w:vAlign w:val="center"/>
          </w:tcPr>
          <w:p>
            <w:pPr>
              <w:spacing w:line="276" w:lineRule="auto" w:before="0" w:after="0"/>
            </w:pPr>
            <w:r/>
            <w:r>
              <w:rPr>
                <w:rFonts w:ascii="Figtree" w:hAnsi="Figtree"/>
                <w:b w:val="0"/>
                <w:i w:val="0"/>
                <w:sz w:val="20"/>
              </w:rPr>
              <w:t>Contract negotiation</w:t>
            </w:r>
          </w:p>
        </w:tc>
        <w:tc>
          <w:tcPr>
            <w:tcW w:type="dxa" w:w="3249"/>
            <w:vAlign w:val="center"/>
          </w:tcPr>
          <w:p>
            <w:pPr>
              <w:spacing w:line="276" w:lineRule="auto" w:before="0" w:after="0"/>
            </w:pPr>
            <w:r/>
            <w:r>
              <w:rPr>
                <w:rFonts w:ascii="Figtree" w:hAnsi="Figtree"/>
                <w:b w:val="0"/>
                <w:i w:val="0"/>
                <w:sz w:val="20"/>
              </w:rPr>
              <w:t>Weeks 4–6</w:t>
            </w:r>
          </w:p>
        </w:tc>
        <w:tc>
          <w:tcPr>
            <w:tcW w:type="dxa" w:w="3249"/>
            <w:vAlign w:val="center"/>
          </w:tcPr>
          <w:p>
            <w:pPr>
              <w:spacing w:line="276" w:lineRule="auto" w:before="0" w:after="0"/>
            </w:pPr>
            <w:r/>
            <w:r>
              <w:rPr>
                <w:rFonts w:ascii="Figtree" w:hAnsi="Figtree"/>
                <w:b w:val="0"/>
                <w:i w:val="0"/>
                <w:sz w:val="20"/>
              </w:rPr>
              <w:t>Joint (legal teams)</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finalization</w:t>
            </w:r>
          </w:p>
        </w:tc>
        <w:tc>
          <w:tcPr>
            <w:tcW w:type="dxa" w:w="3249"/>
            <w:vAlign w:val="center"/>
          </w:tcPr>
          <w:p>
            <w:pPr>
              <w:spacing w:line="276" w:lineRule="auto" w:before="0" w:after="0"/>
            </w:pPr>
            <w:r/>
            <w:r>
              <w:rPr>
                <w:rFonts w:ascii="Figtree" w:hAnsi="Figtree"/>
                <w:b w:val="0"/>
                <w:i w:val="0"/>
                <w:sz w:val="20"/>
              </w:rPr>
              <w:t>Week 6</w:t>
            </w:r>
          </w:p>
        </w:tc>
        <w:tc>
          <w:tcPr>
            <w:tcW w:type="dxa" w:w="3249"/>
            <w:vAlign w:val="center"/>
          </w:tcPr>
          <w:p>
            <w:pPr>
              <w:spacing w:line="276" w:lineRule="auto" w:before="0" w:after="0"/>
            </w:pPr>
            <w:r/>
            <w:r>
              <w:rPr>
                <w:rFonts w:ascii="Figtree" w:hAnsi="Figtree"/>
                <w:b w:val="0"/>
                <w:i w:val="0"/>
                <w:sz w:val="20"/>
              </w:rPr>
              <w:t>Joint</w:t>
            </w:r>
          </w:p>
        </w:tc>
      </w:tr>
      <w:tr>
        <w:trPr>
          <w:trHeight w:val="425" w:hRule="atLeast"/>
        </w:trPr>
        <w:tc>
          <w:tcPr>
            <w:tcW w:type="dxa" w:w="3249"/>
            <w:vAlign w:val="center"/>
          </w:tcPr>
          <w:p>
            <w:pPr>
              <w:spacing w:line="276" w:lineRule="auto" w:before="0" w:after="0"/>
            </w:pPr>
            <w:r/>
            <w:r>
              <w:rPr>
                <w:rFonts w:ascii="Figtree" w:hAnsi="Figtree"/>
                <w:b w:val="0"/>
                <w:i w:val="0"/>
                <w:sz w:val="20"/>
              </w:rPr>
              <w:t>Kickoff</w:t>
            </w:r>
          </w:p>
        </w:tc>
        <w:tc>
          <w:tcPr>
            <w:tcW w:type="dxa" w:w="3249"/>
            <w:vAlign w:val="center"/>
          </w:tcPr>
          <w:p>
            <w:pPr>
              <w:spacing w:line="276" w:lineRule="auto" w:before="0" w:after="0"/>
            </w:pPr>
            <w:r/>
            <w:r>
              <w:rPr>
                <w:rFonts w:ascii="Figtree" w:hAnsi="Figtree"/>
                <w:b w:val="0"/>
                <w:i w:val="0"/>
                <w:sz w:val="20"/>
              </w:rPr>
              <w:t>Week 8 (target)</w:t>
            </w:r>
          </w:p>
        </w:tc>
        <w:tc>
          <w:tcPr>
            <w:tcW w:type="dxa" w:w="3249"/>
            <w:vAlign w:val="center"/>
          </w:tcPr>
          <w:p>
            <w:pPr>
              <w:spacing w:line="276" w:lineRule="auto" w:before="0" w:after="0"/>
            </w:pPr>
            <w:r/>
            <w:r>
              <w:rPr>
                <w:rFonts w:ascii="Figtree" w:hAnsi="Figtree"/>
                <w:b w:val="0"/>
                <w:i w:val="0"/>
                <w:sz w:val="20"/>
              </w:rPr>
              <w:t>Joint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