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Investment Rationale</w:t>
            <w:rPr>
              <w:sz w:val="22"/>
              <w:rFonts w:ascii="Figtree" w:hAnsi="Figtree"/>
            </w:rPr>
          </w:r>
        </w:p>
        <w:p>
          <w:pPr>
            <w:ind w:left="1440"/>
          </w:pPr>
          <w:r>
            <w:t xml:space="preserve">Cost of Current Approach</w:t>
            <w:rPr>
              <w:sz w:val="22"/>
              <w:rFonts w:ascii="Figtree" w:hAnsi="Figtree"/>
            </w:rPr>
          </w:r>
        </w:p>
        <w:p>
          <w:pPr>
            <w:ind w:left="1440"/>
          </w:pPr>
          <w:r>
            <w:t xml:space="preserve">Why DALP Changes Economics</w:t>
            <w:rPr>
              <w:sz w:val="22"/>
              <w:rFonts w:ascii="Figtree" w:hAnsi="Figtree"/>
            </w:rPr>
          </w:r>
        </w:p>
        <w:p>
          <w:pPr>
            <w:ind w:left="1440"/>
          </w:pPr>
          <w:r>
            <w:t xml:space="preserve">ROI Framework</w:t>
            <w:rPr>
              <w:sz w:val="22"/>
              <w:rFonts w:ascii="Figtree" w:hAnsi="Figtree"/>
            </w:rPr>
          </w:r>
        </w:p>
        <w:p>
          <w:pPr>
            <w:ind w:left="720"/>
          </w:pPr>
          <w:r>
            <w:t xml:space="preserve">Licensing Model</w:t>
            <w:rPr>
              <w:sz w:val="22"/>
              <w:rFonts w:ascii="Figtree" w:hAnsi="Figtree"/>
            </w:rPr>
          </w:r>
        </w:p>
        <w:p>
          <w:pPr>
            <w:ind w:left="1440"/>
          </w:pPr>
          <w:r>
            <w:t xml:space="preserve">Platform Licensing Philosophy</w:t>
            <w:rPr>
              <w:sz w:val="22"/>
              <w:rFonts w:ascii="Figtree" w:hAnsi="Figtree"/>
            </w:rPr>
          </w:r>
        </w:p>
        <w:p>
          <w:pPr>
            <w:ind w:left="1440"/>
          </w:pPr>
          <w:r>
            <w:t xml:space="preserve">What the License Includes</w:t>
            <w:rPr>
              <w:sz w:val="22"/>
              <w:rFonts w:ascii="Figtree" w:hAnsi="Figtree"/>
            </w:rPr>
          </w:r>
        </w:p>
        <w:p>
          <w:pPr>
            <w:ind w:left="1440"/>
          </w:pPr>
          <w:r>
            <w:t xml:space="preserve">Recommended Tier: Enterprise (Tier 2)</w:t>
            <w:rPr>
              <w:sz w:val="22"/>
              <w:rFonts w:ascii="Figtree" w:hAnsi="Figtree"/>
            </w:rPr>
          </w:r>
        </w:p>
        <w:p>
          <w:pPr>
            <w:ind w:left="720"/>
          </w:pPr>
          <w:r>
            <w:t xml:space="preserve">Implementation Pricing</w:t>
            <w:rPr>
              <w:sz w:val="22"/>
              <w:rFonts w:ascii="Figtree" w:hAnsi="Figtree"/>
            </w:rPr>
          </w:r>
        </w:p>
        <w:p>
          <w:pPr>
            <w:ind w:left="1440"/>
          </w:pPr>
          <w:r>
            <w:t xml:space="preserve">Pricing Structure</w:t>
            <w:rPr>
              <w:sz w:val="22"/>
              <w:rFonts w:ascii="Figtree" w:hAnsi="Figtree"/>
            </w:rPr>
          </w:r>
        </w:p>
        <w:p>
          <w:pPr>
            <w:ind w:left="1440"/>
          </w:pPr>
          <w:r>
            <w:t xml:space="preserve">Implementation Team</w:t>
            <w:rPr>
              <w:sz w:val="22"/>
              <w:rFonts w:ascii="Figtree" w:hAnsi="Figtree"/>
            </w:rPr>
          </w:r>
        </w:p>
        <w:p>
          <w:pPr>
            <w:ind w:left="1440"/>
          </w:pPr>
          <w:r>
            <w:t xml:space="preserve">Client Effort Assumptions</w:t>
            <w:rPr>
              <w:sz w:val="22"/>
              <w:rFonts w:ascii="Figtree" w:hAnsi="Figtree"/>
            </w:rPr>
          </w:r>
        </w:p>
        <w:p>
          <w:pPr>
            <w:ind w:left="720"/>
          </w:pPr>
          <w:r>
            <w:t xml:space="preserve">Support Pricing</w:t>
            <w:rPr>
              <w:sz w:val="22"/>
              <w:rFonts w:ascii="Figtree" w:hAnsi="Figtree"/>
            </w:rPr>
          </w:r>
        </w:p>
        <w:p>
          <w:pPr>
            <w:ind w:left="1440"/>
          </w:pPr>
          <w:r>
            <w:t xml:space="preserve">Recommended: Premium Support</w:t>
            <w:rPr>
              <w:sz w:val="22"/>
              <w:rFonts w:ascii="Figtree" w:hAnsi="Figtree"/>
            </w:rPr>
          </w:r>
        </w:p>
        <w:p>
          <w:pPr>
            <w:ind w:left="1440"/>
          </w:pPr>
          <w:r>
            <w:t xml:space="preserve">Support Tier Comparison</w:t>
            <w:rPr>
              <w:sz w:val="22"/>
              <w:rFonts w:ascii="Figtree" w:hAnsi="Figtree"/>
            </w:rPr>
          </w:r>
        </w:p>
        <w:p>
          <w:pPr>
            <w:ind w:left="720"/>
          </w:pPr>
          <w:r>
            <w:t xml:space="preserve">Total Cost of Ownership</w:t>
            <w:rPr>
              <w:sz w:val="22"/>
              <w:rFonts w:ascii="Figtree" w:hAnsi="Figtree"/>
            </w:rPr>
          </w:r>
        </w:p>
        <w:p>
          <w:pPr>
            <w:ind w:left="1440"/>
          </w:pPr>
          <w:r>
            <w:t xml:space="preserve">Three-Year TCO Structure</w:t>
            <w:rPr>
              <w:sz w:val="22"/>
              <w:rFonts w:ascii="Figtree" w:hAnsi="Figtree"/>
            </w:rPr>
          </w:r>
        </w:p>
        <w:p>
          <w:pPr>
            <w:ind w:left="1440"/>
          </w:pPr>
          <w:r>
            <w:t xml:space="preserve">TCO vs. Build Decision</w:t>
            <w:rPr>
              <w:sz w:val="22"/>
              <w:rFonts w:ascii="Figtree" w:hAnsi="Figtree"/>
            </w:rPr>
          </w:r>
        </w:p>
        <w:p>
          <w:pPr>
            <w:ind w:left="720"/>
          </w:pPr>
          <w:r>
            <w:t xml:space="preserve">Payment Terms</w:t>
            <w:rPr>
              <w:sz w:val="22"/>
              <w:rFonts w:ascii="Figtree" w:hAnsi="Figtree"/>
            </w:rPr>
          </w:r>
        </w:p>
        <w:p>
          <w:pPr>
            <w:ind w:left="1440"/>
          </w:pPr>
          <w:r>
            <w:t xml:space="preserve">Standard Payment Schedule</w:t>
            <w:rPr>
              <w:sz w:val="22"/>
              <w:rFonts w:ascii="Figtree" w:hAnsi="Figtree"/>
            </w:rPr>
          </w:r>
        </w:p>
        <w:p>
          <w:pPr>
            <w:ind w:left="1440"/>
          </w:pPr>
          <w:r>
            <w:t xml:space="preserve">Commercial Assumptions</w:t>
            <w:rPr>
              <w:sz w:val="22"/>
              <w:rFonts w:ascii="Figtree" w:hAnsi="Figtree"/>
            </w:rPr>
          </w:r>
        </w:p>
        <w:p>
          <w:pPr>
            <w:ind w:left="720"/>
          </w:pPr>
          <w:r>
            <w:t xml:space="preserve">Value Summary</w:t>
            <w:rPr>
              <w:sz w:val="22"/>
              <w:rFonts w:ascii="Figtree" w:hAnsi="Figtree"/>
            </w:rPr>
          </w:r>
        </w:p>
        <w:p>
          <w:pPr>
            <w:ind w:left="720"/>
          </w:pPr>
          <w:r>
            <w:t xml:space="preserve">Detailed Commercial Analysis</w:t>
            <w:rPr>
              <w:sz w:val="22"/>
              <w:rFonts w:ascii="Figtree" w:hAnsi="Figtree"/>
            </w:rPr>
          </w:r>
        </w:p>
        <w:p>
          <w:pPr>
            <w:ind w:left="1440"/>
          </w:pPr>
          <w:r>
            <w:t xml:space="preserve">Buy vs. Build Analysis</w:t>
            <w:rPr>
              <w:sz w:val="22"/>
              <w:rFonts w:ascii="Figtree" w:hAnsi="Figtree"/>
            </w:rPr>
          </w:r>
        </w:p>
        <w:p>
          <w:pPr>
            <w:ind w:left="1440"/>
          </w:pPr>
          <w:r>
            <w:t xml:space="preserve">Licensing Economics Deep Dive</w:t>
            <w:rPr>
              <w:sz w:val="22"/>
              <w:rFonts w:ascii="Figtree" w:hAnsi="Figtree"/>
            </w:rPr>
          </w:r>
        </w:p>
        <w:p>
          <w:pPr>
            <w:ind w:left="1440"/>
          </w:pPr>
          <w:r>
            <w:t xml:space="preserve">Infrastructure Cost Estimates</w:t>
            <w:rPr>
              <w:sz w:val="22"/>
              <w:rFonts w:ascii="Figtree" w:hAnsi="Figtree"/>
            </w:rPr>
          </w:r>
        </w:p>
        <w:p>
          <w:pPr>
            <w:ind w:left="1440"/>
          </w:pPr>
          <w:r>
            <w:t xml:space="preserve">Contract Structure</w:t>
            <w:rPr>
              <w:sz w:val="22"/>
              <w:rFonts w:ascii="Figtree" w:hAnsi="Figtree"/>
            </w:rPr>
          </w:r>
        </w:p>
        <w:p>
          <w:pPr>
            <w:ind w:left="1440"/>
          </w:pPr>
          <w:r>
            <w:t xml:space="preserve">Operational Cost Comparison (3-Year View)</w:t>
            <w:rPr>
              <w:sz w:val="22"/>
              <w:rFonts w:ascii="Figtree" w:hAnsi="Figtree"/>
            </w:rPr>
          </w:r>
        </w:p>
        <w:p>
          <w:pPr>
            <w:ind w:left="1440"/>
          </w:pPr>
          <w:r>
            <w:t xml:space="preserve">Value Realization Timeline</w:t>
            <w:rPr>
              <w:sz w:val="22"/>
              <w:rFonts w:ascii="Figtree" w:hAnsi="Figtree"/>
            </w:rPr>
          </w:r>
        </w:p>
        <w:p>
          <w:pPr>
            <w:ind w:left="720"/>
          </w:pPr>
          <w:r>
            <w:t xml:space="preserve">Next Steps</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Tokenized Deposits and Trade Finance Liquidity Rails</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Emirates NBD</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EMIRATES-NBD-RFP-TOKENIZED-DEPOSITS-TRADE-FINANCE-202603</w:t>
            </w:r>
          </w:p>
        </w:tc>
      </w:tr>
    </w:tbl>
    <w:p>
      <w:r>
        <w:br w:type="page"/>
      </w:r>
    </w:p>
    <w:p>
      <w:pPr>
        <w:pStyle w:val="H2"/>
        <w:numPr>
          <w:ilvl w:val="1"/>
          <w:numId w:val="1"/>
        </w:numPr>
      </w:pPr>
      <w:r>
        <w:t>Executive Summary</w:t>
      </w:r>
    </w:p>
    <w:p>
      <w:r>
        <w:rPr>
          <w:rFonts w:ascii="Figtree" w:hAnsi="Figtree"/>
          <w:b w:val="0"/>
          <w:i w:val="0"/>
          <w:sz w:val="22"/>
        </w:rPr>
        <w:t>Emirates NBD requires a platform and delivery partner capable of bringing tokenized deposits and trade finance liquidity rails to production with the discipline, transparency, and governance expected of a core regulated system. This commercial proposal presents SettleMint's licensing, implementation, and support model for the Digital Asset Lifecycle Platform (DALP) —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UAE-resident infrastructure (AWS Bahrain or Azure UAE North)</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16×5 coverage (Sunday–Thursday UAE alignment),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is fundamentally different from transaction-based pricing: Emirates NBD pays a predictable annual subscription with no per-transaction, per-token, per-user, or per-asset fees. This means the bank can scale deposit volumes, trade finance counterparties, product range, and investor base without incurring incremental platform costs. Compliance checks, settlement operations, and trade workflow events — which occur at high frequency in production — carry zero marginal licensing cost.</w:t>
      </w:r>
    </w:p>
    <w:p>
      <w:r>
        <w:rPr>
          <w:rFonts w:ascii="Figtree" w:hAnsi="Figtree"/>
          <w:b/>
          <w:i w:val="0"/>
          <w:sz w:val="22"/>
        </w:rPr>
        <w:t>Decision snapshot: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Dimension</w:t>
            </w:r>
          </w:p>
        </w:tc>
        <w:tc>
          <w:tcPr>
            <w:tcW w:type="dxa" w:w="4873"/>
            <w:vAlign w:val="center"/>
            <w:shd w:fill="000099" w:val="clear"/>
          </w:tcPr>
          <w:p>
            <w:r>
              <w:rPr>
                <w:b/>
                <w:color w:val="FFFFFF"/>
              </w:rPr>
            </w:r>
            <w:r>
              <w:rPr>
                <w:rFonts w:ascii="Figtree" w:hAnsi="Figtree"/>
                <w:b/>
                <w:i w:val="0"/>
                <w:color w:val="FFFFFF"/>
                <w:sz w:val="22"/>
              </w:rPr>
              <w:t>Recommendation</w:t>
            </w:r>
          </w:p>
        </w:tc>
      </w:tr>
      <w:tr>
        <w:trPr>
          <w:trHeight w:val="454" w:hRule="atLeast"/>
        </w:trPr>
        <w:tc>
          <w:tcPr>
            <w:tcW w:type="dxa" w:w="4873"/>
            <w:vAlign w:val="center"/>
          </w:tcPr>
          <w:p>
            <w:r/>
            <w:r>
              <w:rPr>
                <w:rFonts w:ascii="Figtree" w:hAnsi="Figtree"/>
                <w:b w:val="0"/>
                <w:i w:val="0"/>
                <w:sz w:val="22"/>
              </w:rPr>
              <w:t>Client objective</w:t>
            </w:r>
          </w:p>
        </w:tc>
        <w:tc>
          <w:tcPr>
            <w:tcW w:type="dxa" w:w="4873"/>
            <w:vAlign w:val="center"/>
          </w:tcPr>
          <w:p>
            <w:r/>
            <w:r>
              <w:rPr>
                <w:rFonts w:ascii="Figtree" w:hAnsi="Figtree"/>
                <w:b w:val="0"/>
                <w:i w:val="0"/>
                <w:sz w:val="22"/>
              </w:rPr>
              <w:t>Production-grade tokenized deposits + trade finance rails</w:t>
            </w:r>
          </w:p>
        </w:tc>
      </w:tr>
      <w:tr>
        <w:trPr>
          <w:trHeight w:val="454" w:hRule="atLeast"/>
        </w:trPr>
        <w:tc>
          <w:tcPr>
            <w:tcW w:type="dxa" w:w="4873"/>
            <w:vAlign w:val="center"/>
          </w:tcPr>
          <w:p>
            <w:r/>
            <w:r>
              <w:rPr>
                <w:rFonts w:ascii="Figtree" w:hAnsi="Figtree"/>
                <w:b w:val="0"/>
                <w:i w:val="0"/>
                <w:sz w:val="22"/>
              </w:rPr>
              <w:t>Recommended model</w:t>
            </w:r>
          </w:p>
        </w:tc>
        <w:tc>
          <w:tcPr>
            <w:tcW w:type="dxa" w:w="4873"/>
            <w:vAlign w:val="center"/>
          </w:tcPr>
          <w:p>
            <w:r/>
            <w:r>
              <w:rPr>
                <w:rFonts w:ascii="Figtree" w:hAnsi="Figtree"/>
                <w:b w:val="0"/>
                <w:i w:val="0"/>
                <w:sz w:val="22"/>
              </w:rPr>
              <w:t>Enterprise license + dedicated cloud + Premium support</w:t>
            </w:r>
          </w:p>
        </w:tc>
      </w:tr>
      <w:tr>
        <w:trPr>
          <w:trHeight w:val="454" w:hRule="atLeast"/>
        </w:trPr>
        <w:tc>
          <w:tcPr>
            <w:tcW w:type="dxa" w:w="4873"/>
            <w:vAlign w:val="center"/>
          </w:tcPr>
          <w:p>
            <w:r/>
            <w:r>
              <w:rPr>
                <w:rFonts w:ascii="Figtree" w:hAnsi="Figtree"/>
                <w:b w:val="0"/>
                <w:i w:val="0"/>
                <w:sz w:val="22"/>
              </w:rPr>
              <w:t>Implementation timeline</w:t>
            </w:r>
          </w:p>
        </w:tc>
        <w:tc>
          <w:tcPr>
            <w:tcW w:type="dxa" w:w="4873"/>
            <w:vAlign w:val="center"/>
          </w:tcPr>
          <w:p>
            <w:r/>
            <w:r>
              <w:rPr>
                <w:rFonts w:ascii="Figtree" w:hAnsi="Figtree"/>
                <w:b w:val="0"/>
                <w:i w:val="0"/>
                <w:sz w:val="22"/>
              </w:rPr>
              <w:t>19 weeks (first production asset at Week 13)</w:t>
            </w:r>
          </w:p>
        </w:tc>
      </w:tr>
      <w:tr>
        <w:trPr>
          <w:trHeight w:val="454" w:hRule="atLeast"/>
        </w:trPr>
        <w:tc>
          <w:tcPr>
            <w:tcW w:type="dxa" w:w="4873"/>
            <w:vAlign w:val="center"/>
          </w:tcPr>
          <w:p>
            <w:r/>
            <w:r>
              <w:rPr>
                <w:rFonts w:ascii="Figtree" w:hAnsi="Figtree"/>
                <w:b w:val="0"/>
                <w:i w:val="0"/>
                <w:sz w:val="22"/>
              </w:rPr>
              <w:t>Commercial headline</w:t>
            </w:r>
          </w:p>
        </w:tc>
        <w:tc>
          <w:tcPr>
            <w:tcW w:type="dxa" w:w="4873"/>
            <w:vAlign w:val="center"/>
          </w:tcPr>
          <w:p>
            <w:r/>
            <w:r>
              <w:rPr>
                <w:rFonts w:ascii="Figtree" w:hAnsi="Figtree"/>
                <w:b w:val="0"/>
                <w:i w:val="0"/>
                <w:sz w:val="22"/>
              </w:rPr>
              <w:t>Predictable subscription; no per-transaction fees; scale without cost anxiety</w:t>
            </w:r>
          </w:p>
        </w:tc>
      </w:tr>
    </w:tbl>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Emirates NBD's current trade finance and deposit infrastructure involves multiple disconnected systems, manual reconciliation processes, multi-day settlement cycles, and custody intermediary costs. The hidden costs include: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Cost Driver</w:t>
            </w:r>
          </w:p>
        </w:tc>
        <w:tc>
          <w:tcPr>
            <w:tcW w:type="dxa" w:w="3249"/>
            <w:vAlign w:val="center"/>
            <w:shd w:fill="000099" w:val="clear"/>
          </w:tcPr>
          <w:p>
            <w:r>
              <w:rPr>
                <w:b/>
                <w:color w:val="FFFFFF"/>
              </w:rPr>
            </w:r>
            <w:r>
              <w:rPr>
                <w:rFonts w:ascii="Figtree" w:hAnsi="Figtree"/>
                <w:b/>
                <w:i w:val="0"/>
                <w:color w:val="FFFFFF"/>
                <w:sz w:val="22"/>
              </w:rPr>
              <w:t>Current State</w:t>
            </w:r>
          </w:p>
        </w:tc>
        <w:tc>
          <w:tcPr>
            <w:tcW w:type="dxa" w:w="3249"/>
            <w:vAlign w:val="center"/>
            <w:shd w:fill="000099" w:val="clear"/>
          </w:tcPr>
          <w:p>
            <w:r>
              <w:rPr>
                <w:b/>
                <w:color w:val="FFFFFF"/>
              </w:rPr>
            </w:r>
            <w:r>
              <w:rPr>
                <w:rFonts w:ascii="Figtree" w:hAnsi="Figtree"/>
                <w:b/>
                <w:i w:val="0"/>
                <w:color w:val="FFFFFF"/>
                <w:sz w:val="22"/>
              </w:rPr>
              <w:t>Impact</w:t>
            </w:r>
          </w:p>
        </w:tc>
      </w:tr>
      <w:tr>
        <w:trPr>
          <w:trHeight w:val="454" w:hRule="atLeast"/>
        </w:trPr>
        <w:tc>
          <w:tcPr>
            <w:tcW w:type="dxa" w:w="3249"/>
            <w:vAlign w:val="center"/>
          </w:tcPr>
          <w:p>
            <w:r/>
            <w:r>
              <w:rPr>
                <w:rFonts w:ascii="Figtree" w:hAnsi="Figtree"/>
                <w:b w:val="0"/>
                <w:i w:val="0"/>
                <w:sz w:val="22"/>
              </w:rPr>
              <w:t>Settlement delay</w:t>
            </w:r>
          </w:p>
        </w:tc>
        <w:tc>
          <w:tcPr>
            <w:tcW w:type="dxa" w:w="3249"/>
            <w:vAlign w:val="center"/>
          </w:tcPr>
          <w:p>
            <w:r/>
            <w:r>
              <w:rPr>
                <w:rFonts w:ascii="Figtree" w:hAnsi="Figtree"/>
                <w:b w:val="0"/>
                <w:i w:val="0"/>
                <w:sz w:val="22"/>
              </w:rPr>
              <w:t>T+2 to T+5 for trade finance</w:t>
            </w:r>
          </w:p>
        </w:tc>
        <w:tc>
          <w:tcPr>
            <w:tcW w:type="dxa" w:w="3249"/>
            <w:vAlign w:val="center"/>
          </w:tcPr>
          <w:p>
            <w:r/>
            <w:r>
              <w:rPr>
                <w:rFonts w:ascii="Figtree" w:hAnsi="Figtree"/>
                <w:b w:val="0"/>
                <w:i w:val="0"/>
                <w:sz w:val="22"/>
              </w:rPr>
              <w:t>Counterparty risk, capital lock-up</w:t>
            </w:r>
          </w:p>
        </w:tc>
      </w:tr>
      <w:tr>
        <w:trPr>
          <w:trHeight w:val="454" w:hRule="atLeast"/>
        </w:trPr>
        <w:tc>
          <w:tcPr>
            <w:tcW w:type="dxa" w:w="3249"/>
            <w:vAlign w:val="center"/>
          </w:tcPr>
          <w:p>
            <w:r/>
            <w:r>
              <w:rPr>
                <w:rFonts w:ascii="Figtree" w:hAnsi="Figtree"/>
                <w:b w:val="0"/>
                <w:i w:val="0"/>
                <w:sz w:val="22"/>
              </w:rPr>
              <w:t>Manual reconciliation</w:t>
            </w:r>
          </w:p>
        </w:tc>
        <w:tc>
          <w:tcPr>
            <w:tcW w:type="dxa" w:w="3249"/>
            <w:vAlign w:val="center"/>
          </w:tcPr>
          <w:p>
            <w:r/>
            <w:r>
              <w:rPr>
                <w:rFonts w:ascii="Figtree" w:hAnsi="Figtree"/>
                <w:b w:val="0"/>
                <w:i w:val="0"/>
                <w:sz w:val="22"/>
              </w:rPr>
              <w:t>Core banking ↔ trade finance ↔ treasury</w:t>
            </w:r>
          </w:p>
        </w:tc>
        <w:tc>
          <w:tcPr>
            <w:tcW w:type="dxa" w:w="3249"/>
            <w:vAlign w:val="center"/>
          </w:tcPr>
          <w:p>
            <w:r/>
            <w:r>
              <w:rPr>
                <w:rFonts w:ascii="Figtree" w:hAnsi="Figtree"/>
                <w:b w:val="0"/>
                <w:i w:val="0"/>
                <w:sz w:val="22"/>
              </w:rPr>
              <w:t>15–25 person-days per month (estimate)</w:t>
            </w:r>
          </w:p>
        </w:tc>
      </w:tr>
      <w:tr>
        <w:trPr>
          <w:trHeight w:val="454" w:hRule="atLeast"/>
        </w:trPr>
        <w:tc>
          <w:tcPr>
            <w:tcW w:type="dxa" w:w="3249"/>
            <w:vAlign w:val="center"/>
          </w:tcPr>
          <w:p>
            <w:r/>
            <w:r>
              <w:rPr>
                <w:rFonts w:ascii="Figtree" w:hAnsi="Figtree"/>
                <w:b w:val="0"/>
                <w:i w:val="0"/>
                <w:sz w:val="22"/>
              </w:rPr>
              <w:t>Custody intermediaries</w:t>
            </w:r>
          </w:p>
        </w:tc>
        <w:tc>
          <w:tcPr>
            <w:tcW w:type="dxa" w:w="3249"/>
            <w:vAlign w:val="center"/>
          </w:tcPr>
          <w:p>
            <w:r/>
            <w:r>
              <w:rPr>
                <w:rFonts w:ascii="Figtree" w:hAnsi="Figtree"/>
                <w:b w:val="0"/>
                <w:i w:val="0"/>
                <w:sz w:val="22"/>
              </w:rPr>
              <w:t>Multiple custody layers for cross-border</w:t>
            </w:r>
          </w:p>
        </w:tc>
        <w:tc>
          <w:tcPr>
            <w:tcW w:type="dxa" w:w="3249"/>
            <w:vAlign w:val="center"/>
          </w:tcPr>
          <w:p>
            <w:r/>
            <w:r>
              <w:rPr>
                <w:rFonts w:ascii="Figtree" w:hAnsi="Figtree"/>
                <w:b w:val="0"/>
                <w:i w:val="0"/>
                <w:sz w:val="22"/>
              </w:rPr>
              <w:t>Fee accumulation, operational complexity</w:t>
            </w:r>
          </w:p>
        </w:tc>
      </w:tr>
      <w:tr>
        <w:trPr>
          <w:trHeight w:val="454" w:hRule="atLeast"/>
        </w:trPr>
        <w:tc>
          <w:tcPr>
            <w:tcW w:type="dxa" w:w="3249"/>
            <w:vAlign w:val="center"/>
          </w:tcPr>
          <w:p>
            <w:r/>
            <w:r>
              <w:rPr>
                <w:rFonts w:ascii="Figtree" w:hAnsi="Figtree"/>
                <w:b w:val="0"/>
                <w:i w:val="0"/>
                <w:sz w:val="22"/>
              </w:rPr>
              <w:t>Compliance duplication</w:t>
            </w:r>
          </w:p>
        </w:tc>
        <w:tc>
          <w:tcPr>
            <w:tcW w:type="dxa" w:w="3249"/>
            <w:vAlign w:val="center"/>
          </w:tcPr>
          <w:p>
            <w:r/>
            <w:r>
              <w:rPr>
                <w:rFonts w:ascii="Figtree" w:hAnsi="Figtree"/>
                <w:b w:val="0"/>
                <w:i w:val="0"/>
                <w:sz w:val="22"/>
              </w:rPr>
              <w:t>Separate compliance checks per system</w:t>
            </w:r>
          </w:p>
        </w:tc>
        <w:tc>
          <w:tcPr>
            <w:tcW w:type="dxa" w:w="3249"/>
            <w:vAlign w:val="center"/>
          </w:tcPr>
          <w:p>
            <w:r/>
            <w:r>
              <w:rPr>
                <w:rFonts w:ascii="Figtree" w:hAnsi="Figtree"/>
                <w:b w:val="0"/>
                <w:i w:val="0"/>
                <w:sz w:val="22"/>
              </w:rPr>
              <w:t>Audit friction, inconsistent evidence</w:t>
            </w:r>
          </w:p>
        </w:tc>
      </w:tr>
      <w:tr>
        <w:trPr>
          <w:trHeight w:val="454" w:hRule="atLeast"/>
        </w:trPr>
        <w:tc>
          <w:tcPr>
            <w:tcW w:type="dxa" w:w="3249"/>
            <w:vAlign w:val="center"/>
          </w:tcPr>
          <w:p>
            <w:r/>
            <w:r>
              <w:rPr>
                <w:rFonts w:ascii="Figtree" w:hAnsi="Figtree"/>
                <w:b w:val="0"/>
                <w:i w:val="0"/>
                <w:sz w:val="22"/>
              </w:rPr>
              <w:t>Integration maintenance</w:t>
            </w:r>
          </w:p>
        </w:tc>
        <w:tc>
          <w:tcPr>
            <w:tcW w:type="dxa" w:w="3249"/>
            <w:vAlign w:val="center"/>
          </w:tcPr>
          <w:p>
            <w:r/>
            <w:r>
              <w:rPr>
                <w:rFonts w:ascii="Figtree" w:hAnsi="Figtree"/>
                <w:b w:val="0"/>
                <w:i w:val="0"/>
                <w:sz w:val="22"/>
              </w:rPr>
              <w:t>Point-to-point integrations</w:t>
            </w:r>
          </w:p>
        </w:tc>
        <w:tc>
          <w:tcPr>
            <w:tcW w:type="dxa" w:w="3249"/>
            <w:vAlign w:val="center"/>
          </w:tcPr>
          <w:p>
            <w:r/>
            <w:r>
              <w:rPr>
                <w:rFonts w:ascii="Figtree" w:hAnsi="Figtree"/>
                <w:b w:val="0"/>
                <w:i w:val="0"/>
                <w:sz w:val="22"/>
              </w:rPr>
              <w:t>Fragile, expensive to modify</w:t>
            </w:r>
          </w:p>
        </w:tc>
      </w:tr>
      <w:tr>
        <w:trPr>
          <w:trHeight w:val="454" w:hRule="atLeast"/>
        </w:trPr>
        <w:tc>
          <w:tcPr>
            <w:tcW w:type="dxa" w:w="3249"/>
            <w:vAlign w:val="center"/>
          </w:tcPr>
          <w:p>
            <w:r/>
            <w:r>
              <w:rPr>
                <w:rFonts w:ascii="Figtree" w:hAnsi="Figtree"/>
                <w:b w:val="0"/>
                <w:i w:val="0"/>
                <w:sz w:val="22"/>
              </w:rPr>
              <w:t>Multi-vendor coordination</w:t>
            </w:r>
          </w:p>
        </w:tc>
        <w:tc>
          <w:tcPr>
            <w:tcW w:type="dxa" w:w="3249"/>
            <w:vAlign w:val="center"/>
          </w:tcPr>
          <w:p>
            <w:r/>
            <w:r>
              <w:rPr>
                <w:rFonts w:ascii="Figtree" w:hAnsi="Figtree"/>
                <w:b w:val="0"/>
                <w:i w:val="0"/>
                <w:sz w:val="22"/>
              </w:rPr>
              <w:t>Separate vendors for different capabilities</w:t>
            </w:r>
          </w:p>
        </w:tc>
        <w:tc>
          <w:tcPr>
            <w:tcW w:type="dxa" w:w="3249"/>
            <w:vAlign w:val="center"/>
          </w:tcPr>
          <w:p>
            <w:r/>
            <w:r>
              <w:rPr>
                <w:rFonts w:ascii="Figtree" w:hAnsi="Figtree"/>
                <w:b w:val="0"/>
                <w:i w:val="0"/>
                <w:sz w:val="22"/>
              </w:rPr>
              <w:t>SLA gaps, unowned responsibilities</w:t>
            </w:r>
          </w:p>
        </w:tc>
      </w:tr>
    </w:tbl>
    <w:p>
      <w:pPr>
        <w:pStyle w:val="H3"/>
        <w:numPr>
          <w:ilvl w:val="2"/>
          <w:numId w:val="1"/>
        </w:numPr>
      </w:pPr>
      <w:r>
        <w:t>Why DALP Changes Economics</w:t>
      </w:r>
    </w:p>
    <w:p>
      <w:r>
        <w:rPr>
          <w:rFonts w:ascii="Figtree" w:hAnsi="Figtree"/>
          <w:b w:val="0"/>
          <w:i w:val="0"/>
          <w:sz w:val="22"/>
        </w:rPr>
        <w:t>DALP collapses multiple lifecycle capabilities into a single governed platform, changing the economic profile: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Cost Driver</w:t>
            </w:r>
          </w:p>
        </w:tc>
        <w:tc>
          <w:tcPr>
            <w:tcW w:type="dxa" w:w="3249"/>
            <w:vAlign w:val="center"/>
            <w:shd w:fill="000099" w:val="clear"/>
          </w:tcPr>
          <w:p>
            <w:r>
              <w:rPr>
                <w:b/>
                <w:color w:val="FFFFFF"/>
              </w:rPr>
            </w:r>
            <w:r>
              <w:rPr>
                <w:rFonts w:ascii="Figtree" w:hAnsi="Figtree"/>
                <w:b/>
                <w:i w:val="0"/>
                <w:color w:val="FFFFFF"/>
                <w:sz w:val="22"/>
              </w:rPr>
              <w:t>DALP Impact</w:t>
            </w:r>
          </w:p>
        </w:tc>
        <w:tc>
          <w:tcPr>
            <w:tcW w:type="dxa" w:w="3249"/>
            <w:vAlign w:val="center"/>
            <w:shd w:fill="000099" w:val="clear"/>
          </w:tcPr>
          <w:p>
            <w:r>
              <w:rPr>
                <w:b/>
                <w:color w:val="FFFFFF"/>
              </w:rPr>
            </w:r>
            <w:r>
              <w:rPr>
                <w:rFonts w:ascii="Figtree" w:hAnsi="Figtree"/>
                <w:b/>
                <w:i w:val="0"/>
                <w:color w:val="FFFFFF"/>
                <w:sz w:val="22"/>
              </w:rPr>
              <w:t>Mechanism</w:t>
            </w:r>
          </w:p>
        </w:tc>
      </w:tr>
      <w:tr>
        <w:trPr>
          <w:trHeight w:val="454" w:hRule="atLeast"/>
        </w:trPr>
        <w:tc>
          <w:tcPr>
            <w:tcW w:type="dxa" w:w="3249"/>
            <w:vAlign w:val="center"/>
          </w:tcPr>
          <w:p>
            <w:r/>
            <w:r>
              <w:rPr>
                <w:rFonts w:ascii="Figtree" w:hAnsi="Figtree"/>
                <w:b w:val="0"/>
                <w:i w:val="0"/>
                <w:sz w:val="22"/>
              </w:rPr>
              <w:t>Settlement delay</w:t>
            </w:r>
          </w:p>
        </w:tc>
        <w:tc>
          <w:tcPr>
            <w:tcW w:type="dxa" w:w="3249"/>
            <w:vAlign w:val="center"/>
          </w:tcPr>
          <w:p>
            <w:r/>
            <w:r>
              <w:rPr>
                <w:rFonts w:ascii="Figtree" w:hAnsi="Figtree"/>
                <w:b w:val="0"/>
                <w:i w:val="0"/>
                <w:sz w:val="22"/>
              </w:rPr>
              <w:t>T+0 (atomic, under 3 seconds)</w:t>
            </w:r>
          </w:p>
        </w:tc>
        <w:tc>
          <w:tcPr>
            <w:tcW w:type="dxa" w:w="3249"/>
            <w:vAlign w:val="center"/>
          </w:tcPr>
          <w:p>
            <w:r/>
            <w:r>
              <w:rPr>
                <w:rFonts w:ascii="Figtree" w:hAnsi="Figtree"/>
                <w:b w:val="0"/>
                <w:i w:val="0"/>
                <w:sz w:val="22"/>
              </w:rPr>
              <w:t>XvP settlement addon</w:t>
            </w:r>
          </w:p>
        </w:tc>
      </w:tr>
      <w:tr>
        <w:trPr>
          <w:trHeight w:val="454" w:hRule="atLeast"/>
        </w:trPr>
        <w:tc>
          <w:tcPr>
            <w:tcW w:type="dxa" w:w="3249"/>
            <w:vAlign w:val="center"/>
          </w:tcPr>
          <w:p>
            <w:r/>
            <w:r>
              <w:rPr>
                <w:rFonts w:ascii="Figtree" w:hAnsi="Figtree"/>
                <w:b w:val="0"/>
                <w:i w:val="0"/>
                <w:sz w:val="22"/>
              </w:rPr>
              <w:t>Manual reconciliation</w:t>
            </w:r>
          </w:p>
        </w:tc>
        <w:tc>
          <w:tcPr>
            <w:tcW w:type="dxa" w:w="3249"/>
            <w:vAlign w:val="center"/>
          </w:tcPr>
          <w:p>
            <w:r/>
            <w:r>
              <w:rPr>
                <w:rFonts w:ascii="Figtree" w:hAnsi="Figtree"/>
                <w:b w:val="0"/>
                <w:i w:val="0"/>
                <w:sz w:val="22"/>
              </w:rPr>
              <w:t>Reduced to exception handling</w:t>
            </w:r>
          </w:p>
        </w:tc>
        <w:tc>
          <w:tcPr>
            <w:tcW w:type="dxa" w:w="3249"/>
            <w:vAlign w:val="center"/>
          </w:tcPr>
          <w:p>
            <w:r/>
            <w:r>
              <w:rPr>
                <w:rFonts w:ascii="Figtree" w:hAnsi="Figtree"/>
                <w:b w:val="0"/>
                <w:i w:val="0"/>
                <w:sz w:val="22"/>
              </w:rPr>
              <w:t>API-driven bidirectional sync</w:t>
            </w:r>
          </w:p>
        </w:tc>
      </w:tr>
      <w:tr>
        <w:trPr>
          <w:trHeight w:val="454" w:hRule="atLeast"/>
        </w:trPr>
        <w:tc>
          <w:tcPr>
            <w:tcW w:type="dxa" w:w="3249"/>
            <w:vAlign w:val="center"/>
          </w:tcPr>
          <w:p>
            <w:r/>
            <w:r>
              <w:rPr>
                <w:rFonts w:ascii="Figtree" w:hAnsi="Figtree"/>
                <w:b w:val="0"/>
                <w:i w:val="0"/>
                <w:sz w:val="22"/>
              </w:rPr>
              <w:t>Custody intermediaries</w:t>
            </w:r>
          </w:p>
        </w:tc>
        <w:tc>
          <w:tcPr>
            <w:tcW w:type="dxa" w:w="3249"/>
            <w:vAlign w:val="center"/>
          </w:tcPr>
          <w:p>
            <w:r/>
            <w:r>
              <w:rPr>
                <w:rFonts w:ascii="Figtree" w:hAnsi="Figtree"/>
                <w:b w:val="0"/>
                <w:i w:val="0"/>
                <w:sz w:val="22"/>
              </w:rPr>
              <w:t>Bring-your-own; single integration</w:t>
            </w:r>
          </w:p>
        </w:tc>
        <w:tc>
          <w:tcPr>
            <w:tcW w:type="dxa" w:w="3249"/>
            <w:vAlign w:val="center"/>
          </w:tcPr>
          <w:p>
            <w:r/>
            <w:r>
              <w:rPr>
                <w:rFonts w:ascii="Figtree" w:hAnsi="Figtree"/>
                <w:b w:val="0"/>
                <w:i w:val="0"/>
                <w:sz w:val="22"/>
              </w:rPr>
              <w:t>Key Guardian + DFNS/Fireblocks</w:t>
            </w:r>
          </w:p>
        </w:tc>
      </w:tr>
      <w:tr>
        <w:trPr>
          <w:trHeight w:val="454" w:hRule="atLeast"/>
        </w:trPr>
        <w:tc>
          <w:tcPr>
            <w:tcW w:type="dxa" w:w="3249"/>
            <w:vAlign w:val="center"/>
          </w:tcPr>
          <w:p>
            <w:r/>
            <w:r>
              <w:rPr>
                <w:rFonts w:ascii="Figtree" w:hAnsi="Figtree"/>
                <w:b w:val="0"/>
                <w:i w:val="0"/>
                <w:sz w:val="22"/>
              </w:rPr>
              <w:t>Compliance duplication</w:t>
            </w:r>
          </w:p>
        </w:tc>
        <w:tc>
          <w:tcPr>
            <w:tcW w:type="dxa" w:w="3249"/>
            <w:vAlign w:val="center"/>
          </w:tcPr>
          <w:p>
            <w:r/>
            <w:r>
              <w:rPr>
                <w:rFonts w:ascii="Figtree" w:hAnsi="Figtree"/>
                <w:b w:val="0"/>
                <w:i w:val="0"/>
                <w:sz w:val="22"/>
              </w:rPr>
              <w:t>Single compliance engine for all assets</w:t>
            </w:r>
          </w:p>
        </w:tc>
        <w:tc>
          <w:tcPr>
            <w:tcW w:type="dxa" w:w="3249"/>
            <w:vAlign w:val="center"/>
          </w:tcPr>
          <w:p>
            <w:r/>
            <w:r>
              <w:rPr>
                <w:rFonts w:ascii="Figtree" w:hAnsi="Figtree"/>
                <w:b w:val="0"/>
                <w:i w:val="0"/>
                <w:sz w:val="22"/>
              </w:rPr>
              <w:t>On-chain, ex-ante enforcement</w:t>
            </w:r>
          </w:p>
        </w:tc>
      </w:tr>
      <w:tr>
        <w:trPr>
          <w:trHeight w:val="454" w:hRule="atLeast"/>
        </w:trPr>
        <w:tc>
          <w:tcPr>
            <w:tcW w:type="dxa" w:w="3249"/>
            <w:vAlign w:val="center"/>
          </w:tcPr>
          <w:p>
            <w:r/>
            <w:r>
              <w:rPr>
                <w:rFonts w:ascii="Figtree" w:hAnsi="Figtree"/>
                <w:b w:val="0"/>
                <w:i w:val="0"/>
                <w:sz w:val="22"/>
              </w:rPr>
              <w:t>Integration maintenance</w:t>
            </w:r>
          </w:p>
        </w:tc>
        <w:tc>
          <w:tcPr>
            <w:tcW w:type="dxa" w:w="3249"/>
            <w:vAlign w:val="center"/>
          </w:tcPr>
          <w:p>
            <w:r/>
            <w:r>
              <w:rPr>
                <w:rFonts w:ascii="Figtree" w:hAnsi="Figtree"/>
                <w:b w:val="0"/>
                <w:i w:val="0"/>
                <w:sz w:val="22"/>
              </w:rPr>
              <w:t>Unified API surface (REST, SDK, CLI)</w:t>
            </w:r>
          </w:p>
        </w:tc>
        <w:tc>
          <w:tcPr>
            <w:tcW w:type="dxa" w:w="3249"/>
            <w:vAlign w:val="center"/>
          </w:tcPr>
          <w:p>
            <w:r/>
            <w:r>
              <w:rPr>
                <w:rFonts w:ascii="Figtree" w:hAnsi="Figtree"/>
                <w:b w:val="0"/>
                <w:i w:val="0"/>
                <w:sz w:val="22"/>
              </w:rPr>
              <w:t>One integration surface, not many</w:t>
            </w:r>
          </w:p>
        </w:tc>
      </w:tr>
      <w:tr>
        <w:trPr>
          <w:trHeight w:val="454" w:hRule="atLeast"/>
        </w:trPr>
        <w:tc>
          <w:tcPr>
            <w:tcW w:type="dxa" w:w="3249"/>
            <w:vAlign w:val="center"/>
          </w:tcPr>
          <w:p>
            <w:r/>
            <w:r>
              <w:rPr>
                <w:rFonts w:ascii="Figtree" w:hAnsi="Figtree"/>
                <w:b w:val="0"/>
                <w:i w:val="0"/>
                <w:sz w:val="22"/>
              </w:rPr>
              <w:t>Multi-vendor coordination</w:t>
            </w:r>
          </w:p>
        </w:tc>
        <w:tc>
          <w:tcPr>
            <w:tcW w:type="dxa" w:w="3249"/>
            <w:vAlign w:val="center"/>
          </w:tcPr>
          <w:p>
            <w:r/>
            <w:r>
              <w:rPr>
                <w:rFonts w:ascii="Figtree" w:hAnsi="Figtree"/>
                <w:b w:val="0"/>
                <w:i w:val="0"/>
                <w:sz w:val="22"/>
              </w:rPr>
              <w:t>Single platform vendor</w:t>
            </w:r>
          </w:p>
        </w:tc>
        <w:tc>
          <w:tcPr>
            <w:tcW w:type="dxa" w:w="3249"/>
            <w:vAlign w:val="center"/>
          </w:tcPr>
          <w:p>
            <w:r/>
            <w:r>
              <w:rPr>
                <w:rFonts w:ascii="Figtree" w:hAnsi="Figtree"/>
                <w:b w:val="0"/>
                <w:i w:val="0"/>
                <w:sz w:val="22"/>
              </w:rPr>
              <w:t>One SLA, one support contact</w:t>
            </w:r>
          </w:p>
        </w:tc>
      </w:tr>
    </w:tbl>
    <w:p>
      <w:pPr>
        <w:pStyle w:val="H3"/>
        <w:numPr>
          <w:ilvl w:val="2"/>
          <w:numId w:val="1"/>
        </w:numPr>
      </w:pPr>
      <w:r>
        <w:t>ROI Framework</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Value Driver</w:t>
            </w:r>
          </w:p>
        </w:tc>
        <w:tc>
          <w:tcPr>
            <w:tcW w:type="dxa" w:w="1949"/>
            <w:vAlign w:val="center"/>
            <w:shd w:fill="000099" w:val="clear"/>
          </w:tcPr>
          <w:p>
            <w:r>
              <w:rPr>
                <w:b/>
                <w:color w:val="FFFFFF"/>
              </w:rPr>
            </w:r>
            <w:r>
              <w:rPr>
                <w:rFonts w:ascii="Figtree" w:hAnsi="Figtree"/>
                <w:b/>
                <w:i w:val="0"/>
                <w:color w:val="FFFFFF"/>
                <w:sz w:val="22"/>
              </w:rPr>
              <w:t>Baseline (Current)</w:t>
            </w:r>
          </w:p>
        </w:tc>
        <w:tc>
          <w:tcPr>
            <w:tcW w:type="dxa" w:w="1949"/>
            <w:vAlign w:val="center"/>
            <w:shd w:fill="000099" w:val="clear"/>
          </w:tcPr>
          <w:p>
            <w:r>
              <w:rPr>
                <w:b/>
                <w:color w:val="FFFFFF"/>
              </w:rPr>
            </w:r>
            <w:r>
              <w:rPr>
                <w:rFonts w:ascii="Figtree" w:hAnsi="Figtree"/>
                <w:b/>
                <w:i w:val="0"/>
                <w:color w:val="FFFFFF"/>
                <w:sz w:val="22"/>
              </w:rPr>
              <w:t>DALP-Enabled Impact</w:t>
            </w:r>
          </w:p>
        </w:tc>
        <w:tc>
          <w:tcPr>
            <w:tcW w:type="dxa" w:w="1949"/>
            <w:vAlign w:val="center"/>
            <w:shd w:fill="000099" w:val="clear"/>
          </w:tcPr>
          <w:p>
            <w:r>
              <w:rPr>
                <w:b/>
                <w:color w:val="FFFFFF"/>
              </w:rPr>
            </w:r>
            <w:r>
              <w:rPr>
                <w:rFonts w:ascii="Figtree" w:hAnsi="Figtree"/>
                <w:b/>
                <w:i w:val="0"/>
                <w:color w:val="FFFFFF"/>
                <w:sz w:val="22"/>
              </w:rPr>
              <w:t>Method</w:t>
            </w:r>
          </w:p>
        </w:tc>
        <w:tc>
          <w:tcPr>
            <w:tcW w:type="dxa" w:w="1949"/>
            <w:vAlign w:val="center"/>
            <w:shd w:fill="000099" w:val="clear"/>
          </w:tcPr>
          <w:p>
            <w:r>
              <w:rPr>
                <w:b/>
                <w:color w:val="FFFFFF"/>
              </w:rPr>
            </w:r>
            <w:r>
              <w:rPr>
                <w:rFonts w:ascii="Figtree" w:hAnsi="Figtree"/>
                <w:b/>
                <w:i w:val="0"/>
                <w:color w:val="FFFFFF"/>
                <w:sz w:val="22"/>
              </w:rPr>
              <w:t>Owner</w:t>
            </w:r>
          </w:p>
        </w:tc>
      </w:tr>
      <w:tr>
        <w:trPr>
          <w:trHeight w:val="454" w:hRule="atLeast"/>
        </w:trPr>
        <w:tc>
          <w:tcPr>
            <w:tcW w:type="dxa" w:w="1949"/>
            <w:vAlign w:val="center"/>
          </w:tcPr>
          <w:p>
            <w:r/>
            <w:r>
              <w:rPr>
                <w:rFonts w:ascii="Figtree" w:hAnsi="Figtree"/>
                <w:b w:val="0"/>
                <w:i w:val="0"/>
                <w:sz w:val="22"/>
              </w:rPr>
              <w:t>Settlement efficiency</w:t>
            </w:r>
          </w:p>
        </w:tc>
        <w:tc>
          <w:tcPr>
            <w:tcW w:type="dxa" w:w="1949"/>
            <w:vAlign w:val="center"/>
          </w:tcPr>
          <w:p>
            <w:r/>
            <w:r>
              <w:rPr>
                <w:rFonts w:ascii="Figtree" w:hAnsi="Figtree"/>
                <w:b w:val="0"/>
                <w:i w:val="0"/>
                <w:sz w:val="22"/>
              </w:rPr>
              <w:t>T+2 to T+5</w:t>
            </w:r>
          </w:p>
        </w:tc>
        <w:tc>
          <w:tcPr>
            <w:tcW w:type="dxa" w:w="1949"/>
            <w:vAlign w:val="center"/>
          </w:tcPr>
          <w:p>
            <w:r/>
            <w:r>
              <w:rPr>
                <w:rFonts w:ascii="Figtree" w:hAnsi="Figtree"/>
                <w:b w:val="0"/>
                <w:i w:val="0"/>
                <w:sz w:val="22"/>
              </w:rPr>
              <w:t>T+0 deterministic</w:t>
            </w:r>
          </w:p>
        </w:tc>
        <w:tc>
          <w:tcPr>
            <w:tcW w:type="dxa" w:w="1949"/>
            <w:vAlign w:val="center"/>
          </w:tcPr>
          <w:p>
            <w:r/>
            <w:r>
              <w:rPr>
                <w:rFonts w:ascii="Figtree" w:hAnsi="Figtree"/>
                <w:b w:val="0"/>
                <w:i w:val="0"/>
                <w:sz w:val="22"/>
              </w:rPr>
              <w:t>Atomic DvP</w:t>
            </w:r>
          </w:p>
        </w:tc>
        <w:tc>
          <w:tcPr>
            <w:tcW w:type="dxa" w:w="1949"/>
            <w:vAlign w:val="center"/>
          </w:tcPr>
          <w:p>
            <w:r/>
            <w:r>
              <w:rPr>
                <w:rFonts w:ascii="Figtree" w:hAnsi="Figtree"/>
                <w:b w:val="0"/>
                <w:i w:val="0"/>
                <w:sz w:val="22"/>
              </w:rPr>
              <w:t>Joint</w:t>
            </w:r>
          </w:p>
        </w:tc>
      </w:tr>
      <w:tr>
        <w:trPr>
          <w:trHeight w:val="454" w:hRule="atLeast"/>
        </w:trPr>
        <w:tc>
          <w:tcPr>
            <w:tcW w:type="dxa" w:w="1949"/>
            <w:vAlign w:val="center"/>
          </w:tcPr>
          <w:p>
            <w:r/>
            <w:r>
              <w:rPr>
                <w:rFonts w:ascii="Figtree" w:hAnsi="Figtree"/>
                <w:b w:val="0"/>
                <w:i w:val="0"/>
                <w:sz w:val="22"/>
              </w:rPr>
              <w:t>Reconciliation cost</w:t>
            </w:r>
          </w:p>
        </w:tc>
        <w:tc>
          <w:tcPr>
            <w:tcW w:type="dxa" w:w="1949"/>
            <w:vAlign w:val="center"/>
          </w:tcPr>
          <w:p>
            <w:r/>
            <w:r>
              <w:rPr>
                <w:rFonts w:ascii="Figtree" w:hAnsi="Figtree"/>
                <w:b w:val="0"/>
                <w:i w:val="0"/>
                <w:sz w:val="22"/>
              </w:rPr>
              <w:t>15–25 person-days/month</w:t>
            </w:r>
          </w:p>
        </w:tc>
        <w:tc>
          <w:tcPr>
            <w:tcW w:type="dxa" w:w="1949"/>
            <w:vAlign w:val="center"/>
          </w:tcPr>
          <w:p>
            <w:r/>
            <w:r>
              <w:rPr>
                <w:rFonts w:ascii="Figtree" w:hAnsi="Figtree"/>
                <w:b w:val="0"/>
                <w:i w:val="0"/>
                <w:sz w:val="22"/>
              </w:rPr>
              <w:t>3–5 person-days/month</w:t>
            </w:r>
          </w:p>
        </w:tc>
        <w:tc>
          <w:tcPr>
            <w:tcW w:type="dxa" w:w="1949"/>
            <w:vAlign w:val="center"/>
          </w:tcPr>
          <w:p>
            <w:r/>
            <w:r>
              <w:rPr>
                <w:rFonts w:ascii="Figtree" w:hAnsi="Figtree"/>
                <w:b w:val="0"/>
                <w:i w:val="0"/>
                <w:sz w:val="22"/>
              </w:rPr>
              <w:t>API automation</w:t>
            </w:r>
          </w:p>
        </w:tc>
        <w:tc>
          <w:tcPr>
            <w:tcW w:type="dxa" w:w="1949"/>
            <w:vAlign w:val="center"/>
          </w:tcPr>
          <w:p>
            <w:r/>
            <w:r>
              <w:rPr>
                <w:rFonts w:ascii="Figtree" w:hAnsi="Figtree"/>
                <w:b w:val="0"/>
                <w:i w:val="0"/>
                <w:sz w:val="22"/>
              </w:rPr>
              <w:t>Emirates NBD</w:t>
            </w:r>
          </w:p>
        </w:tc>
      </w:tr>
      <w:tr>
        <w:trPr>
          <w:trHeight w:val="454" w:hRule="atLeast"/>
        </w:trPr>
        <w:tc>
          <w:tcPr>
            <w:tcW w:type="dxa" w:w="1949"/>
            <w:vAlign w:val="center"/>
          </w:tcPr>
          <w:p>
            <w:r/>
            <w:r>
              <w:rPr>
                <w:rFonts w:ascii="Figtree" w:hAnsi="Figtree"/>
                <w:b w:val="0"/>
                <w:i w:val="0"/>
                <w:sz w:val="22"/>
              </w:rPr>
              <w:t>Custody cost reduction</w:t>
            </w:r>
          </w:p>
        </w:tc>
        <w:tc>
          <w:tcPr>
            <w:tcW w:type="dxa" w:w="1949"/>
            <w:vAlign w:val="center"/>
          </w:tcPr>
          <w:p>
            <w:r/>
            <w:r>
              <w:rPr>
                <w:rFonts w:ascii="Figtree" w:hAnsi="Figtree"/>
                <w:b w:val="0"/>
                <w:i w:val="0"/>
                <w:sz w:val="22"/>
              </w:rPr>
              <w:t>Multiple intermediary fees</w:t>
            </w:r>
          </w:p>
        </w:tc>
        <w:tc>
          <w:tcPr>
            <w:tcW w:type="dxa" w:w="1949"/>
            <w:vAlign w:val="center"/>
          </w:tcPr>
          <w:p>
            <w:r/>
            <w:r>
              <w:rPr>
                <w:rFonts w:ascii="Figtree" w:hAnsi="Figtree"/>
                <w:b w:val="0"/>
                <w:i w:val="0"/>
                <w:sz w:val="22"/>
              </w:rPr>
              <w:t>Single provider fee</w:t>
            </w:r>
          </w:p>
        </w:tc>
        <w:tc>
          <w:tcPr>
            <w:tcW w:type="dxa" w:w="1949"/>
            <w:vAlign w:val="center"/>
          </w:tcPr>
          <w:p>
            <w:r/>
            <w:r>
              <w:rPr>
                <w:rFonts w:ascii="Figtree" w:hAnsi="Figtree"/>
                <w:b w:val="0"/>
                <w:i w:val="0"/>
                <w:sz w:val="22"/>
              </w:rPr>
              <w:t>BYOC model</w:t>
            </w:r>
          </w:p>
        </w:tc>
        <w:tc>
          <w:tcPr>
            <w:tcW w:type="dxa" w:w="1949"/>
            <w:vAlign w:val="center"/>
          </w:tcPr>
          <w:p>
            <w:r/>
            <w:r>
              <w:rPr>
                <w:rFonts w:ascii="Figtree" w:hAnsi="Figtree"/>
                <w:b w:val="0"/>
                <w:i w:val="0"/>
                <w:sz w:val="22"/>
              </w:rPr>
              <w:t>Emirates NBD</w:t>
            </w:r>
          </w:p>
        </w:tc>
      </w:tr>
      <w:tr>
        <w:trPr>
          <w:trHeight w:val="454" w:hRule="atLeast"/>
        </w:trPr>
        <w:tc>
          <w:tcPr>
            <w:tcW w:type="dxa" w:w="1949"/>
            <w:vAlign w:val="center"/>
          </w:tcPr>
          <w:p>
            <w:r/>
            <w:r>
              <w:rPr>
                <w:rFonts w:ascii="Figtree" w:hAnsi="Figtree"/>
                <w:b w:val="0"/>
                <w:i w:val="0"/>
                <w:sz w:val="22"/>
              </w:rPr>
              <w:t>Time-to-market (new products)</w:t>
            </w:r>
          </w:p>
        </w:tc>
        <w:tc>
          <w:tcPr>
            <w:tcW w:type="dxa" w:w="1949"/>
            <w:vAlign w:val="center"/>
          </w:tcPr>
          <w:p>
            <w:r/>
            <w:r>
              <w:rPr>
                <w:rFonts w:ascii="Figtree" w:hAnsi="Figtree"/>
                <w:b w:val="0"/>
                <w:i w:val="0"/>
                <w:sz w:val="22"/>
              </w:rPr>
              <w:t>6–12 months per product</w:t>
            </w:r>
          </w:p>
        </w:tc>
        <w:tc>
          <w:tcPr>
            <w:tcW w:type="dxa" w:w="1949"/>
            <w:vAlign w:val="center"/>
          </w:tcPr>
          <w:p>
            <w:r/>
            <w:r>
              <w:rPr>
                <w:rFonts w:ascii="Figtree" w:hAnsi="Figtree"/>
                <w:b w:val="0"/>
                <w:i w:val="0"/>
                <w:sz w:val="22"/>
              </w:rPr>
              <w:t>2–4 weeks (configuration)</w:t>
            </w:r>
          </w:p>
        </w:tc>
        <w:tc>
          <w:tcPr>
            <w:tcW w:type="dxa" w:w="1949"/>
            <w:vAlign w:val="center"/>
          </w:tcPr>
          <w:p>
            <w:r/>
            <w:r>
              <w:rPr>
                <w:rFonts w:ascii="Figtree" w:hAnsi="Figtree"/>
                <w:b w:val="0"/>
                <w:i w:val="0"/>
                <w:sz w:val="22"/>
              </w:rPr>
              <w:t>DALPAsset</w:t>
            </w:r>
          </w:p>
        </w:tc>
        <w:tc>
          <w:tcPr>
            <w:tcW w:type="dxa" w:w="1949"/>
            <w:vAlign w:val="center"/>
          </w:tcPr>
          <w:p>
            <w:r/>
            <w:r>
              <w:rPr>
                <w:rFonts w:ascii="Figtree" w:hAnsi="Figtree"/>
                <w:b w:val="0"/>
                <w:i w:val="0"/>
                <w:sz w:val="22"/>
              </w:rPr>
              <w:t>SettleMint</w:t>
            </w:r>
          </w:p>
        </w:tc>
      </w:tr>
      <w:tr>
        <w:trPr>
          <w:trHeight w:val="454" w:hRule="atLeast"/>
        </w:trPr>
        <w:tc>
          <w:tcPr>
            <w:tcW w:type="dxa" w:w="1949"/>
            <w:vAlign w:val="center"/>
          </w:tcPr>
          <w:p>
            <w:r/>
            <w:r>
              <w:rPr>
                <w:rFonts w:ascii="Figtree" w:hAnsi="Figtree"/>
                <w:b w:val="0"/>
                <w:i w:val="0"/>
                <w:sz w:val="22"/>
              </w:rPr>
              <w:t>Compliance audit cost</w:t>
            </w:r>
          </w:p>
        </w:tc>
        <w:tc>
          <w:tcPr>
            <w:tcW w:type="dxa" w:w="1949"/>
            <w:vAlign w:val="center"/>
          </w:tcPr>
          <w:p>
            <w:r/>
            <w:r>
              <w:rPr>
                <w:rFonts w:ascii="Figtree" w:hAnsi="Figtree"/>
                <w:b w:val="0"/>
                <w:i w:val="0"/>
                <w:sz w:val="22"/>
              </w:rPr>
              <w:t>Manual evidence gathering</w:t>
            </w:r>
          </w:p>
        </w:tc>
        <w:tc>
          <w:tcPr>
            <w:tcW w:type="dxa" w:w="1949"/>
            <w:vAlign w:val="center"/>
          </w:tcPr>
          <w:p>
            <w:r/>
            <w:r>
              <w:rPr>
                <w:rFonts w:ascii="Figtree" w:hAnsi="Figtree"/>
                <w:b w:val="0"/>
                <w:i w:val="0"/>
                <w:sz w:val="22"/>
              </w:rPr>
              <w:t>Automated extraction</w:t>
            </w:r>
          </w:p>
        </w:tc>
        <w:tc>
          <w:tcPr>
            <w:tcW w:type="dxa" w:w="1949"/>
            <w:vAlign w:val="center"/>
          </w:tcPr>
          <w:p>
            <w:r/>
            <w:r>
              <w:rPr>
                <w:rFonts w:ascii="Figtree" w:hAnsi="Figtree"/>
                <w:b w:val="0"/>
                <w:i w:val="0"/>
                <w:sz w:val="22"/>
              </w:rPr>
              <w:t>GraphQL + templates</w:t>
            </w:r>
          </w:p>
        </w:tc>
        <w:tc>
          <w:tcPr>
            <w:tcW w:type="dxa" w:w="1949"/>
            <w:vAlign w:val="center"/>
          </w:tcPr>
          <w:p>
            <w:r/>
            <w:r>
              <w:rPr>
                <w:rFonts w:ascii="Figtree" w:hAnsi="Figtree"/>
                <w:b w:val="0"/>
                <w:i w:val="0"/>
                <w:sz w:val="22"/>
              </w:rPr>
              <w:t>Joint</w:t>
            </w:r>
          </w:p>
        </w:tc>
      </w:tr>
      <w:tr>
        <w:trPr>
          <w:trHeight w:val="454" w:hRule="atLeast"/>
        </w:trPr>
        <w:tc>
          <w:tcPr>
            <w:tcW w:type="dxa" w:w="1949"/>
            <w:vAlign w:val="center"/>
          </w:tcPr>
          <w:p>
            <w:r/>
            <w:r>
              <w:rPr>
                <w:rFonts w:ascii="Figtree" w:hAnsi="Figtree"/>
                <w:b w:val="0"/>
                <w:i w:val="0"/>
                <w:sz w:val="22"/>
              </w:rPr>
              <w:t>Reference benchmark</w:t>
            </w:r>
          </w:p>
        </w:tc>
        <w:tc>
          <w:tcPr>
            <w:tcW w:type="dxa" w:w="1949"/>
            <w:vAlign w:val="center"/>
          </w:tcPr>
          <w:p>
            <w:r/>
            <w:r>
              <w:rPr>
                <w:rFonts w:ascii="Figtree" w:hAnsi="Figtree"/>
                <w:b w:val="0"/>
                <w:i w:val="0"/>
                <w:sz w:val="22"/>
              </w:rPr>
              <w:t>Commerzbank: EUR 7M/year savings</w:t>
            </w:r>
          </w:p>
        </w:tc>
        <w:tc>
          <w:tcPr>
            <w:tcW w:type="dxa" w:w="1949"/>
            <w:vAlign w:val="center"/>
          </w:tcPr>
          <w:p>
            <w:r/>
            <w:r>
              <w:rPr>
                <w:rFonts w:ascii="Figtree" w:hAnsi="Figtree"/>
                <w:b w:val="0"/>
                <w:i w:val="0"/>
                <w:sz w:val="22"/>
              </w:rPr>
              <w:t>Scale-adjusted for Emirates NBD</w:t>
            </w:r>
          </w:p>
        </w:tc>
        <w:tc>
          <w:tcPr>
            <w:tcW w:type="dxa" w:w="1949"/>
            <w:vAlign w:val="center"/>
          </w:tcPr>
          <w:p>
            <w:r/>
            <w:r>
              <w:rPr>
                <w:rFonts w:ascii="Figtree" w:hAnsi="Figtree"/>
                <w:b w:val="0"/>
                <w:i w:val="0"/>
                <w:sz w:val="22"/>
              </w:rPr>
              <w:t>Proven model</w:t>
            </w:r>
          </w:p>
        </w:tc>
        <w:tc>
          <w:tcPr>
            <w:tcW w:type="dxa" w:w="1949"/>
            <w:vAlign w:val="center"/>
          </w:tcPr>
          <w:p>
            <w:r/>
            <w:r>
              <w:rPr>
                <w:rFonts w:ascii="Figtree" w:hAnsi="Figtree"/>
                <w:b w:val="0"/>
                <w:i w:val="0"/>
                <w:sz w:val="22"/>
              </w:rPr>
              <w:t>—</w:t>
            </w:r>
          </w:p>
        </w:tc>
      </w:tr>
    </w:tbl>
    <w:p>
      <w:r>
        <w:rPr>
          <w:rFonts w:ascii="Figtree" w:hAnsi="Figtree"/>
          <w:b/>
          <w:i w:val="0"/>
          <w:sz w:val="22"/>
        </w:rPr>
        <w:t>Assumptions requiring workshop validation:</w:t>
      </w:r>
    </w:p>
    <w:p>
      <w:pPr>
        <w:pStyle w:val="ListParagraph"/>
        <w:numPr>
          <w:ilvl w:val="0"/>
          <w:numId w:val="4"/>
        </w:numPr>
      </w:pPr>
      <w:r>
        <w:rPr>
          <w:rFonts w:ascii="Figtree" w:hAnsi="Figtree"/>
          <w:b w:val="0"/>
          <w:i w:val="0"/>
          <w:sz w:val="22"/>
        </w:rPr>
        <w:t>Current reconciliation effort (person-days per month)</w:t>
      </w:r>
    </w:p>
    <w:p>
      <w:pPr>
        <w:pStyle w:val="ListParagraph"/>
        <w:numPr>
          <w:ilvl w:val="0"/>
          <w:numId w:val="4"/>
        </w:numPr>
      </w:pPr>
      <w:r>
        <w:rPr>
          <w:rFonts w:ascii="Figtree" w:hAnsi="Figtree"/>
          <w:b w:val="0"/>
          <w:i w:val="0"/>
          <w:sz w:val="22"/>
        </w:rPr>
        <w:t>Custody intermediary cost baseline</w:t>
      </w:r>
    </w:p>
    <w:p>
      <w:pPr>
        <w:pStyle w:val="ListParagraph"/>
        <w:numPr>
          <w:ilvl w:val="0"/>
          <w:numId w:val="4"/>
        </w:numPr>
      </w:pPr>
      <w:r>
        <w:rPr>
          <w:rFonts w:ascii="Figtree" w:hAnsi="Figtree"/>
          <w:b w:val="0"/>
          <w:i w:val="0"/>
          <w:sz w:val="22"/>
        </w:rPr>
        <w:t>Trade finance volume projections</w:t>
      </w:r>
    </w:p>
    <w:p>
      <w:pPr>
        <w:pStyle w:val="ListParagraph"/>
        <w:numPr>
          <w:ilvl w:val="0"/>
          <w:numId w:val="4"/>
        </w:numPr>
      </w:pPr>
      <w:r>
        <w:rPr>
          <w:rFonts w:ascii="Figtree" w:hAnsi="Figtree"/>
          <w:b w:val="0"/>
          <w:i w:val="0"/>
          <w:sz w:val="22"/>
        </w:rPr>
        <w:t>Deposit product launch timeline</w:t>
      </w:r>
    </w:p>
    <w:p>
      <w:r>
        <w:br w:type="page"/>
      </w:r>
    </w:p>
    <w:p>
      <w:pPr>
        <w:pStyle w:val="H2"/>
        <w:numPr>
          <w:ilvl w:val="1"/>
          <w:numId w:val="1"/>
        </w:numPr>
      </w:pPr>
      <w:r>
        <w:t>Licensing Model</w:t>
      </w:r>
    </w:p>
    <w:p>
      <w:pPr>
        <w:pStyle w:val="H3"/>
        <w:numPr>
          <w:ilvl w:val="2"/>
          <w:numId w:val="1"/>
        </w:numPr>
      </w:pPr>
      <w:r>
        <w:t>Platform Licensing Philosophy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Principle</w:t>
            </w:r>
          </w:p>
        </w:tc>
        <w:tc>
          <w:tcPr>
            <w:tcW w:type="dxa" w:w="4873"/>
            <w:vAlign w:val="center"/>
            <w:shd w:fill="000099" w:val="clear"/>
          </w:tcPr>
          <w:p>
            <w:r>
              <w:rPr>
                <w:b/>
                <w:color w:val="FFFFFF"/>
              </w:rPr>
            </w:r>
            <w:r>
              <w:rPr>
                <w:rFonts w:ascii="Figtree" w:hAnsi="Figtree"/>
                <w:b/>
                <w:i w:val="0"/>
                <w:color w:val="FFFFFF"/>
                <w:sz w:val="22"/>
              </w:rPr>
              <w:t>What It Means for Emirates NBD</w:t>
            </w:r>
          </w:p>
        </w:tc>
      </w:tr>
      <w:tr>
        <w:trPr>
          <w:trHeight w:val="454" w:hRule="atLeast"/>
        </w:trPr>
        <w:tc>
          <w:tcPr>
            <w:tcW w:type="dxa" w:w="4873"/>
            <w:vAlign w:val="center"/>
          </w:tcPr>
          <w:p>
            <w:r/>
            <w:r>
              <w:rPr>
                <w:rFonts w:ascii="Figtree" w:hAnsi="Figtree"/>
                <w:b w:val="0"/>
                <w:i w:val="0"/>
                <w:sz w:val="22"/>
              </w:rPr>
              <w:t>No per-transaction fees</w:t>
            </w:r>
          </w:p>
        </w:tc>
        <w:tc>
          <w:tcPr>
            <w:tcW w:type="dxa" w:w="4873"/>
            <w:vAlign w:val="center"/>
          </w:tcPr>
          <w:p>
            <w:r/>
            <w:r>
              <w:rPr>
                <w:rFonts w:ascii="Figtree" w:hAnsi="Figtree"/>
                <w:b w:val="0"/>
                <w:i w:val="0"/>
                <w:sz w:val="22"/>
              </w:rPr>
              <w:t>Every compliance check, transfer, settlement, and trade event is included</w:t>
            </w:r>
          </w:p>
        </w:tc>
      </w:tr>
      <w:tr>
        <w:trPr>
          <w:trHeight w:val="454" w:hRule="atLeast"/>
        </w:trPr>
        <w:tc>
          <w:tcPr>
            <w:tcW w:type="dxa" w:w="4873"/>
            <w:vAlign w:val="center"/>
          </w:tcPr>
          <w:p>
            <w:r/>
            <w:r>
              <w:rPr>
                <w:rFonts w:ascii="Figtree" w:hAnsi="Figtree"/>
                <w:b w:val="0"/>
                <w:i w:val="0"/>
                <w:sz w:val="22"/>
              </w:rPr>
              <w:t>No per-token fees</w:t>
            </w:r>
          </w:p>
        </w:tc>
        <w:tc>
          <w:tcPr>
            <w:tcW w:type="dxa" w:w="4873"/>
            <w:vAlign w:val="center"/>
          </w:tcPr>
          <w:p>
            <w:r/>
            <w:r>
              <w:rPr>
                <w:rFonts w:ascii="Figtree" w:hAnsi="Figtree"/>
                <w:b w:val="0"/>
                <w:i w:val="0"/>
                <w:sz w:val="22"/>
              </w:rPr>
              <w:t>Additional product types carry no incremental license cost</w:t>
            </w:r>
          </w:p>
        </w:tc>
      </w:tr>
      <w:tr>
        <w:trPr>
          <w:trHeight w:val="454" w:hRule="atLeast"/>
        </w:trPr>
        <w:tc>
          <w:tcPr>
            <w:tcW w:type="dxa" w:w="4873"/>
            <w:vAlign w:val="center"/>
          </w:tcPr>
          <w:p>
            <w:r/>
            <w:r>
              <w:rPr>
                <w:rFonts w:ascii="Figtree" w:hAnsi="Figtree"/>
                <w:b w:val="0"/>
                <w:i w:val="0"/>
                <w:sz w:val="22"/>
              </w:rPr>
              <w:t>No per-user fees</w:t>
            </w:r>
          </w:p>
        </w:tc>
        <w:tc>
          <w:tcPr>
            <w:tcW w:type="dxa" w:w="4873"/>
            <w:vAlign w:val="center"/>
          </w:tcPr>
          <w:p>
            <w:r/>
            <w:r>
              <w:rPr>
                <w:rFonts w:ascii="Figtree" w:hAnsi="Figtree"/>
                <w:b w:val="0"/>
                <w:i w:val="0"/>
                <w:sz w:val="22"/>
              </w:rPr>
              <w:t>Growing counterparty networks and investor base is a business outcome, not a cost driver</w:t>
            </w:r>
          </w:p>
        </w:tc>
      </w:tr>
      <w:tr>
        <w:trPr>
          <w:trHeight w:val="454" w:hRule="atLeast"/>
        </w:trPr>
        <w:tc>
          <w:tcPr>
            <w:tcW w:type="dxa" w:w="4873"/>
            <w:vAlign w:val="center"/>
          </w:tcPr>
          <w:p>
            <w:r/>
            <w:r>
              <w:rPr>
                <w:rFonts w:ascii="Figtree" w:hAnsi="Figtree"/>
                <w:b w:val="0"/>
                <w:i w:val="0"/>
                <w:sz w:val="22"/>
              </w:rPr>
              <w:t>Predictable annual subscription</w:t>
            </w:r>
          </w:p>
        </w:tc>
        <w:tc>
          <w:tcPr>
            <w:tcW w:type="dxa" w:w="4873"/>
            <w:vAlign w:val="center"/>
          </w:tcPr>
          <w:p>
            <w:r/>
            <w:r>
              <w:rPr>
                <w:rFonts w:ascii="Figtree" w:hAnsi="Figtree"/>
                <w:b w:val="0"/>
                <w:i w:val="0"/>
                <w:sz w:val="22"/>
              </w:rPr>
              <w:t>Budget certainty for multi-year planning</w:t>
            </w:r>
          </w:p>
        </w:tc>
      </w:tr>
      <w:tr>
        <w:trPr>
          <w:trHeight w:val="454" w:hRule="atLeast"/>
        </w:trPr>
        <w:tc>
          <w:tcPr>
            <w:tcW w:type="dxa" w:w="4873"/>
            <w:vAlign w:val="center"/>
          </w:tcPr>
          <w:p>
            <w:r/>
            <w:r>
              <w:rPr>
                <w:rFonts w:ascii="Figtree" w:hAnsi="Figtree"/>
                <w:b w:val="0"/>
                <w:i w:val="0"/>
                <w:sz w:val="22"/>
              </w:rPr>
              <w:t>Full platform capabilities included</w:t>
            </w:r>
          </w:p>
        </w:tc>
        <w:tc>
          <w:tcPr>
            <w:tcW w:type="dxa" w:w="4873"/>
            <w:vAlign w:val="center"/>
          </w:tcPr>
          <w:p>
            <w:r/>
            <w:r>
              <w:rPr>
                <w:rFonts w:ascii="Figtree" w:hAnsi="Figtree"/>
                <w:b w:val="0"/>
                <w:i w:val="0"/>
                <w:sz w:val="22"/>
              </w:rPr>
              <w:t>All lifecycle pillars, compliance modules, API surface, observability tools</w:t>
            </w:r>
          </w:p>
        </w:tc>
      </w:tr>
    </w:tbl>
    <w:p>
      <w:pPr>
        <w:pStyle w:val="H3"/>
        <w:numPr>
          <w:ilvl w:val="2"/>
          <w:numId w:val="1"/>
        </w:numPr>
      </w:pPr>
      <w:r>
        <w:t>What the License Includes</w:t>
      </w:r>
    </w:p>
    <w:p>
      <w:r>
        <w:rPr>
          <w:rFonts w:ascii="Figtree" w:hAnsi="Figtree"/>
          <w:b w:val="0"/>
          <w:i w:val="0"/>
          <w:sz w:val="22"/>
        </w:rPr>
        <w:t>The Enterprise license provides access to:</w:t>
      </w:r>
    </w:p>
    <w:p>
      <w:pPr>
        <w:pStyle w:val="ListParagraph"/>
        <w:numPr>
          <w:ilvl w:val="0"/>
          <w:numId w:val="4"/>
        </w:numPr>
      </w:pPr>
      <w:r>
        <w:rPr>
          <w:rFonts w:ascii="Figtree" w:hAnsi="Figtree"/>
          <w:b w:val="0"/>
          <w:i w:val="0"/>
          <w:sz w:val="22"/>
        </w:rPr>
        <w:t>All five lifecycle pillars: Issuance, Compliance, Custody Integration, Settlement, and Servicing</w:t>
      </w:r>
    </w:p>
    <w:p>
      <w:pPr>
        <w:pStyle w:val="ListParagraph"/>
        <w:numPr>
          <w:ilvl w:val="0"/>
          <w:numId w:val="4"/>
        </w:numPr>
      </w:pPr>
      <w:r>
        <w:rPr>
          <w:rFonts w:ascii="Figtree" w:hAnsi="Figtree"/>
          <w:b w:val="0"/>
          <w:i w:val="0"/>
          <w:sz w:val="22"/>
        </w:rPr>
        <w:t>All seven asset classes (bonds, equities, funds, stablecoins, deposits, real estate, precious metals) plus Configurable Token</w:t>
      </w:r>
    </w:p>
    <w:p>
      <w:pPr>
        <w:pStyle w:val="ListParagraph"/>
        <w:numPr>
          <w:ilvl w:val="0"/>
          <w:numId w:val="4"/>
        </w:numPr>
      </w:pPr>
      <w:r>
        <w:rPr>
          <w:rFonts w:ascii="Figtree" w:hAnsi="Figtree"/>
          <w:b w:val="0"/>
          <w:i w:val="0"/>
          <w:sz w:val="22"/>
        </w:rPr>
        <w:t>All 18 compliance module types — no per-module licensing</w:t>
      </w:r>
    </w:p>
    <w:p>
      <w:pPr>
        <w:pStyle w:val="ListParagraph"/>
        <w:numPr>
          <w:ilvl w:val="0"/>
          <w:numId w:val="4"/>
        </w:numPr>
      </w:pPr>
      <w:r>
        <w:rPr>
          <w:rFonts w:ascii="Figtree" w:hAnsi="Figtree"/>
          <w:b w:val="0"/>
          <w:i w:val="0"/>
          <w:sz w:val="22"/>
        </w:rPr>
        <w:t>Full API surface: REST API v2, GraphQL, webhooks, TypeScript SDK, CLI (301 commands)</w:t>
      </w:r>
    </w:p>
    <w:p>
      <w:pPr>
        <w:pStyle w:val="ListParagraph"/>
        <w:numPr>
          <w:ilvl w:val="0"/>
          <w:numId w:val="4"/>
        </w:numPr>
      </w:pPr>
      <w:r>
        <w:rPr>
          <w:rFonts w:ascii="Figtree" w:hAnsi="Figtree"/>
          <w:b w:val="0"/>
          <w:i w:val="0"/>
          <w:sz w:val="22"/>
        </w:rPr>
        <w:t>Addon capabilities: XvP settlement, vault management, token sales, airdrop, yield schedules</w:t>
      </w:r>
    </w:p>
    <w:p>
      <w:pPr>
        <w:pStyle w:val="ListParagraph"/>
        <w:numPr>
          <w:ilvl w:val="0"/>
          <w:numId w:val="4"/>
        </w:numPr>
      </w:pPr>
      <w:r>
        <w:rPr>
          <w:rFonts w:ascii="Figtree" w:hAnsi="Figtree"/>
          <w:b w:val="0"/>
          <w:i w:val="0"/>
          <w:sz w:val="22"/>
        </w:rPr>
        <w:t>Observability stack: Grafana dashboards, metrics, logs, traces, automated alerting</w:t>
      </w:r>
    </w:p>
    <w:p>
      <w:pPr>
        <w:pStyle w:val="ListParagraph"/>
        <w:numPr>
          <w:ilvl w:val="0"/>
          <w:numId w:val="4"/>
        </w:numPr>
      </w:pPr>
      <w:r>
        <w:rPr>
          <w:rFonts w:ascii="Figtree" w:hAnsi="Figtree"/>
          <w:b w:val="0"/>
          <w:i w:val="0"/>
          <w:sz w:val="22"/>
        </w:rPr>
        <w:t>Platform updates and security patches during the license term</w:t>
      </w:r>
    </w:p>
    <w:p>
      <w:pPr>
        <w:pStyle w:val="H3"/>
        <w:numPr>
          <w:ilvl w:val="2"/>
          <w:numId w:val="1"/>
        </w:numPr>
      </w:pPr>
      <w:r>
        <w:t>Recommended Tier: Enterprise (Tier 2)</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Dimension</w:t>
            </w:r>
          </w:p>
        </w:tc>
        <w:tc>
          <w:tcPr>
            <w:tcW w:type="dxa" w:w="4873"/>
            <w:vAlign w:val="center"/>
            <w:shd w:fill="000099" w:val="clear"/>
          </w:tcPr>
          <w:p>
            <w:r>
              <w:rPr>
                <w:b/>
                <w:color w:val="FFFFFF"/>
              </w:rPr>
            </w:r>
            <w:r>
              <w:rPr>
                <w:rFonts w:ascii="Figtree" w:hAnsi="Figtree"/>
                <w:b/>
                <w:i w:val="0"/>
                <w:color w:val="FFFFFF"/>
                <w:sz w:val="22"/>
              </w:rPr>
              <w:t>Enterprise Configuration for Emirates NBD</w:t>
            </w:r>
          </w:p>
        </w:tc>
      </w:tr>
      <w:tr>
        <w:trPr>
          <w:trHeight w:val="454" w:hRule="atLeast"/>
        </w:trPr>
        <w:tc>
          <w:tcPr>
            <w:tcW w:type="dxa" w:w="4873"/>
            <w:vAlign w:val="center"/>
          </w:tcPr>
          <w:p>
            <w:r/>
            <w:r>
              <w:rPr>
                <w:rFonts w:ascii="Figtree" w:hAnsi="Figtree"/>
                <w:b w:val="0"/>
                <w:i w:val="0"/>
                <w:sz w:val="22"/>
              </w:rPr>
              <w:t>Environments</w:t>
            </w:r>
          </w:p>
        </w:tc>
        <w:tc>
          <w:tcPr>
            <w:tcW w:type="dxa" w:w="4873"/>
            <w:vAlign w:val="center"/>
          </w:tcPr>
          <w:p>
            <w:r/>
            <w:r>
              <w:rPr>
                <w:rFonts w:ascii="Figtree" w:hAnsi="Figtree"/>
                <w:b w:val="0"/>
                <w:i w:val="0"/>
                <w:sz w:val="22"/>
              </w:rPr>
              <w:t>Development + UAT/Staging + DR + Production</w:t>
            </w:r>
          </w:p>
        </w:tc>
      </w:tr>
      <w:tr>
        <w:trPr>
          <w:trHeight w:val="454" w:hRule="atLeast"/>
        </w:trPr>
        <w:tc>
          <w:tcPr>
            <w:tcW w:type="dxa" w:w="4873"/>
            <w:vAlign w:val="center"/>
          </w:tcPr>
          <w:p>
            <w:r/>
            <w:r>
              <w:rPr>
                <w:rFonts w:ascii="Figtree" w:hAnsi="Figtree"/>
                <w:b w:val="0"/>
                <w:i w:val="0"/>
                <w:sz w:val="22"/>
              </w:rPr>
              <w:t>Networks</w:t>
            </w:r>
          </w:p>
        </w:tc>
        <w:tc>
          <w:tcPr>
            <w:tcW w:type="dxa" w:w="4873"/>
            <w:vAlign w:val="center"/>
          </w:tcPr>
          <w:p>
            <w:r/>
            <w:r>
              <w:rPr>
                <w:rFonts w:ascii="Figtree" w:hAnsi="Figtree"/>
                <w:b w:val="0"/>
                <w:i w:val="0"/>
                <w:sz w:val="22"/>
              </w:rPr>
              <w:t>Permissioned Hyperledger Besu (IBFT 2.0)</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 (decision during Phase 1)</w:t>
            </w:r>
          </w:p>
        </w:tc>
      </w:tr>
      <w:tr>
        <w:trPr>
          <w:trHeight w:val="454" w:hRule="atLeast"/>
        </w:trPr>
        <w:tc>
          <w:tcPr>
            <w:tcW w:type="dxa" w:w="4873"/>
            <w:vAlign w:val="center"/>
          </w:tcPr>
          <w:p>
            <w:r/>
            <w:r>
              <w:rPr>
                <w:rFonts w:ascii="Figtree" w:hAnsi="Figtree"/>
                <w:b w:val="0"/>
                <w:i w:val="0"/>
                <w:sz w:val="22"/>
              </w:rPr>
              <w:t>Support</w:t>
            </w:r>
          </w:p>
        </w:tc>
        <w:tc>
          <w:tcPr>
            <w:tcW w:type="dxa" w:w="4873"/>
            <w:vAlign w:val="center"/>
          </w:tcPr>
          <w:p>
            <w:r/>
            <w:r>
              <w:rPr>
                <w:rFonts w:ascii="Figtree" w:hAnsi="Figtree"/>
                <w:b w:val="0"/>
                <w:i w:val="0"/>
                <w:sz w:val="22"/>
              </w:rPr>
              <w:t>Premium tier (16×5, 2-hour P1 response)</w:t>
            </w:r>
          </w:p>
        </w:tc>
      </w:tr>
      <w:tr>
        <w:trPr>
          <w:trHeight w:val="454" w:hRule="atLeast"/>
        </w:trPr>
        <w:tc>
          <w:tcPr>
            <w:tcW w:type="dxa" w:w="4873"/>
            <w:vAlign w:val="center"/>
          </w:tcPr>
          <w:p>
            <w:r/>
            <w:r>
              <w:rPr>
                <w:rFonts w:ascii="Figtree" w:hAnsi="Figtree"/>
                <w:b w:val="0"/>
                <w:i w:val="0"/>
                <w:sz w:val="22"/>
              </w:rPr>
              <w:t>Asset classes</w:t>
            </w:r>
          </w:p>
        </w:tc>
        <w:tc>
          <w:tcPr>
            <w:tcW w:type="dxa" w:w="4873"/>
            <w:vAlign w:val="center"/>
          </w:tcPr>
          <w:p>
            <w:r/>
            <w:r>
              <w:rPr>
                <w:rFonts w:ascii="Figtree" w:hAnsi="Figtree"/>
                <w:b w:val="0"/>
                <w:i w:val="0"/>
                <w:sz w:val="22"/>
              </w:rPr>
              <w:t>Tokenized deposits, trade finance instruments, settlement tokens</w:t>
            </w:r>
          </w:p>
        </w:tc>
      </w:tr>
    </w:tbl>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Implementation Pricing</w:t>
      </w:r>
    </w:p>
    <w:p>
      <w:pPr>
        <w:pStyle w:val="H3"/>
        <w:numPr>
          <w:ilvl w:val="2"/>
          <w:numId w:val="1"/>
        </w:numPr>
      </w:pPr>
      <w:r>
        <w:t>Pricing Structure</w:t>
      </w:r>
    </w:p>
    <w:p>
      <w:r>
        <w:rPr>
          <w:rFonts w:ascii="Figtree" w:hAnsi="Figtree"/>
          <w:b w:val="0"/>
          <w:i w:val="0"/>
          <w:sz w:val="22"/>
        </w:rPr>
        <w:t>Implementation is priced as a fixed-fee engagement across five delivery phases: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Phase</w:t>
            </w:r>
          </w:p>
        </w:tc>
        <w:tc>
          <w:tcPr>
            <w:tcW w:type="dxa" w:w="2436"/>
            <w:vAlign w:val="center"/>
            <w:shd w:fill="000099" w:val="clear"/>
          </w:tcPr>
          <w:p>
            <w:r>
              <w:rPr>
                <w:b/>
                <w:color w:val="FFFFFF"/>
              </w:rPr>
            </w:r>
            <w:r>
              <w:rPr>
                <w:rFonts w:ascii="Figtree" w:hAnsi="Figtree"/>
                <w:b/>
                <w:i w:val="0"/>
                <w:color w:val="FFFFFF"/>
                <w:sz w:val="22"/>
              </w:rPr>
              <w:t>Duration</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Pricing Basis</w:t>
            </w:r>
          </w:p>
        </w:tc>
      </w:tr>
      <w:tr>
        <w:trPr>
          <w:trHeight w:val="454" w:hRule="atLeast"/>
        </w:trPr>
        <w:tc>
          <w:tcPr>
            <w:tcW w:type="dxa" w:w="2436"/>
            <w:vAlign w:val="center"/>
          </w:tcPr>
          <w:p>
            <w:r/>
            <w:r>
              <w:rPr>
                <w:rFonts w:ascii="Figtree" w:hAnsi="Figtree"/>
                <w:b w:val="0"/>
                <w:i w:val="0"/>
                <w:sz w:val="22"/>
              </w:rPr>
              <w:t>Phase 1: Discovery &amp; Requirements</w:t>
            </w:r>
          </w:p>
        </w:tc>
        <w:tc>
          <w:tcPr>
            <w:tcW w:type="dxa" w:w="2436"/>
            <w:vAlign w:val="center"/>
          </w:tcPr>
          <w:p>
            <w:r/>
            <w:r>
              <w:rPr>
                <w:rFonts w:ascii="Figtree" w:hAnsi="Figtree"/>
                <w:b w:val="0"/>
                <w:i w:val="0"/>
                <w:sz w:val="22"/>
              </w:rPr>
              <w:t>2 weeks</w:t>
            </w:r>
          </w:p>
        </w:tc>
        <w:tc>
          <w:tcPr>
            <w:tcW w:type="dxa" w:w="2436"/>
            <w:vAlign w:val="center"/>
          </w:tcPr>
          <w:p>
            <w:r/>
            <w:r>
              <w:rPr>
                <w:rFonts w:ascii="Figtree" w:hAnsi="Figtree"/>
                <w:b w:val="0"/>
                <w:i w:val="0"/>
                <w:sz w:val="22"/>
              </w:rPr>
              <w:t>Requirements, regulatory mapping, architecture design</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2: Foundation &amp; Setup</w:t>
            </w:r>
          </w:p>
        </w:tc>
        <w:tc>
          <w:tcPr>
            <w:tcW w:type="dxa" w:w="2436"/>
            <w:vAlign w:val="center"/>
          </w:tcPr>
          <w:p>
            <w:r/>
            <w:r>
              <w:rPr>
                <w:rFonts w:ascii="Figtree" w:hAnsi="Figtree"/>
                <w:b w:val="0"/>
                <w:i w:val="0"/>
                <w:sz w:val="22"/>
              </w:rPr>
              <w:t>3 weeks</w:t>
            </w:r>
          </w:p>
        </w:tc>
        <w:tc>
          <w:tcPr>
            <w:tcW w:type="dxa" w:w="2436"/>
            <w:vAlign w:val="center"/>
          </w:tcPr>
          <w:p>
            <w:r/>
            <w:r>
              <w:rPr>
                <w:rFonts w:ascii="Figtree" w:hAnsi="Figtree"/>
                <w:b w:val="0"/>
                <w:i w:val="0"/>
                <w:sz w:val="22"/>
              </w:rPr>
              <w:t>Environment provisioning, network, identity framework</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3: Configuration &amp; Compliance</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Deposit + trade finance config, compliance modules</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4: Integration &amp; Testing</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Core banking, trade finance, SWIFT, security/UAT</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Phase 5: Go-Live &amp; Hypercare</w:t>
            </w:r>
          </w:p>
        </w:tc>
        <w:tc>
          <w:tcPr>
            <w:tcW w:type="dxa" w:w="2436"/>
            <w:vAlign w:val="center"/>
          </w:tcPr>
          <w:p>
            <w:r/>
            <w:r>
              <w:rPr>
                <w:rFonts w:ascii="Figtree" w:hAnsi="Figtree"/>
                <w:b w:val="0"/>
                <w:i w:val="0"/>
                <w:sz w:val="22"/>
              </w:rPr>
              <w:t>6 weeks</w:t>
            </w:r>
          </w:p>
        </w:tc>
        <w:tc>
          <w:tcPr>
            <w:tcW w:type="dxa" w:w="2436"/>
            <w:vAlign w:val="center"/>
          </w:tcPr>
          <w:p>
            <w:r/>
            <w:r>
              <w:rPr>
                <w:rFonts w:ascii="Figtree" w:hAnsi="Figtree"/>
                <w:b w:val="0"/>
                <w:i w:val="0"/>
                <w:sz w:val="22"/>
              </w:rPr>
              <w:t>Production deployment, knowledge transfer, hypercare</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i w:val="0"/>
                <w:sz w:val="22"/>
              </w:rPr>
              <w:t>Total</w:t>
            </w:r>
          </w:p>
        </w:tc>
        <w:tc>
          <w:tcPr>
            <w:tcW w:type="dxa" w:w="2436"/>
            <w:vAlign w:val="center"/>
          </w:tcPr>
          <w:p>
            <w:r/>
            <w:r>
              <w:rPr>
                <w:rFonts w:ascii="Figtree" w:hAnsi="Figtree"/>
                <w:b/>
                <w:i w:val="0"/>
                <w:sz w:val="22"/>
              </w:rPr>
              <w:t>19 weeks</w:t>
            </w:r>
          </w:p>
        </w:tc>
        <w:tc>
          <w:tcPr>
            <w:tcW w:type="dxa" w:w="2436"/>
            <w:vAlign w:val="center"/>
          </w:tcPr>
          <w:p>
            <w:r/>
          </w:p>
        </w:tc>
        <w:tc>
          <w:tcPr>
            <w:tcW w:type="dxa" w:w="2436"/>
            <w:vAlign w:val="center"/>
          </w:tcPr>
          <w:p>
            <w:r/>
            <w:r>
              <w:rPr>
                <w:rFonts w:ascii="Figtree" w:hAnsi="Figtree"/>
                <w:b/>
                <w:i w:val="0"/>
                <w:sz w:val="22"/>
              </w:rPr>
              <w:t>[CLIENT-SPECIFIC]</w:t>
            </w:r>
          </w:p>
        </w:tc>
      </w:tr>
    </w:tbl>
    <w:p>
      <w:pPr>
        <w:pStyle w:val="H3"/>
        <w:numPr>
          <w:ilvl w:val="2"/>
          <w:numId w:val="1"/>
        </w:numPr>
      </w:pPr>
      <w:r>
        <w:t>Implementation Team</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Role</w:t>
            </w:r>
          </w:p>
        </w:tc>
        <w:tc>
          <w:tcPr>
            <w:tcW w:type="dxa" w:w="3249"/>
            <w:vAlign w:val="center"/>
            <w:shd w:fill="000099" w:val="clear"/>
          </w:tcPr>
          <w:p>
            <w:r>
              <w:rPr>
                <w:b/>
                <w:color w:val="FFFFFF"/>
              </w:rPr>
            </w:r>
            <w:r>
              <w:rPr>
                <w:rFonts w:ascii="Figtree" w:hAnsi="Figtree"/>
                <w:b/>
                <w:i w:val="0"/>
                <w:color w:val="FFFFFF"/>
                <w:sz w:val="22"/>
              </w:rPr>
              <w:t>Allocation</w:t>
            </w:r>
          </w:p>
        </w:tc>
        <w:tc>
          <w:tcPr>
            <w:tcW w:type="dxa" w:w="3249"/>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3249"/>
            <w:vAlign w:val="center"/>
          </w:tcPr>
          <w:p>
            <w:r/>
            <w:r>
              <w:rPr>
                <w:rFonts w:ascii="Figtree" w:hAnsi="Figtree"/>
                <w:b w:val="0"/>
                <w:i w:val="0"/>
                <w:sz w:val="22"/>
              </w:rPr>
              <w:t>Delivery Lead</w:t>
            </w:r>
          </w:p>
        </w:tc>
        <w:tc>
          <w:tcPr>
            <w:tcW w:type="dxa" w:w="3249"/>
            <w:vAlign w:val="center"/>
          </w:tcPr>
          <w:p>
            <w:r/>
            <w:r>
              <w:rPr>
                <w:rFonts w:ascii="Figtree" w:hAnsi="Figtree"/>
                <w:b w:val="0"/>
                <w:i w:val="0"/>
                <w:sz w:val="22"/>
              </w:rPr>
              <w:t>Full-time (19 weeks)</w:t>
            </w:r>
          </w:p>
        </w:tc>
        <w:tc>
          <w:tcPr>
            <w:tcW w:type="dxa" w:w="3249"/>
            <w:vAlign w:val="center"/>
          </w:tcPr>
          <w:p>
            <w:r/>
            <w:r>
              <w:rPr>
                <w:rFonts w:ascii="Figtree" w:hAnsi="Figtree"/>
                <w:b w:val="0"/>
                <w:i w:val="0"/>
                <w:sz w:val="22"/>
              </w:rPr>
              <w:t>Programme management, gate reviews, stakeholder alignment</w:t>
            </w:r>
          </w:p>
        </w:tc>
      </w:tr>
      <w:tr>
        <w:trPr>
          <w:trHeight w:val="454" w:hRule="atLeast"/>
        </w:trPr>
        <w:tc>
          <w:tcPr>
            <w:tcW w:type="dxa" w:w="3249"/>
            <w:vAlign w:val="center"/>
          </w:tcPr>
          <w:p>
            <w:r/>
            <w:r>
              <w:rPr>
                <w:rFonts w:ascii="Figtree" w:hAnsi="Figtree"/>
                <w:b w:val="0"/>
                <w:i w:val="0"/>
                <w:sz w:val="22"/>
              </w:rPr>
              <w:t>Solution Architect</w:t>
            </w:r>
          </w:p>
        </w:tc>
        <w:tc>
          <w:tcPr>
            <w:tcW w:type="dxa" w:w="3249"/>
            <w:vAlign w:val="center"/>
          </w:tcPr>
          <w:p>
            <w:r/>
            <w:r>
              <w:rPr>
                <w:rFonts w:ascii="Figtree" w:hAnsi="Figtree"/>
                <w:b w:val="0"/>
                <w:i w:val="0"/>
                <w:sz w:val="22"/>
              </w:rPr>
              <w:t>Full-time (Weeks 1–13), on-call (14–19)</w:t>
            </w:r>
          </w:p>
        </w:tc>
        <w:tc>
          <w:tcPr>
            <w:tcW w:type="dxa" w:w="3249"/>
            <w:vAlign w:val="center"/>
          </w:tcPr>
          <w:p>
            <w:r/>
            <w:r>
              <w:rPr>
                <w:rFonts w:ascii="Figtree" w:hAnsi="Figtree"/>
                <w:b w:val="0"/>
                <w:i w:val="0"/>
                <w:sz w:val="22"/>
              </w:rPr>
              <w:t>Architecture design, integration patterns</w:t>
            </w:r>
          </w:p>
        </w:tc>
      </w:tr>
      <w:tr>
        <w:trPr>
          <w:trHeight w:val="454" w:hRule="atLeast"/>
        </w:trPr>
        <w:tc>
          <w:tcPr>
            <w:tcW w:type="dxa" w:w="3249"/>
            <w:vAlign w:val="center"/>
          </w:tcPr>
          <w:p>
            <w:r/>
            <w:r>
              <w:rPr>
                <w:rFonts w:ascii="Figtree" w:hAnsi="Figtree"/>
                <w:b w:val="0"/>
                <w:i w:val="0"/>
                <w:sz w:val="22"/>
              </w:rPr>
              <w:t>Platform Engineer</w:t>
            </w:r>
          </w:p>
        </w:tc>
        <w:tc>
          <w:tcPr>
            <w:tcW w:type="dxa" w:w="3249"/>
            <w:vAlign w:val="center"/>
          </w:tcPr>
          <w:p>
            <w:r/>
            <w:r>
              <w:rPr>
                <w:rFonts w:ascii="Figtree" w:hAnsi="Figtree"/>
                <w:b w:val="0"/>
                <w:i w:val="0"/>
                <w:sz w:val="22"/>
              </w:rPr>
              <w:t>Full-time (Weeks 3–17)</w:t>
            </w:r>
          </w:p>
        </w:tc>
        <w:tc>
          <w:tcPr>
            <w:tcW w:type="dxa" w:w="3249"/>
            <w:vAlign w:val="center"/>
          </w:tcPr>
          <w:p>
            <w:r/>
            <w:r>
              <w:rPr>
                <w:rFonts w:ascii="Figtree" w:hAnsi="Figtree"/>
                <w:b w:val="0"/>
                <w:i w:val="0"/>
                <w:sz w:val="22"/>
              </w:rPr>
              <w:t>Environment setup, configuration, deployment</w:t>
            </w:r>
          </w:p>
        </w:tc>
      </w:tr>
      <w:tr>
        <w:trPr>
          <w:trHeight w:val="454" w:hRule="atLeast"/>
        </w:trPr>
        <w:tc>
          <w:tcPr>
            <w:tcW w:type="dxa" w:w="3249"/>
            <w:vAlign w:val="center"/>
          </w:tcPr>
          <w:p>
            <w:r/>
            <w:r>
              <w:rPr>
                <w:rFonts w:ascii="Figtree" w:hAnsi="Figtree"/>
                <w:b w:val="0"/>
                <w:i w:val="0"/>
                <w:sz w:val="22"/>
              </w:rPr>
              <w:t>Integration Engineer</w:t>
            </w:r>
          </w:p>
        </w:tc>
        <w:tc>
          <w:tcPr>
            <w:tcW w:type="dxa" w:w="3249"/>
            <w:vAlign w:val="center"/>
          </w:tcPr>
          <w:p>
            <w:r/>
            <w:r>
              <w:rPr>
                <w:rFonts w:ascii="Figtree" w:hAnsi="Figtree"/>
                <w:b w:val="0"/>
                <w:i w:val="0"/>
                <w:sz w:val="22"/>
              </w:rPr>
              <w:t>Full-time (Weeks 6–13)</w:t>
            </w:r>
          </w:p>
        </w:tc>
        <w:tc>
          <w:tcPr>
            <w:tcW w:type="dxa" w:w="3249"/>
            <w:vAlign w:val="center"/>
          </w:tcPr>
          <w:p>
            <w:r/>
            <w:r>
              <w:rPr>
                <w:rFonts w:ascii="Figtree" w:hAnsi="Figtree"/>
                <w:b w:val="0"/>
                <w:i w:val="0"/>
                <w:sz w:val="22"/>
              </w:rPr>
              <w:t>Enterprise system integration, API development</w:t>
            </w:r>
          </w:p>
        </w:tc>
      </w:tr>
      <w:tr>
        <w:trPr>
          <w:trHeight w:val="454" w:hRule="atLeast"/>
        </w:trPr>
        <w:tc>
          <w:tcPr>
            <w:tcW w:type="dxa" w:w="3249"/>
            <w:vAlign w:val="center"/>
          </w:tcPr>
          <w:p>
            <w:r/>
            <w:r>
              <w:rPr>
                <w:rFonts w:ascii="Figtree" w:hAnsi="Figtree"/>
                <w:b w:val="0"/>
                <w:i w:val="0"/>
                <w:sz w:val="22"/>
              </w:rPr>
              <w:t>QA Engineer</w:t>
            </w:r>
          </w:p>
        </w:tc>
        <w:tc>
          <w:tcPr>
            <w:tcW w:type="dxa" w:w="3249"/>
            <w:vAlign w:val="center"/>
          </w:tcPr>
          <w:p>
            <w:r/>
            <w:r>
              <w:rPr>
                <w:rFonts w:ascii="Figtree" w:hAnsi="Figtree"/>
                <w:b w:val="0"/>
                <w:i w:val="0"/>
                <w:sz w:val="22"/>
              </w:rPr>
              <w:t>Full-time (Weeks 10–15)</w:t>
            </w:r>
          </w:p>
        </w:tc>
        <w:tc>
          <w:tcPr>
            <w:tcW w:type="dxa" w:w="3249"/>
            <w:vAlign w:val="center"/>
          </w:tcPr>
          <w:p>
            <w:r/>
            <w:r>
              <w:rPr>
                <w:rFonts w:ascii="Figtree" w:hAnsi="Figtree"/>
                <w:b w:val="0"/>
                <w:i w:val="0"/>
                <w:sz w:val="22"/>
              </w:rPr>
              <w:t>Test planning, execution, defect management</w:t>
            </w:r>
          </w:p>
        </w:tc>
      </w:tr>
    </w:tbl>
    <w:p>
      <w:pPr>
        <w:pStyle w:val="H3"/>
        <w:numPr>
          <w:ilvl w:val="2"/>
          <w:numId w:val="1"/>
        </w:numPr>
      </w:pPr>
      <w:r>
        <w:t>Client Effort Assumptions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Activity</w:t>
            </w:r>
          </w:p>
        </w:tc>
        <w:tc>
          <w:tcPr>
            <w:tcW w:type="dxa" w:w="3249"/>
            <w:vAlign w:val="center"/>
            <w:shd w:fill="000099" w:val="clear"/>
          </w:tcPr>
          <w:p>
            <w:r>
              <w:rPr>
                <w:b/>
                <w:color w:val="FFFFFF"/>
              </w:rPr>
            </w:r>
            <w:r>
              <w:rPr>
                <w:rFonts w:ascii="Figtree" w:hAnsi="Figtree"/>
                <w:b/>
                <w:i w:val="0"/>
                <w:color w:val="FFFFFF"/>
                <w:sz w:val="22"/>
              </w:rPr>
              <w:t>Estimated Client Effort</w:t>
            </w:r>
          </w:p>
        </w:tc>
        <w:tc>
          <w:tcPr>
            <w:tcW w:type="dxa" w:w="3249"/>
            <w:vAlign w:val="center"/>
            <w:shd w:fill="000099" w:val="clear"/>
          </w:tcPr>
          <w:p>
            <w:r>
              <w:rPr>
                <w:b/>
                <w:color w:val="FFFFFF"/>
              </w:rPr>
            </w:r>
            <w:r>
              <w:rPr>
                <w:rFonts w:ascii="Figtree" w:hAnsi="Figtree"/>
                <w:b/>
                <w:i w:val="0"/>
                <w:color w:val="FFFFFF"/>
                <w:sz w:val="22"/>
              </w:rPr>
              <w:t>When</w:t>
            </w:r>
          </w:p>
        </w:tc>
      </w:tr>
      <w:tr>
        <w:trPr>
          <w:trHeight w:val="454" w:hRule="atLeast"/>
        </w:trPr>
        <w:tc>
          <w:tcPr>
            <w:tcW w:type="dxa" w:w="3249"/>
            <w:vAlign w:val="center"/>
          </w:tcPr>
          <w:p>
            <w:r/>
            <w:r>
              <w:rPr>
                <w:rFonts w:ascii="Figtree" w:hAnsi="Figtree"/>
                <w:b w:val="0"/>
                <w:i w:val="0"/>
                <w:sz w:val="22"/>
              </w:rPr>
              <w:t>Stakeholder interviews</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1–2</w:t>
            </w:r>
          </w:p>
        </w:tc>
      </w:tr>
      <w:tr>
        <w:trPr>
          <w:trHeight w:val="454" w:hRule="atLeast"/>
        </w:trPr>
        <w:tc>
          <w:tcPr>
            <w:tcW w:type="dxa" w:w="3249"/>
            <w:vAlign w:val="center"/>
          </w:tcPr>
          <w:p>
            <w:r/>
            <w:r>
              <w:rPr>
                <w:rFonts w:ascii="Figtree" w:hAnsi="Figtree"/>
                <w:b w:val="0"/>
                <w:i w:val="0"/>
                <w:sz w:val="22"/>
              </w:rPr>
              <w:t>Core banking API provisioning</w:t>
            </w:r>
          </w:p>
        </w:tc>
        <w:tc>
          <w:tcPr>
            <w:tcW w:type="dxa" w:w="3249"/>
            <w:vAlign w:val="center"/>
          </w:tcPr>
          <w:p>
            <w:r/>
            <w:r>
              <w:rPr>
                <w:rFonts w:ascii="Figtree" w:hAnsi="Figtree"/>
                <w:b w:val="0"/>
                <w:i w:val="0"/>
                <w:sz w:val="22"/>
              </w:rPr>
              <w:t>15 person-days</w:t>
            </w:r>
          </w:p>
        </w:tc>
        <w:tc>
          <w:tcPr>
            <w:tcW w:type="dxa" w:w="3249"/>
            <w:vAlign w:val="center"/>
          </w:tcPr>
          <w:p>
            <w:r/>
            <w:r>
              <w:rPr>
                <w:rFonts w:ascii="Figtree" w:hAnsi="Figtree"/>
                <w:b w:val="0"/>
                <w:i w:val="0"/>
                <w:sz w:val="22"/>
              </w:rPr>
              <w:t>Weeks 3–9</w:t>
            </w:r>
          </w:p>
        </w:tc>
      </w:tr>
      <w:tr>
        <w:trPr>
          <w:trHeight w:val="454" w:hRule="atLeast"/>
        </w:trPr>
        <w:tc>
          <w:tcPr>
            <w:tcW w:type="dxa" w:w="3249"/>
            <w:vAlign w:val="center"/>
          </w:tcPr>
          <w:p>
            <w:r/>
            <w:r>
              <w:rPr>
                <w:rFonts w:ascii="Figtree" w:hAnsi="Figtree"/>
                <w:b w:val="0"/>
                <w:i w:val="0"/>
                <w:sz w:val="22"/>
              </w:rPr>
              <w:t>Trade finance system access</w:t>
            </w:r>
          </w:p>
        </w:tc>
        <w:tc>
          <w:tcPr>
            <w:tcW w:type="dxa" w:w="3249"/>
            <w:vAlign w:val="center"/>
          </w:tcPr>
          <w:p>
            <w:r/>
            <w:r>
              <w:rPr>
                <w:rFonts w:ascii="Figtree" w:hAnsi="Figtree"/>
                <w:b w:val="0"/>
                <w:i w:val="0"/>
                <w:sz w:val="22"/>
              </w:rPr>
              <w:t>10 person-days</w:t>
            </w:r>
          </w:p>
        </w:tc>
        <w:tc>
          <w:tcPr>
            <w:tcW w:type="dxa" w:w="3249"/>
            <w:vAlign w:val="center"/>
          </w:tcPr>
          <w:p>
            <w:r/>
            <w:r>
              <w:rPr>
                <w:rFonts w:ascii="Figtree" w:hAnsi="Figtree"/>
                <w:b w:val="0"/>
                <w:i w:val="0"/>
                <w:sz w:val="22"/>
              </w:rPr>
              <w:t>Weeks 6–9</w:t>
            </w:r>
          </w:p>
        </w:tc>
      </w:tr>
      <w:tr>
        <w:trPr>
          <w:trHeight w:val="454" w:hRule="atLeast"/>
        </w:trPr>
        <w:tc>
          <w:tcPr>
            <w:tcW w:type="dxa" w:w="3249"/>
            <w:vAlign w:val="center"/>
          </w:tcPr>
          <w:p>
            <w:r/>
            <w:r>
              <w:rPr>
                <w:rFonts w:ascii="Figtree" w:hAnsi="Figtree"/>
                <w:b w:val="0"/>
                <w:i w:val="0"/>
                <w:sz w:val="22"/>
              </w:rPr>
              <w:t>UAT execution</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10–13</w:t>
            </w:r>
          </w:p>
        </w:tc>
      </w:tr>
      <w:tr>
        <w:trPr>
          <w:trHeight w:val="454" w:hRule="atLeast"/>
        </w:trPr>
        <w:tc>
          <w:tcPr>
            <w:tcW w:type="dxa" w:w="3249"/>
            <w:vAlign w:val="center"/>
          </w:tcPr>
          <w:p>
            <w:r/>
            <w:r>
              <w:rPr>
                <w:rFonts w:ascii="Figtree" w:hAnsi="Figtree"/>
                <w:b w:val="0"/>
                <w:i w:val="0"/>
                <w:sz w:val="22"/>
              </w:rPr>
              <w:t>Operations readiness</w:t>
            </w:r>
          </w:p>
        </w:tc>
        <w:tc>
          <w:tcPr>
            <w:tcW w:type="dxa" w:w="3249"/>
            <w:vAlign w:val="center"/>
          </w:tcPr>
          <w:p>
            <w:r/>
            <w:r>
              <w:rPr>
                <w:rFonts w:ascii="Figtree" w:hAnsi="Figtree"/>
                <w:b w:val="0"/>
                <w:i w:val="0"/>
                <w:sz w:val="22"/>
              </w:rPr>
              <w:t>10 person-days</w:t>
            </w:r>
          </w:p>
        </w:tc>
        <w:tc>
          <w:tcPr>
            <w:tcW w:type="dxa" w:w="3249"/>
            <w:vAlign w:val="center"/>
          </w:tcPr>
          <w:p>
            <w:r/>
            <w:r>
              <w:rPr>
                <w:rFonts w:ascii="Figtree" w:hAnsi="Figtree"/>
                <w:b w:val="0"/>
                <w:i w:val="0"/>
                <w:sz w:val="22"/>
              </w:rPr>
              <w:t>Weeks 14–19</w:t>
            </w:r>
          </w:p>
        </w:tc>
      </w:tr>
      <w:tr>
        <w:trPr>
          <w:trHeight w:val="454" w:hRule="atLeast"/>
        </w:trPr>
        <w:tc>
          <w:tcPr>
            <w:tcW w:type="dxa" w:w="3249"/>
            <w:vAlign w:val="center"/>
          </w:tcPr>
          <w:p>
            <w:r/>
            <w:r>
              <w:rPr>
                <w:rFonts w:ascii="Figtree" w:hAnsi="Figtree"/>
                <w:b/>
                <w:i w:val="0"/>
                <w:sz w:val="22"/>
              </w:rPr>
              <w:t>Total estimated client effort</w:t>
            </w:r>
          </w:p>
        </w:tc>
        <w:tc>
          <w:tcPr>
            <w:tcW w:type="dxa" w:w="3249"/>
            <w:vAlign w:val="center"/>
          </w:tcPr>
          <w:p>
            <w:r/>
            <w:r>
              <w:rPr>
                <w:rFonts w:ascii="Figtree" w:hAnsi="Figtree"/>
                <w:b/>
                <w:i w:val="0"/>
                <w:sz w:val="22"/>
              </w:rPr>
              <w:t>75 person-days</w:t>
            </w:r>
          </w:p>
        </w:tc>
        <w:tc>
          <w:tcPr>
            <w:tcW w:type="dxa" w:w="3249"/>
            <w:vAlign w:val="center"/>
          </w:tcPr>
          <w:p>
            <w:r/>
          </w:p>
        </w:tc>
      </w:tr>
    </w:tbl>
    <w:p>
      <w:r>
        <w:br w:type="page"/>
      </w:r>
    </w:p>
    <w:p>
      <w:pPr>
        <w:pStyle w:val="H2"/>
        <w:numPr>
          <w:ilvl w:val="1"/>
          <w:numId w:val="1"/>
        </w:numPr>
      </w:pPr>
      <w:r>
        <w:t>Support Pricing</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 Support for Emirates NBD</w:t>
            </w:r>
          </w:p>
        </w:tc>
      </w:tr>
      <w:tr>
        <w:trPr>
          <w:trHeight w:val="454" w:hRule="atLeast"/>
        </w:trPr>
        <w:tc>
          <w:tcPr>
            <w:tcW w:type="dxa" w:w="4873"/>
            <w:vAlign w:val="center"/>
          </w:tcPr>
          <w:p>
            <w:r/>
            <w:r>
              <w:rPr>
                <w:rFonts w:ascii="Figtree" w:hAnsi="Figtree"/>
                <w:b w:val="0"/>
                <w:i w:val="0"/>
                <w:sz w:val="22"/>
              </w:rPr>
              <w:t>Coverage hours</w:t>
            </w:r>
          </w:p>
        </w:tc>
        <w:tc>
          <w:tcPr>
            <w:tcW w:type="dxa" w:w="4873"/>
            <w:vAlign w:val="center"/>
          </w:tcPr>
          <w:p>
            <w:r/>
            <w:r>
              <w:rPr>
                <w:rFonts w:ascii="Figtree" w:hAnsi="Figtree"/>
                <w:b w:val="0"/>
                <w:i w:val="0"/>
                <w:sz w:val="22"/>
              </w:rPr>
              <w:t>16×5 (Sunday–Thursday for UAE alignment)</w:t>
            </w:r>
          </w:p>
        </w:tc>
      </w:tr>
      <w:tr>
        <w:trPr>
          <w:trHeight w:val="454" w:hRule="atLeast"/>
        </w:trPr>
        <w:tc>
          <w:tcPr>
            <w:tcW w:type="dxa" w:w="4873"/>
            <w:vAlign w:val="center"/>
          </w:tcPr>
          <w:p>
            <w:r/>
            <w:r>
              <w:rPr>
                <w:rFonts w:ascii="Figtree" w:hAnsi="Figtree"/>
                <w:b w:val="0"/>
                <w:i w:val="0"/>
                <w:sz w:val="22"/>
              </w:rPr>
              <w:t>P1 response time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 time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P3 response time</w:t>
            </w:r>
          </w:p>
        </w:tc>
        <w:tc>
          <w:tcPr>
            <w:tcW w:type="dxa" w:w="4873"/>
            <w:vAlign w:val="center"/>
          </w:tcPr>
          <w:p>
            <w:r/>
            <w:r>
              <w:rPr>
                <w:rFonts w:ascii="Figtree" w:hAnsi="Figtree"/>
                <w:b w:val="0"/>
                <w:i w:val="0"/>
                <w:sz w:val="22"/>
              </w:rPr>
              <w:t>1 business day</w:t>
            </w:r>
          </w:p>
        </w:tc>
      </w:tr>
      <w:tr>
        <w:trPr>
          <w:trHeight w:val="454" w:hRule="atLeast"/>
        </w:trPr>
        <w:tc>
          <w:tcPr>
            <w:tcW w:type="dxa" w:w="4873"/>
            <w:vAlign w:val="center"/>
          </w:tcPr>
          <w:p>
            <w:r/>
            <w:r>
              <w:rPr>
                <w:rFonts w:ascii="Figtree" w:hAnsi="Figtree"/>
                <w:b w:val="0"/>
                <w:i w:val="0"/>
                <w:sz w:val="22"/>
              </w:rPr>
              <w:t>P4 response time</w:t>
            </w:r>
          </w:p>
        </w:tc>
        <w:tc>
          <w:tcPr>
            <w:tcW w:type="dxa" w:w="4873"/>
            <w:vAlign w:val="center"/>
          </w:tcPr>
          <w:p>
            <w:r/>
            <w:r>
              <w:rPr>
                <w:rFonts w:ascii="Figtree" w:hAnsi="Figtree"/>
                <w:b w:val="0"/>
                <w:i w:val="0"/>
                <w:sz w:val="22"/>
              </w:rPr>
              <w:t>3 business days</w:t>
            </w:r>
          </w:p>
        </w:tc>
      </w:tr>
      <w:tr>
        <w:trPr>
          <w:trHeight w:val="454" w:hRule="atLeast"/>
        </w:trPr>
        <w:tc>
          <w:tcPr>
            <w:tcW w:type="dxa" w:w="4873"/>
            <w:vAlign w:val="center"/>
          </w:tcPr>
          <w:p>
            <w:r/>
            <w:r>
              <w:rPr>
                <w:rFonts w:ascii="Figtree" w:hAnsi="Figtree"/>
                <w:b w:val="0"/>
                <w:i w:val="0"/>
                <w:sz w:val="22"/>
              </w:rPr>
              <w:t>Dedicated support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Support channels</w:t>
            </w:r>
          </w:p>
        </w:tc>
        <w:tc>
          <w:tcPr>
            <w:tcW w:type="dxa" w:w="4873"/>
            <w:vAlign w:val="center"/>
          </w:tcPr>
          <w:p>
            <w:r/>
            <w:r>
              <w:rPr>
                <w:rFonts w:ascii="Figtree" w:hAnsi="Figtree"/>
                <w:b w:val="0"/>
                <w:i w:val="0"/>
                <w:sz w:val="22"/>
              </w:rPr>
              <w:t>Email, portal, dedicated Slack/Teams channel, phone escalation</w:t>
            </w:r>
          </w:p>
        </w:tc>
      </w:tr>
      <w:tr>
        <w:trPr>
          <w:trHeight w:val="454" w:hRule="atLeast"/>
        </w:trPr>
        <w:tc>
          <w:tcPr>
            <w:tcW w:type="dxa" w:w="4873"/>
            <w:vAlign w:val="center"/>
          </w:tcPr>
          <w:p>
            <w:r/>
            <w:r>
              <w:rPr>
                <w:rFonts w:ascii="Figtree" w:hAnsi="Figtree"/>
                <w:b w:val="0"/>
                <w:i w:val="0"/>
                <w:sz w:val="22"/>
              </w:rPr>
              <w:t>Named contacts</w:t>
            </w:r>
          </w:p>
        </w:tc>
        <w:tc>
          <w:tcPr>
            <w:tcW w:type="dxa" w:w="4873"/>
            <w:vAlign w:val="center"/>
          </w:tcPr>
          <w:p>
            <w:r/>
            <w:r>
              <w:rPr>
                <w:rFonts w:ascii="Figtree" w:hAnsi="Figtree"/>
                <w:b w:val="0"/>
                <w:i w:val="0"/>
                <w:sz w:val="22"/>
              </w:rPr>
              <w:t>Up to 8 authorized</w:t>
            </w:r>
          </w:p>
        </w:tc>
      </w:tr>
      <w:tr>
        <w:trPr>
          <w:trHeight w:val="454" w:hRule="atLeast"/>
        </w:trPr>
        <w:tc>
          <w:tcPr>
            <w:tcW w:type="dxa" w:w="4873"/>
            <w:vAlign w:val="center"/>
          </w:tcPr>
          <w:p>
            <w:r/>
            <w:r>
              <w:rPr>
                <w:rFonts w:ascii="Figtree" w:hAnsi="Figtree"/>
                <w:b w:val="0"/>
                <w:i w:val="0"/>
                <w:sz w:val="22"/>
              </w:rPr>
              <w:t>Uptime SLA</w:t>
            </w:r>
          </w:p>
        </w:tc>
        <w:tc>
          <w:tcPr>
            <w:tcW w:type="dxa" w:w="4873"/>
            <w:vAlign w:val="center"/>
          </w:tcPr>
          <w:p>
            <w:r/>
            <w:r>
              <w:rPr>
                <w:rFonts w:ascii="Figtree" w:hAnsi="Figtree"/>
                <w:b w:val="0"/>
                <w:i w:val="0"/>
                <w:sz w:val="22"/>
              </w:rPr>
              <w:t>99.95% monthly</w:t>
            </w:r>
          </w:p>
        </w:tc>
      </w:tr>
      <w:tr>
        <w:trPr>
          <w:trHeight w:val="454" w:hRule="atLeast"/>
        </w:trPr>
        <w:tc>
          <w:tcPr>
            <w:tcW w:type="dxa" w:w="4873"/>
            <w:vAlign w:val="center"/>
          </w:tcPr>
          <w:p>
            <w:r/>
            <w:r>
              <w:rPr>
                <w:rFonts w:ascii="Figtree" w:hAnsi="Figtree"/>
                <w:b w:val="0"/>
                <w:i w:val="0"/>
                <w:sz w:val="22"/>
              </w:rPr>
              <w:t>Platform updates</w:t>
            </w:r>
          </w:p>
        </w:tc>
        <w:tc>
          <w:tcPr>
            <w:tcW w:type="dxa" w:w="4873"/>
            <w:vAlign w:val="center"/>
          </w:tcPr>
          <w:p>
            <w:r/>
            <w:r>
              <w:rPr>
                <w:rFonts w:ascii="Figtree" w:hAnsi="Figtree"/>
                <w:b w:val="0"/>
                <w:i w:val="0"/>
                <w:sz w:val="22"/>
              </w:rPr>
              <w:t>Monthly release cycle with early access</w:t>
            </w:r>
          </w:p>
        </w:tc>
      </w:tr>
      <w:tr>
        <w:trPr>
          <w:trHeight w:val="454" w:hRule="atLeast"/>
        </w:trPr>
        <w:tc>
          <w:tcPr>
            <w:tcW w:type="dxa" w:w="4873"/>
            <w:vAlign w:val="center"/>
          </w:tcPr>
          <w:p>
            <w:r/>
            <w:r>
              <w:rPr>
                <w:rFonts w:ascii="Figtree" w:hAnsi="Figtree"/>
                <w:b w:val="0"/>
                <w:i w:val="0"/>
                <w:sz w:val="22"/>
              </w:rPr>
              <w:t>Proactive monitoring</w:t>
            </w:r>
          </w:p>
        </w:tc>
        <w:tc>
          <w:tcPr>
            <w:tcW w:type="dxa" w:w="4873"/>
            <w:vAlign w:val="center"/>
          </w:tcPr>
          <w:p>
            <w:r/>
            <w:r>
              <w:rPr>
                <w:rFonts w:ascii="Figtree" w:hAnsi="Figtree"/>
                <w:b w:val="0"/>
                <w:i w:val="0"/>
                <w:sz w:val="22"/>
              </w:rPr>
              <w:t>Enhanced with anomaly detection</w:t>
            </w:r>
          </w:p>
        </w:tc>
      </w:tr>
      <w:tr>
        <w:trPr>
          <w:trHeight w:val="454" w:hRule="atLeast"/>
        </w:trPr>
        <w:tc>
          <w:tcPr>
            <w:tcW w:type="dxa" w:w="4873"/>
            <w:vAlign w:val="center"/>
          </w:tcPr>
          <w:p>
            <w:r/>
            <w:r>
              <w:rPr>
                <w:rFonts w:ascii="Figtree" w:hAnsi="Figtree"/>
                <w:b w:val="0"/>
                <w:i w:val="0"/>
                <w:sz w:val="22"/>
              </w:rPr>
              <w:t>Account management</w:t>
            </w:r>
          </w:p>
        </w:tc>
        <w:tc>
          <w:tcPr>
            <w:tcW w:type="dxa" w:w="4873"/>
            <w:vAlign w:val="center"/>
          </w:tcPr>
          <w:p>
            <w:r/>
            <w:r>
              <w:rPr>
                <w:rFonts w:ascii="Figtree" w:hAnsi="Figtree"/>
                <w:b w:val="0"/>
                <w:i w:val="0"/>
                <w:sz w:val="22"/>
              </w:rPr>
              <w:t>Monthly business review with technical deep-dive</w:t>
            </w:r>
          </w:p>
        </w:tc>
      </w:tr>
    </w:tbl>
    <w:p>
      <w:r>
        <w:rPr>
          <w:rFonts w:ascii="Figtree" w:hAnsi="Figtree"/>
          <w:b/>
          <w:i w:val="0"/>
          <w:sz w:val="22"/>
        </w:rPr>
        <w:t>Annual support fee:</w:t>
      </w:r>
      <w:r>
        <w:rPr>
          <w:rFonts w:ascii="Figtree" w:hAnsi="Figtree"/>
          <w:b w:val="0"/>
          <w:i w:val="0"/>
          <w:sz w:val="22"/>
        </w:rPr>
        <w:t xml:space="preserve"> [CLIENT-SPECIFIC]</w:t>
      </w:r>
    </w:p>
    <w:p>
      <w:pPr>
        <w:pStyle w:val="H3"/>
        <w:numPr>
          <w:ilvl w:val="2"/>
          <w:numId w:val="1"/>
        </w:numPr>
      </w:pPr>
      <w:r>
        <w:t>Support Tier Comparison</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Attribute</w:t>
            </w:r>
          </w:p>
        </w:tc>
        <w:tc>
          <w:tcPr>
            <w:tcW w:type="dxa" w:w="2436"/>
            <w:vAlign w:val="center"/>
            <w:shd w:fill="000099" w:val="clear"/>
          </w:tcPr>
          <w:p>
            <w:r>
              <w:rPr>
                <w:b/>
                <w:color w:val="FFFFFF"/>
              </w:rPr>
            </w:r>
            <w:r>
              <w:rPr>
                <w:rFonts w:ascii="Figtree" w:hAnsi="Figtree"/>
                <w:b/>
                <w:i w:val="0"/>
                <w:color w:val="FFFFFF"/>
                <w:sz w:val="22"/>
              </w:rPr>
              <w:t>Standard</w:t>
            </w:r>
          </w:p>
        </w:tc>
        <w:tc>
          <w:tcPr>
            <w:tcW w:type="dxa" w:w="2436"/>
            <w:vAlign w:val="center"/>
            <w:shd w:fill="000099" w:val="clear"/>
          </w:tcPr>
          <w:p>
            <w:r>
              <w:rPr>
                <w:b/>
                <w:color w:val="FFFFFF"/>
              </w:rPr>
            </w:r>
            <w:r>
              <w:rPr>
                <w:rFonts w:ascii="Figtree" w:hAnsi="Figtree"/>
                <w:b/>
                <w:i w:val="0"/>
                <w:color w:val="FFFFFF"/>
                <w:sz w:val="22"/>
              </w:rPr>
              <w:t>Premium (Recommended)</w:t>
            </w:r>
          </w:p>
        </w:tc>
        <w:tc>
          <w:tcPr>
            <w:tcW w:type="dxa" w:w="2436"/>
            <w:vAlign w:val="center"/>
            <w:shd w:fill="000099" w:val="clear"/>
          </w:tcPr>
          <w:p>
            <w:r>
              <w:rPr>
                <w:b/>
                <w:color w:val="FFFFFF"/>
              </w:rPr>
            </w:r>
            <w:r>
              <w:rPr>
                <w:rFonts w:ascii="Figtree" w:hAnsi="Figtree"/>
                <w:b/>
                <w:i w:val="0"/>
                <w:color w:val="FFFFFF"/>
                <w:sz w:val="22"/>
              </w:rPr>
              <w:t>Enterprise</w:t>
            </w:r>
          </w:p>
        </w:tc>
      </w:tr>
      <w:tr>
        <w:trPr>
          <w:trHeight w:val="454" w:hRule="atLeast"/>
        </w:trPr>
        <w:tc>
          <w:tcPr>
            <w:tcW w:type="dxa" w:w="2436"/>
            <w:vAlign w:val="center"/>
          </w:tcPr>
          <w:p>
            <w:r/>
            <w:r>
              <w:rPr>
                <w:rFonts w:ascii="Figtree" w:hAnsi="Figtree"/>
                <w:b w:val="0"/>
                <w:i w:val="0"/>
                <w:sz w:val="22"/>
              </w:rPr>
              <w:t>Coverage</w:t>
            </w:r>
          </w:p>
        </w:tc>
        <w:tc>
          <w:tcPr>
            <w:tcW w:type="dxa" w:w="2436"/>
            <w:vAlign w:val="center"/>
          </w:tcPr>
          <w:p>
            <w:r/>
            <w:r>
              <w:rPr>
                <w:rFonts w:ascii="Figtree" w:hAnsi="Figtree"/>
                <w:b w:val="0"/>
                <w:i w:val="0"/>
                <w:sz w:val="22"/>
              </w:rPr>
              <w:t>Business hours</w:t>
            </w:r>
          </w:p>
        </w:tc>
        <w:tc>
          <w:tcPr>
            <w:tcW w:type="dxa" w:w="2436"/>
            <w:vAlign w:val="center"/>
          </w:tcPr>
          <w:p>
            <w:r/>
            <w:r>
              <w:rPr>
                <w:rFonts w:ascii="Figtree" w:hAnsi="Figtree"/>
                <w:b w:val="0"/>
                <w:i w:val="0"/>
                <w:sz w:val="22"/>
              </w:rPr>
              <w:t>16×5 + P1 on-call</w:t>
            </w:r>
          </w:p>
        </w:tc>
        <w:tc>
          <w:tcPr>
            <w:tcW w:type="dxa" w:w="2436"/>
            <w:vAlign w:val="center"/>
          </w:tcPr>
          <w:p>
            <w:r/>
            <w:r>
              <w:rPr>
                <w:rFonts w:ascii="Figtree" w:hAnsi="Figtree"/>
                <w:b w:val="0"/>
                <w:i w:val="0"/>
                <w:sz w:val="22"/>
              </w:rPr>
              <w:t>24/7/365</w:t>
            </w:r>
          </w:p>
        </w:tc>
      </w:tr>
      <w:tr>
        <w:trPr>
          <w:trHeight w:val="454" w:hRule="atLeast"/>
        </w:trPr>
        <w:tc>
          <w:tcPr>
            <w:tcW w:type="dxa" w:w="2436"/>
            <w:vAlign w:val="center"/>
          </w:tcPr>
          <w:p>
            <w:r/>
            <w:r>
              <w:rPr>
                <w:rFonts w:ascii="Figtree" w:hAnsi="Figtree"/>
                <w:b w:val="0"/>
                <w:i w:val="0"/>
                <w:sz w:val="22"/>
              </w:rPr>
              <w:t>P1 response</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30 minutes</w:t>
            </w:r>
          </w:p>
        </w:tc>
      </w:tr>
      <w:tr>
        <w:trPr>
          <w:trHeight w:val="454" w:hRule="atLeast"/>
        </w:trPr>
        <w:tc>
          <w:tcPr>
            <w:tcW w:type="dxa" w:w="2436"/>
            <w:vAlign w:val="center"/>
          </w:tcPr>
          <w:p>
            <w:r/>
            <w:r>
              <w:rPr>
                <w:rFonts w:ascii="Figtree" w:hAnsi="Figtree"/>
                <w:b w:val="0"/>
                <w:i w:val="0"/>
                <w:sz w:val="22"/>
              </w:rPr>
              <w:t>Uptime SLA</w:t>
            </w:r>
          </w:p>
        </w:tc>
        <w:tc>
          <w:tcPr>
            <w:tcW w:type="dxa" w:w="2436"/>
            <w:vAlign w:val="center"/>
          </w:tcPr>
          <w:p>
            <w:r/>
            <w:r>
              <w:rPr>
                <w:rFonts w:ascii="Figtree" w:hAnsi="Figtree"/>
                <w:b w:val="0"/>
                <w:i w:val="0"/>
                <w:sz w:val="22"/>
              </w:rPr>
              <w:t>99.9%</w:t>
            </w:r>
          </w:p>
        </w:tc>
        <w:tc>
          <w:tcPr>
            <w:tcW w:type="dxa" w:w="2436"/>
            <w:vAlign w:val="center"/>
          </w:tcPr>
          <w:p>
            <w:r/>
            <w:r>
              <w:rPr>
                <w:rFonts w:ascii="Figtree" w:hAnsi="Figtree"/>
                <w:b w:val="0"/>
                <w:i w:val="0"/>
                <w:sz w:val="22"/>
              </w:rPr>
              <w:t>99.95%</w:t>
            </w:r>
          </w:p>
        </w:tc>
        <w:tc>
          <w:tcPr>
            <w:tcW w:type="dxa" w:w="2436"/>
            <w:vAlign w:val="center"/>
          </w:tcPr>
          <w:p>
            <w:r/>
            <w:r>
              <w:rPr>
                <w:rFonts w:ascii="Figtree" w:hAnsi="Figtree"/>
                <w:b w:val="0"/>
                <w:i w:val="0"/>
                <w:sz w:val="22"/>
              </w:rPr>
              <w:t>99.99%</w:t>
            </w:r>
          </w:p>
        </w:tc>
      </w:tr>
      <w:tr>
        <w:trPr>
          <w:trHeight w:val="454" w:hRule="atLeast"/>
        </w:trPr>
        <w:tc>
          <w:tcPr>
            <w:tcW w:type="dxa" w:w="2436"/>
            <w:vAlign w:val="center"/>
          </w:tcPr>
          <w:p>
            <w:r/>
            <w:r>
              <w:rPr>
                <w:rFonts w:ascii="Figtree" w:hAnsi="Figtree"/>
                <w:b w:val="0"/>
                <w:i w:val="0"/>
                <w:sz w:val="22"/>
              </w:rPr>
              <w:t>Dedicated engineer</w:t>
            </w:r>
          </w:p>
        </w:tc>
        <w:tc>
          <w:tcPr>
            <w:tcW w:type="dxa" w:w="2436"/>
            <w:vAlign w:val="center"/>
          </w:tcPr>
          <w:p>
            <w:r/>
            <w:r>
              <w:rPr>
                <w:rFonts w:ascii="Figtree" w:hAnsi="Figtree"/>
                <w:b w:val="0"/>
                <w:i w:val="0"/>
                <w:sz w:val="22"/>
              </w:rPr>
              <w:t>No</w:t>
            </w:r>
          </w:p>
        </w:tc>
        <w:tc>
          <w:tcPr>
            <w:tcW w:type="dxa" w:w="2436"/>
            <w:vAlign w:val="center"/>
          </w:tcPr>
          <w:p>
            <w:r/>
            <w:r>
              <w:rPr>
                <w:rFonts w:ascii="Figtree" w:hAnsi="Figtree"/>
                <w:b w:val="0"/>
                <w:i w:val="0"/>
                <w:sz w:val="22"/>
              </w:rPr>
              <w:t>Yes</w:t>
            </w:r>
          </w:p>
        </w:tc>
        <w:tc>
          <w:tcPr>
            <w:tcW w:type="dxa" w:w="2436"/>
            <w:vAlign w:val="center"/>
          </w:tcPr>
          <w:p>
            <w:r/>
            <w:r>
              <w:rPr>
                <w:rFonts w:ascii="Figtree" w:hAnsi="Figtree"/>
                <w:b w:val="0"/>
                <w:i w:val="0"/>
                <w:sz w:val="22"/>
              </w:rPr>
              <w:t>Dedicated team</w:t>
            </w:r>
          </w:p>
        </w:tc>
      </w:tr>
      <w:tr>
        <w:trPr>
          <w:trHeight w:val="454" w:hRule="atLeast"/>
        </w:trPr>
        <w:tc>
          <w:tcPr>
            <w:tcW w:type="dxa" w:w="2436"/>
            <w:vAlign w:val="center"/>
          </w:tcPr>
          <w:p>
            <w:r/>
            <w:r>
              <w:rPr>
                <w:rFonts w:ascii="Figtree" w:hAnsi="Figtree"/>
                <w:b w:val="0"/>
                <w:i w:val="0"/>
                <w:sz w:val="22"/>
              </w:rPr>
              <w:t>Update cycle</w:t>
            </w:r>
          </w:p>
        </w:tc>
        <w:tc>
          <w:tcPr>
            <w:tcW w:type="dxa" w:w="2436"/>
            <w:vAlign w:val="center"/>
          </w:tcPr>
          <w:p>
            <w:r/>
            <w:r>
              <w:rPr>
                <w:rFonts w:ascii="Figtree" w:hAnsi="Figtree"/>
                <w:b w:val="0"/>
                <w:i w:val="0"/>
                <w:sz w:val="22"/>
              </w:rPr>
              <w:t>Quarterly</w:t>
            </w:r>
          </w:p>
        </w:tc>
        <w:tc>
          <w:tcPr>
            <w:tcW w:type="dxa" w:w="2436"/>
            <w:vAlign w:val="center"/>
          </w:tcPr>
          <w:p>
            <w:r/>
            <w:r>
              <w:rPr>
                <w:rFonts w:ascii="Figtree" w:hAnsi="Figtree"/>
                <w:b w:val="0"/>
                <w:i w:val="0"/>
                <w:sz w:val="22"/>
              </w:rPr>
              <w:t>Monthly</w:t>
            </w:r>
          </w:p>
        </w:tc>
        <w:tc>
          <w:tcPr>
            <w:tcW w:type="dxa" w:w="2436"/>
            <w:vAlign w:val="center"/>
          </w:tcPr>
          <w:p>
            <w:r/>
            <w:r>
              <w:rPr>
                <w:rFonts w:ascii="Figtree" w:hAnsi="Figtree"/>
                <w:b w:val="0"/>
                <w:i w:val="0"/>
                <w:sz w:val="22"/>
              </w:rPr>
              <w:t>Continuous</w:t>
            </w:r>
          </w:p>
        </w:tc>
      </w:tr>
    </w:tbl>
    <w:p>
      <w:r>
        <w:br w:type="page"/>
      </w:r>
    </w:p>
    <w:p>
      <w:pPr>
        <w:pStyle w:val="H2"/>
        <w:numPr>
          <w:ilvl w:val="1"/>
          <w:numId w:val="1"/>
        </w:numPr>
      </w:pPr>
      <w:r>
        <w:t>Total Cost of Ownership</w:t>
      </w:r>
    </w:p>
    <w:p>
      <w:pPr>
        <w:pStyle w:val="H3"/>
        <w:numPr>
          <w:ilvl w:val="2"/>
          <w:numId w:val="1"/>
        </w:numPr>
      </w:pPr>
      <w:r>
        <w:t>Three-Year TCO Structure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Cost Component</w:t>
            </w:r>
          </w:p>
        </w:tc>
        <w:tc>
          <w:tcPr>
            <w:tcW w:type="dxa" w:w="1949"/>
            <w:vAlign w:val="center"/>
            <w:shd w:fill="000099" w:val="clear"/>
          </w:tcPr>
          <w:p>
            <w:r>
              <w:rPr>
                <w:b/>
                <w:color w:val="FFFFFF"/>
              </w:rPr>
            </w:r>
            <w:r>
              <w:rPr>
                <w:rFonts w:ascii="Figtree" w:hAnsi="Figtree"/>
                <w:b/>
                <w:i w:val="0"/>
                <w:color w:val="FFFFFF"/>
                <w:sz w:val="22"/>
              </w:rPr>
              <w:t>Year 1</w:t>
            </w:r>
          </w:p>
        </w:tc>
        <w:tc>
          <w:tcPr>
            <w:tcW w:type="dxa" w:w="1949"/>
            <w:vAlign w:val="center"/>
            <w:shd w:fill="000099" w:val="clear"/>
          </w:tcPr>
          <w:p>
            <w:r>
              <w:rPr>
                <w:b/>
                <w:color w:val="FFFFFF"/>
              </w:rPr>
            </w:r>
            <w:r>
              <w:rPr>
                <w:rFonts w:ascii="Figtree" w:hAnsi="Figtree"/>
                <w:b/>
                <w:i w:val="0"/>
                <w:color w:val="FFFFFF"/>
                <w:sz w:val="22"/>
              </w:rPr>
              <w:t>Year 2</w:t>
            </w:r>
          </w:p>
        </w:tc>
        <w:tc>
          <w:tcPr>
            <w:tcW w:type="dxa" w:w="1949"/>
            <w:vAlign w:val="center"/>
            <w:shd w:fill="000099" w:val="clear"/>
          </w:tcPr>
          <w:p>
            <w:r>
              <w:rPr>
                <w:b/>
                <w:color w:val="FFFFFF"/>
              </w:rPr>
            </w:r>
            <w:r>
              <w:rPr>
                <w:rFonts w:ascii="Figtree" w:hAnsi="Figtree"/>
                <w:b/>
                <w:i w:val="0"/>
                <w:color w:val="FFFFFF"/>
                <w:sz w:val="22"/>
              </w:rPr>
              <w:t>Year 3</w:t>
            </w:r>
          </w:p>
        </w:tc>
        <w:tc>
          <w:tcPr>
            <w:tcW w:type="dxa" w:w="1949"/>
            <w:vAlign w:val="center"/>
            <w:shd w:fill="000099" w:val="clear"/>
          </w:tcPr>
          <w:p>
            <w:r>
              <w:rPr>
                <w:b/>
                <w:color w:val="FFFFFF"/>
              </w:rPr>
            </w:r>
            <w:r>
              <w:rPr>
                <w:rFonts w:ascii="Figtree" w:hAnsi="Figtree"/>
                <w:b/>
                <w:i w:val="0"/>
                <w:color w:val="FFFFFF"/>
                <w:sz w:val="22"/>
              </w:rPr>
              <w:t>Three-Year Total</w:t>
            </w:r>
          </w:p>
        </w:tc>
      </w:tr>
      <w:tr>
        <w:trPr>
          <w:trHeight w:val="454" w:hRule="atLeast"/>
        </w:trPr>
        <w:tc>
          <w:tcPr>
            <w:tcW w:type="dxa" w:w="1949"/>
            <w:vAlign w:val="center"/>
          </w:tcPr>
          <w:p>
            <w:r/>
            <w:r>
              <w:rPr>
                <w:rFonts w:ascii="Figtree" w:hAnsi="Figtree"/>
                <w:b w:val="0"/>
                <w:i w:val="0"/>
                <w:sz w:val="22"/>
              </w:rPr>
              <w:t>Platform license (Enterprise)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Implementation (one-time)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Support (Premium)</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Infrastructure (cloud)</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r>
    </w:tbl>
    <w:p>
      <w:r>
        <w:rPr>
          <w:rFonts w:ascii="Figtree" w:hAnsi="Figtree"/>
          <w:b/>
          <w:i w:val="0"/>
          <w:sz w:val="22"/>
        </w:rPr>
        <w:t>What is NOT included in the estimate:</w:t>
      </w:r>
    </w:p>
    <w:p>
      <w:pPr>
        <w:pStyle w:val="ListParagraph"/>
        <w:numPr>
          <w:ilvl w:val="0"/>
          <w:numId w:val="4"/>
        </w:numPr>
      </w:pPr>
      <w:r>
        <w:rPr>
          <w:rFonts w:ascii="Figtree" w:hAnsi="Figtree"/>
          <w:b w:val="0"/>
          <w:i w:val="0"/>
          <w:sz w:val="22"/>
        </w:rPr>
        <w:t>Emirates NBD internal resource costs (75 person-days estimated)</w:t>
      </w:r>
    </w:p>
    <w:p>
      <w:pPr>
        <w:pStyle w:val="ListParagraph"/>
        <w:numPr>
          <w:ilvl w:val="0"/>
          <w:numId w:val="4"/>
        </w:numPr>
      </w:pPr>
      <w:r>
        <w:rPr>
          <w:rFonts w:ascii="Figtree" w:hAnsi="Figtree"/>
          <w:b w:val="0"/>
          <w:i w:val="0"/>
          <w:sz w:val="22"/>
        </w:rPr>
        <w:t>Third-party custody provider fees (DFNS or Fireblocks — separate commercial agreement)</w:t>
      </w:r>
    </w:p>
    <w:p>
      <w:pPr>
        <w:pStyle w:val="ListParagraph"/>
        <w:numPr>
          <w:ilvl w:val="0"/>
          <w:numId w:val="4"/>
        </w:numPr>
      </w:pPr>
      <w:r>
        <w:rPr>
          <w:rFonts w:ascii="Figtree" w:hAnsi="Figtree"/>
          <w:b w:val="0"/>
          <w:i w:val="0"/>
          <w:sz w:val="22"/>
        </w:rPr>
        <w:t>Cloud infrastructure costs beyond SettleMint-managed components</w:t>
      </w:r>
    </w:p>
    <w:p>
      <w:pPr>
        <w:pStyle w:val="ListParagraph"/>
        <w:numPr>
          <w:ilvl w:val="0"/>
          <w:numId w:val="4"/>
        </w:numPr>
      </w:pPr>
      <w:r>
        <w:rPr>
          <w:rFonts w:ascii="Figtree" w:hAnsi="Figtree"/>
          <w:b w:val="0"/>
          <w:i w:val="0"/>
          <w:sz w:val="22"/>
        </w:rPr>
        <w:t>Legal and regulatory advisory costs</w:t>
      </w:r>
    </w:p>
    <w:p>
      <w:pPr>
        <w:pStyle w:val="ListParagraph"/>
        <w:numPr>
          <w:ilvl w:val="0"/>
          <w:numId w:val="4"/>
        </w:numPr>
      </w:pPr>
      <w:r>
        <w:rPr>
          <w:rFonts w:ascii="Figtree" w:hAnsi="Figtree"/>
          <w:b w:val="0"/>
          <w:i w:val="0"/>
          <w:sz w:val="22"/>
        </w:rPr>
        <w:t>Any bespoke development beyond platform configuration</w:t>
      </w:r>
    </w:p>
    <w:p>
      <w:pPr>
        <w:pStyle w:val="H3"/>
        <w:numPr>
          <w:ilvl w:val="2"/>
          <w:numId w:val="1"/>
        </w:numPr>
      </w:pPr>
      <w:r>
        <w:t>TCO vs. Build Decision</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Dimension</w:t>
            </w:r>
          </w:p>
        </w:tc>
        <w:tc>
          <w:tcPr>
            <w:tcW w:type="dxa" w:w="3249"/>
            <w:vAlign w:val="center"/>
            <w:shd w:fill="000099" w:val="clear"/>
          </w:tcPr>
          <w:p>
            <w:r>
              <w:rPr>
                <w:b/>
                <w:color w:val="FFFFFF"/>
              </w:rPr>
            </w:r>
            <w:r>
              <w:rPr>
                <w:rFonts w:ascii="Figtree" w:hAnsi="Figtree"/>
                <w:b/>
                <w:i w:val="0"/>
                <w:color w:val="FFFFFF"/>
                <w:sz w:val="22"/>
              </w:rPr>
              <w:t>Build Internally</w:t>
            </w:r>
          </w:p>
        </w:tc>
        <w:tc>
          <w:tcPr>
            <w:tcW w:type="dxa" w:w="3249"/>
            <w:vAlign w:val="center"/>
            <w:shd w:fill="000099" w:val="clear"/>
          </w:tcPr>
          <w:p>
            <w:r>
              <w:rPr>
                <w:b/>
                <w:color w:val="FFFFFF"/>
              </w:rPr>
            </w:r>
            <w:r>
              <w:rPr>
                <w:rFonts w:ascii="Figtree" w:hAnsi="Figtree"/>
                <w:b/>
                <w:i w:val="0"/>
                <w:color w:val="FFFFFF"/>
                <w:sz w:val="22"/>
              </w:rPr>
              <w:t>DALP Platform</w:t>
            </w:r>
          </w:p>
        </w:tc>
      </w:tr>
      <w:tr>
        <w:trPr>
          <w:trHeight w:val="454" w:hRule="atLeast"/>
        </w:trPr>
        <w:tc>
          <w:tcPr>
            <w:tcW w:type="dxa" w:w="3249"/>
            <w:vAlign w:val="center"/>
          </w:tcPr>
          <w:p>
            <w:r/>
            <w:r>
              <w:rPr>
                <w:rFonts w:ascii="Figtree" w:hAnsi="Figtree"/>
                <w:b w:val="0"/>
                <w:i w:val="0"/>
                <w:sz w:val="22"/>
              </w:rPr>
              <w:t>Time to production</w:t>
            </w:r>
          </w:p>
        </w:tc>
        <w:tc>
          <w:tcPr>
            <w:tcW w:type="dxa" w:w="3249"/>
            <w:vAlign w:val="center"/>
          </w:tcPr>
          <w:p>
            <w:r/>
            <w:r>
              <w:rPr>
                <w:rFonts w:ascii="Figtree" w:hAnsi="Figtree"/>
                <w:b w:val="0"/>
                <w:i w:val="0"/>
                <w:sz w:val="22"/>
              </w:rPr>
              <w:t>12–24 months</w:t>
            </w:r>
          </w:p>
        </w:tc>
        <w:tc>
          <w:tcPr>
            <w:tcW w:type="dxa" w:w="3249"/>
            <w:vAlign w:val="center"/>
          </w:tcPr>
          <w:p>
            <w:r/>
            <w:r>
              <w:rPr>
                <w:rFonts w:ascii="Figtree" w:hAnsi="Figtree"/>
                <w:b w:val="0"/>
                <w:i w:val="0"/>
                <w:sz w:val="22"/>
              </w:rPr>
              <w:t>19 weeks</w:t>
            </w:r>
          </w:p>
        </w:tc>
      </w:tr>
      <w:tr>
        <w:trPr>
          <w:trHeight w:val="454" w:hRule="atLeast"/>
        </w:trPr>
        <w:tc>
          <w:tcPr>
            <w:tcW w:type="dxa" w:w="3249"/>
            <w:vAlign w:val="center"/>
          </w:tcPr>
          <w:p>
            <w:r/>
            <w:r>
              <w:rPr>
                <w:rFonts w:ascii="Figtree" w:hAnsi="Figtree"/>
                <w:b w:val="0"/>
                <w:i w:val="0"/>
                <w:sz w:val="22"/>
              </w:rPr>
              <w:t>Engineering team required</w:t>
            </w:r>
          </w:p>
        </w:tc>
        <w:tc>
          <w:tcPr>
            <w:tcW w:type="dxa" w:w="3249"/>
            <w:vAlign w:val="center"/>
          </w:tcPr>
          <w:p>
            <w:r/>
            <w:r>
              <w:rPr>
                <w:rFonts w:ascii="Figtree" w:hAnsi="Figtree"/>
                <w:b w:val="0"/>
                <w:i w:val="0"/>
                <w:sz w:val="22"/>
              </w:rPr>
              <w:t>8–15 FTEs</w:t>
            </w:r>
          </w:p>
        </w:tc>
        <w:tc>
          <w:tcPr>
            <w:tcW w:type="dxa" w:w="3249"/>
            <w:vAlign w:val="center"/>
          </w:tcPr>
          <w:p>
            <w:r/>
            <w:r>
              <w:rPr>
                <w:rFonts w:ascii="Figtree" w:hAnsi="Figtree"/>
                <w:b w:val="0"/>
                <w:i w:val="0"/>
                <w:sz w:val="22"/>
              </w:rPr>
              <w:t>0 FTEs (platform managed)</w:t>
            </w:r>
          </w:p>
        </w:tc>
      </w:tr>
      <w:tr>
        <w:trPr>
          <w:trHeight w:val="454" w:hRule="atLeast"/>
        </w:trPr>
        <w:tc>
          <w:tcPr>
            <w:tcW w:type="dxa" w:w="3249"/>
            <w:vAlign w:val="center"/>
          </w:tcPr>
          <w:p>
            <w:r/>
            <w:r>
              <w:rPr>
                <w:rFonts w:ascii="Figtree" w:hAnsi="Figtree"/>
                <w:b w:val="0"/>
                <w:i w:val="0"/>
                <w:sz w:val="22"/>
              </w:rPr>
              <w:t>Smart contract audit cost</w:t>
            </w:r>
          </w:p>
        </w:tc>
        <w:tc>
          <w:tcPr>
            <w:tcW w:type="dxa" w:w="3249"/>
            <w:vAlign w:val="center"/>
          </w:tcPr>
          <w:p>
            <w:r/>
            <w:r>
              <w:rPr>
                <w:rFonts w:ascii="Figtree" w:hAnsi="Figtree"/>
                <w:b w:val="0"/>
                <w:i w:val="0"/>
                <w:sz w:val="22"/>
              </w:rPr>
              <w:t>$200K–$500K per asset class</w:t>
            </w:r>
          </w:p>
        </w:tc>
        <w:tc>
          <w:tcPr>
            <w:tcW w:type="dxa" w:w="3249"/>
            <w:vAlign w:val="center"/>
          </w:tcPr>
          <w:p>
            <w:r/>
            <w:r>
              <w:rPr>
                <w:rFonts w:ascii="Figtree" w:hAnsi="Figtree"/>
                <w:b w:val="0"/>
                <w:i w:val="0"/>
                <w:sz w:val="22"/>
              </w:rPr>
              <w:t>Included (pre-audited)</w:t>
            </w:r>
          </w:p>
        </w:tc>
      </w:tr>
      <w:tr>
        <w:trPr>
          <w:trHeight w:val="454" w:hRule="atLeast"/>
        </w:trPr>
        <w:tc>
          <w:tcPr>
            <w:tcW w:type="dxa" w:w="3249"/>
            <w:vAlign w:val="center"/>
          </w:tcPr>
          <w:p>
            <w:r/>
            <w:r>
              <w:rPr>
                <w:rFonts w:ascii="Figtree" w:hAnsi="Figtree"/>
                <w:b w:val="0"/>
                <w:i w:val="0"/>
                <w:sz w:val="22"/>
              </w:rPr>
              <w:t>Compliance module development</w:t>
            </w:r>
          </w:p>
        </w:tc>
        <w:tc>
          <w:tcPr>
            <w:tcW w:type="dxa" w:w="3249"/>
            <w:vAlign w:val="center"/>
          </w:tcPr>
          <w:p>
            <w:r/>
            <w:r>
              <w:rPr>
                <w:rFonts w:ascii="Figtree" w:hAnsi="Figtree"/>
                <w:b w:val="0"/>
                <w:i w:val="0"/>
                <w:sz w:val="22"/>
              </w:rPr>
              <w:t>Custom per regulation</w:t>
            </w:r>
          </w:p>
        </w:tc>
        <w:tc>
          <w:tcPr>
            <w:tcW w:type="dxa" w:w="3249"/>
            <w:vAlign w:val="center"/>
          </w:tcPr>
          <w:p>
            <w:r/>
            <w:r>
              <w:rPr>
                <w:rFonts w:ascii="Figtree" w:hAnsi="Figtree"/>
                <w:b w:val="0"/>
                <w:i w:val="0"/>
                <w:sz w:val="22"/>
              </w:rPr>
              <w:t>18 modules included</w:t>
            </w:r>
          </w:p>
        </w:tc>
      </w:tr>
      <w:tr>
        <w:trPr>
          <w:trHeight w:val="454" w:hRule="atLeast"/>
        </w:trPr>
        <w:tc>
          <w:tcPr>
            <w:tcW w:type="dxa" w:w="3249"/>
            <w:vAlign w:val="center"/>
          </w:tcPr>
          <w:p>
            <w:r/>
            <w:r>
              <w:rPr>
                <w:rFonts w:ascii="Figtree" w:hAnsi="Figtree"/>
                <w:b w:val="0"/>
                <w:i w:val="0"/>
                <w:sz w:val="22"/>
              </w:rPr>
              <w:t>Ongoing maintenance</w:t>
            </w:r>
          </w:p>
        </w:tc>
        <w:tc>
          <w:tcPr>
            <w:tcW w:type="dxa" w:w="3249"/>
            <w:vAlign w:val="center"/>
          </w:tcPr>
          <w:p>
            <w:r/>
            <w:r>
              <w:rPr>
                <w:rFonts w:ascii="Figtree" w:hAnsi="Figtree"/>
                <w:b w:val="0"/>
                <w:i w:val="0"/>
                <w:sz w:val="22"/>
              </w:rPr>
              <w:t>4–6 FTEs</w:t>
            </w:r>
          </w:p>
        </w:tc>
        <w:tc>
          <w:tcPr>
            <w:tcW w:type="dxa" w:w="3249"/>
            <w:vAlign w:val="center"/>
          </w:tcPr>
          <w:p>
            <w:r/>
            <w:r>
              <w:rPr>
                <w:rFonts w:ascii="Figtree" w:hAnsi="Figtree"/>
                <w:b w:val="0"/>
                <w:i w:val="0"/>
                <w:sz w:val="22"/>
              </w:rPr>
              <w:t>Included in support</w:t>
            </w:r>
          </w:p>
        </w:tc>
      </w:tr>
      <w:tr>
        <w:trPr>
          <w:trHeight w:val="454" w:hRule="atLeast"/>
        </w:trPr>
        <w:tc>
          <w:tcPr>
            <w:tcW w:type="dxa" w:w="3249"/>
            <w:vAlign w:val="center"/>
          </w:tcPr>
          <w:p>
            <w:r/>
            <w:r>
              <w:rPr>
                <w:rFonts w:ascii="Figtree" w:hAnsi="Figtree"/>
                <w:b w:val="0"/>
                <w:i w:val="0"/>
                <w:sz w:val="22"/>
              </w:rPr>
              <w:t>Multi-asset scalability</w:t>
            </w:r>
          </w:p>
        </w:tc>
        <w:tc>
          <w:tcPr>
            <w:tcW w:type="dxa" w:w="3249"/>
            <w:vAlign w:val="center"/>
          </w:tcPr>
          <w:p>
            <w:r/>
            <w:r>
              <w:rPr>
                <w:rFonts w:ascii="Figtree" w:hAnsi="Figtree"/>
                <w:b w:val="0"/>
                <w:i w:val="0"/>
                <w:sz w:val="22"/>
              </w:rPr>
              <w:t>Rebuild per asset type</w:t>
            </w:r>
          </w:p>
        </w:tc>
        <w:tc>
          <w:tcPr>
            <w:tcW w:type="dxa" w:w="3249"/>
            <w:vAlign w:val="center"/>
          </w:tcPr>
          <w:p>
            <w:r/>
            <w:r>
              <w:rPr>
                <w:rFonts w:ascii="Figtree" w:hAnsi="Figtree"/>
                <w:b w:val="0"/>
                <w:i w:val="0"/>
                <w:sz w:val="22"/>
              </w:rPr>
              <w:t>Configuration change</w:t>
            </w:r>
          </w:p>
        </w:tc>
      </w:tr>
    </w:tbl>
    <w:p>
      <w:r>
        <w:br w:type="page"/>
      </w:r>
    </w:p>
    <w:p>
      <w:pPr>
        <w:pStyle w:val="H2"/>
        <w:numPr>
          <w:ilvl w:val="1"/>
          <w:numId w:val="1"/>
        </w:numPr>
      </w:pPr>
      <w:r>
        <w:t>Payment Terms</w:t>
      </w:r>
    </w:p>
    <w:p>
      <w:pPr>
        <w:pStyle w:val="H3"/>
        <w:numPr>
          <w:ilvl w:val="2"/>
          <w:numId w:val="1"/>
        </w:numPr>
      </w:pPr>
      <w:r>
        <w:t>Standard Payment Schedule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Milestone</w:t>
            </w:r>
          </w:p>
        </w:tc>
        <w:tc>
          <w:tcPr>
            <w:tcW w:type="dxa" w:w="3249"/>
            <w:vAlign w:val="center"/>
            <w:shd w:fill="000099" w:val="clear"/>
          </w:tcPr>
          <w:p>
            <w:r>
              <w:rPr>
                <w:b/>
                <w:color w:val="FFFFFF"/>
              </w:rPr>
            </w:r>
            <w:r>
              <w:rPr>
                <w:rFonts w:ascii="Figtree" w:hAnsi="Figtree"/>
                <w:b/>
                <w:i w:val="0"/>
                <w:color w:val="FFFFFF"/>
                <w:sz w:val="22"/>
              </w:rPr>
              <w:t>Payment</w:t>
            </w:r>
          </w:p>
        </w:tc>
        <w:tc>
          <w:tcPr>
            <w:tcW w:type="dxa" w:w="3249"/>
            <w:vAlign w:val="center"/>
            <w:shd w:fill="000099" w:val="clear"/>
          </w:tcPr>
          <w:p>
            <w:r>
              <w:rPr>
                <w:b/>
                <w:color w:val="FFFFFF"/>
              </w:rPr>
            </w:r>
            <w:r>
              <w:rPr>
                <w:rFonts w:ascii="Figtree" w:hAnsi="Figtree"/>
                <w:b/>
                <w:i w:val="0"/>
                <w:color w:val="FFFFFF"/>
                <w:sz w:val="22"/>
              </w:rPr>
              <w:t>Trigger</w:t>
            </w:r>
          </w:p>
        </w:tc>
      </w:tr>
      <w:tr>
        <w:trPr>
          <w:trHeight w:val="454" w:hRule="atLeast"/>
        </w:trPr>
        <w:tc>
          <w:tcPr>
            <w:tcW w:type="dxa" w:w="3249"/>
            <w:vAlign w:val="center"/>
          </w:tcPr>
          <w:p>
            <w:r/>
            <w:r>
              <w:rPr>
                <w:rFonts w:ascii="Figtree" w:hAnsi="Figtree"/>
                <w:b w:val="0"/>
                <w:i w:val="0"/>
                <w:sz w:val="22"/>
              </w:rPr>
              <w:t>Contract signature</w:t>
            </w:r>
          </w:p>
        </w:tc>
        <w:tc>
          <w:tcPr>
            <w:tcW w:type="dxa" w:w="3249"/>
            <w:vAlign w:val="center"/>
          </w:tcPr>
          <w:p>
            <w:r/>
            <w:r>
              <w:rPr>
                <w:rFonts w:ascii="Figtree" w:hAnsi="Figtree"/>
                <w:b w:val="0"/>
                <w:i w:val="0"/>
                <w:sz w:val="22"/>
              </w:rPr>
              <w:t>30% of Year 1 total</w:t>
            </w:r>
          </w:p>
        </w:tc>
        <w:tc>
          <w:tcPr>
            <w:tcW w:type="dxa" w:w="3249"/>
            <w:vAlign w:val="center"/>
          </w:tcPr>
          <w:p>
            <w:r/>
            <w:r>
              <w:rPr>
                <w:rFonts w:ascii="Figtree" w:hAnsi="Figtree"/>
                <w:b w:val="0"/>
                <w:i w:val="0"/>
                <w:sz w:val="22"/>
              </w:rPr>
              <w:t>Executed agreement</w:t>
            </w:r>
          </w:p>
        </w:tc>
      </w:tr>
      <w:tr>
        <w:trPr>
          <w:trHeight w:val="454" w:hRule="atLeast"/>
        </w:trPr>
        <w:tc>
          <w:tcPr>
            <w:tcW w:type="dxa" w:w="3249"/>
            <w:vAlign w:val="center"/>
          </w:tcPr>
          <w:p>
            <w:r/>
            <w:r>
              <w:rPr>
                <w:rFonts w:ascii="Figtree" w:hAnsi="Figtree"/>
                <w:b w:val="0"/>
                <w:i w:val="0"/>
                <w:sz w:val="22"/>
              </w:rPr>
              <w:t>Gate 2 completion (environments ready)</w:t>
            </w:r>
          </w:p>
        </w:tc>
        <w:tc>
          <w:tcPr>
            <w:tcW w:type="dxa" w:w="3249"/>
            <w:vAlign w:val="center"/>
          </w:tcPr>
          <w:p>
            <w:r/>
            <w:r>
              <w:rPr>
                <w:rFonts w:ascii="Figtree" w:hAnsi="Figtree"/>
                <w:b w:val="0"/>
                <w:i w:val="0"/>
                <w:sz w:val="22"/>
              </w:rPr>
              <w:t>20% of Year 1 total</w:t>
            </w:r>
          </w:p>
        </w:tc>
        <w:tc>
          <w:tcPr>
            <w:tcW w:type="dxa" w:w="3249"/>
            <w:vAlign w:val="center"/>
          </w:tcPr>
          <w:p>
            <w:r/>
            <w:r>
              <w:rPr>
                <w:rFonts w:ascii="Figtree" w:hAnsi="Figtree"/>
                <w:b w:val="0"/>
                <w:i w:val="0"/>
                <w:sz w:val="22"/>
              </w:rPr>
              <w:t>Gate 2 sign-off</w:t>
            </w:r>
          </w:p>
        </w:tc>
      </w:tr>
      <w:tr>
        <w:trPr>
          <w:trHeight w:val="454" w:hRule="atLeast"/>
        </w:trPr>
        <w:tc>
          <w:tcPr>
            <w:tcW w:type="dxa" w:w="3249"/>
            <w:vAlign w:val="center"/>
          </w:tcPr>
          <w:p>
            <w:r/>
            <w:r>
              <w:rPr>
                <w:rFonts w:ascii="Figtree" w:hAnsi="Figtree"/>
                <w:b w:val="0"/>
                <w:i w:val="0"/>
                <w:sz w:val="22"/>
              </w:rPr>
              <w:t>Gate 4 completion (UAT passed)</w:t>
            </w:r>
          </w:p>
        </w:tc>
        <w:tc>
          <w:tcPr>
            <w:tcW w:type="dxa" w:w="3249"/>
            <w:vAlign w:val="center"/>
          </w:tcPr>
          <w:p>
            <w:r/>
            <w:r>
              <w:rPr>
                <w:rFonts w:ascii="Figtree" w:hAnsi="Figtree"/>
                <w:b w:val="0"/>
                <w:i w:val="0"/>
                <w:sz w:val="22"/>
              </w:rPr>
              <w:t>30% of Year 1 total</w:t>
            </w:r>
          </w:p>
        </w:tc>
        <w:tc>
          <w:tcPr>
            <w:tcW w:type="dxa" w:w="3249"/>
            <w:vAlign w:val="center"/>
          </w:tcPr>
          <w:p>
            <w:r/>
            <w:r>
              <w:rPr>
                <w:rFonts w:ascii="Figtree" w:hAnsi="Figtree"/>
                <w:b w:val="0"/>
                <w:i w:val="0"/>
                <w:sz w:val="22"/>
              </w:rPr>
              <w:t>Gate 4 sign-off</w:t>
            </w:r>
          </w:p>
        </w:tc>
      </w:tr>
      <w:tr>
        <w:trPr>
          <w:trHeight w:val="454" w:hRule="atLeast"/>
        </w:trPr>
        <w:tc>
          <w:tcPr>
            <w:tcW w:type="dxa" w:w="3249"/>
            <w:vAlign w:val="center"/>
          </w:tcPr>
          <w:p>
            <w:r/>
            <w:r>
              <w:rPr>
                <w:rFonts w:ascii="Figtree" w:hAnsi="Figtree"/>
                <w:b w:val="0"/>
                <w:i w:val="0"/>
                <w:sz w:val="22"/>
              </w:rPr>
              <w:t>Go-live</w:t>
            </w:r>
          </w:p>
        </w:tc>
        <w:tc>
          <w:tcPr>
            <w:tcW w:type="dxa" w:w="3249"/>
            <w:vAlign w:val="center"/>
          </w:tcPr>
          <w:p>
            <w:r/>
            <w:r>
              <w:rPr>
                <w:rFonts w:ascii="Figtree" w:hAnsi="Figtree"/>
                <w:b w:val="0"/>
                <w:i w:val="0"/>
                <w:sz w:val="22"/>
              </w:rPr>
              <w:t>20% of Year 1 total</w:t>
            </w:r>
          </w:p>
        </w:tc>
        <w:tc>
          <w:tcPr>
            <w:tcW w:type="dxa" w:w="3249"/>
            <w:vAlign w:val="center"/>
          </w:tcPr>
          <w:p>
            <w:r/>
            <w:r>
              <w:rPr>
                <w:rFonts w:ascii="Figtree" w:hAnsi="Figtree"/>
                <w:b w:val="0"/>
                <w:i w:val="0"/>
                <w:sz w:val="22"/>
              </w:rPr>
              <w:t>Production deployment</w:t>
            </w:r>
          </w:p>
        </w:tc>
      </w:tr>
      <w:tr>
        <w:trPr>
          <w:trHeight w:val="454" w:hRule="atLeast"/>
        </w:trPr>
        <w:tc>
          <w:tcPr>
            <w:tcW w:type="dxa" w:w="3249"/>
            <w:vAlign w:val="center"/>
          </w:tcPr>
          <w:p>
            <w:r/>
            <w:r>
              <w:rPr>
                <w:rFonts w:ascii="Figtree" w:hAnsi="Figtree"/>
                <w:b w:val="0"/>
                <w:i w:val="0"/>
                <w:sz w:val="22"/>
              </w:rPr>
              <w:t>Annual renewal</w:t>
            </w:r>
          </w:p>
        </w:tc>
        <w:tc>
          <w:tcPr>
            <w:tcW w:type="dxa" w:w="3249"/>
            <w:vAlign w:val="center"/>
          </w:tcPr>
          <w:p>
            <w:r/>
            <w:r>
              <w:rPr>
                <w:rFonts w:ascii="Figtree" w:hAnsi="Figtree"/>
                <w:b w:val="0"/>
                <w:i w:val="0"/>
                <w:sz w:val="22"/>
              </w:rPr>
              <w:t>Annual fee</w:t>
            </w:r>
          </w:p>
        </w:tc>
        <w:tc>
          <w:tcPr>
            <w:tcW w:type="dxa" w:w="3249"/>
            <w:vAlign w:val="center"/>
          </w:tcPr>
          <w:p>
            <w:r/>
            <w:r>
              <w:rPr>
                <w:rFonts w:ascii="Figtree" w:hAnsi="Figtree"/>
                <w:b w:val="0"/>
                <w:i w:val="0"/>
                <w:sz w:val="22"/>
              </w:rPr>
              <w:t>Anniversary date</w:t>
            </w:r>
          </w:p>
        </w:tc>
      </w:tr>
    </w:tbl>
    <w:p>
      <w:pPr>
        <w:pStyle w:val="H3"/>
        <w:numPr>
          <w:ilvl w:val="2"/>
          <w:numId w:val="1"/>
        </w:numPr>
      </w:pPr>
      <w:r>
        <w:t>Commercial Assumptions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Assumption</w:t>
            </w:r>
          </w:p>
        </w:tc>
        <w:tc>
          <w:tcPr>
            <w:tcW w:type="dxa" w:w="4873"/>
            <w:vAlign w:val="center"/>
            <w:shd w:fill="000099" w:val="clear"/>
          </w:tcPr>
          <w:p>
            <w:r>
              <w:rPr>
                <w:b/>
                <w:color w:val="FFFFFF"/>
              </w:rPr>
            </w:r>
            <w:r>
              <w:rPr>
                <w:rFonts w:ascii="Figtree" w:hAnsi="Figtree"/>
                <w:b/>
                <w:i w:val="0"/>
                <w:color w:val="FFFFFF"/>
                <w:sz w:val="22"/>
              </w:rPr>
              <w:t>Detail</w:t>
            </w:r>
          </w:p>
        </w:tc>
      </w:tr>
      <w:tr>
        <w:trPr>
          <w:trHeight w:val="454" w:hRule="atLeast"/>
        </w:trPr>
        <w:tc>
          <w:tcPr>
            <w:tcW w:type="dxa" w:w="4873"/>
            <w:vAlign w:val="center"/>
          </w:tcPr>
          <w:p>
            <w:r/>
            <w:r>
              <w:rPr>
                <w:rFonts w:ascii="Figtree" w:hAnsi="Figtree"/>
                <w:b w:val="0"/>
                <w:i w:val="0"/>
                <w:sz w:val="22"/>
              </w:rPr>
              <w:t>Currency</w:t>
            </w:r>
          </w:p>
        </w:tc>
        <w:tc>
          <w:tcPr>
            <w:tcW w:type="dxa" w:w="4873"/>
            <w:vAlign w:val="center"/>
          </w:tcPr>
          <w:p>
            <w:r/>
            <w:r>
              <w:rPr>
                <w:rFonts w:ascii="Figtree" w:hAnsi="Figtree"/>
                <w:b w:val="0"/>
                <w:i w:val="0"/>
                <w:sz w:val="22"/>
              </w:rPr>
              <w:t>USD</w:t>
            </w:r>
          </w:p>
        </w:tc>
      </w:tr>
      <w:tr>
        <w:trPr>
          <w:trHeight w:val="454" w:hRule="atLeast"/>
        </w:trPr>
        <w:tc>
          <w:tcPr>
            <w:tcW w:type="dxa" w:w="4873"/>
            <w:vAlign w:val="center"/>
          </w:tcPr>
          <w:p>
            <w:r/>
            <w:r>
              <w:rPr>
                <w:rFonts w:ascii="Figtree" w:hAnsi="Figtree"/>
                <w:b w:val="0"/>
                <w:i w:val="0"/>
                <w:sz w:val="22"/>
              </w:rPr>
              <w:t>Payment terms</w:t>
            </w:r>
          </w:p>
        </w:tc>
        <w:tc>
          <w:tcPr>
            <w:tcW w:type="dxa" w:w="4873"/>
            <w:vAlign w:val="center"/>
          </w:tcPr>
          <w:p>
            <w:r/>
            <w:r>
              <w:rPr>
                <w:rFonts w:ascii="Figtree" w:hAnsi="Figtree"/>
                <w:b w:val="0"/>
                <w:i w:val="0"/>
                <w:sz w:val="22"/>
              </w:rPr>
              <w:t>Net 30 from invoice date</w:t>
            </w:r>
          </w:p>
        </w:tc>
      </w:tr>
      <w:tr>
        <w:trPr>
          <w:trHeight w:val="454" w:hRule="atLeast"/>
        </w:trPr>
        <w:tc>
          <w:tcPr>
            <w:tcW w:type="dxa" w:w="4873"/>
            <w:vAlign w:val="center"/>
          </w:tcPr>
          <w:p>
            <w:r/>
            <w:r>
              <w:rPr>
                <w:rFonts w:ascii="Figtree" w:hAnsi="Figtree"/>
                <w:b w:val="0"/>
                <w:i w:val="0"/>
                <w:sz w:val="22"/>
              </w:rPr>
              <w:t>Contract term</w:t>
            </w:r>
          </w:p>
        </w:tc>
        <w:tc>
          <w:tcPr>
            <w:tcW w:type="dxa" w:w="4873"/>
            <w:vAlign w:val="center"/>
          </w:tcPr>
          <w:p>
            <w:r/>
            <w:r>
              <w:rPr>
                <w:rFonts w:ascii="Figtree" w:hAnsi="Figtree"/>
                <w:b w:val="0"/>
                <w:i w:val="0"/>
                <w:sz w:val="22"/>
              </w:rPr>
              <w:t>3 years (annual renewal thereafter)</w:t>
            </w:r>
          </w:p>
        </w:tc>
      </w:tr>
      <w:tr>
        <w:trPr>
          <w:trHeight w:val="454" w:hRule="atLeast"/>
        </w:trPr>
        <w:tc>
          <w:tcPr>
            <w:tcW w:type="dxa" w:w="4873"/>
            <w:vAlign w:val="center"/>
          </w:tcPr>
          <w:p>
            <w:r/>
            <w:r>
              <w:rPr>
                <w:rFonts w:ascii="Figtree" w:hAnsi="Figtree"/>
                <w:b w:val="0"/>
                <w:i w:val="0"/>
                <w:sz w:val="22"/>
              </w:rPr>
              <w:t>Price escalation</w:t>
            </w:r>
          </w:p>
        </w:tc>
        <w:tc>
          <w:tcPr>
            <w:tcW w:type="dxa" w:w="4873"/>
            <w:vAlign w:val="center"/>
          </w:tcPr>
          <w:p>
            <w:r/>
            <w:r>
              <w:rPr>
                <w:rFonts w:ascii="Figtree" w:hAnsi="Figtree"/>
                <w:b w:val="0"/>
                <w:i w:val="0"/>
                <w:sz w:val="22"/>
              </w:rPr>
              <w:t>Fixed for Year 1; CPI-indexed for Years 2–3 (capped at 5%)</w:t>
            </w:r>
          </w:p>
        </w:tc>
      </w:tr>
      <w:tr>
        <w:trPr>
          <w:trHeight w:val="454" w:hRule="atLeast"/>
        </w:trPr>
        <w:tc>
          <w:tcPr>
            <w:tcW w:type="dxa" w:w="4873"/>
            <w:vAlign w:val="center"/>
          </w:tcPr>
          <w:p>
            <w:r/>
            <w:r>
              <w:rPr>
                <w:rFonts w:ascii="Figtree" w:hAnsi="Figtree"/>
                <w:b w:val="0"/>
                <w:i w:val="0"/>
                <w:sz w:val="22"/>
              </w:rPr>
              <w:t>Early termination</w:t>
            </w:r>
          </w:p>
        </w:tc>
        <w:tc>
          <w:tcPr>
            <w:tcW w:type="dxa" w:w="4873"/>
            <w:vAlign w:val="center"/>
          </w:tcPr>
          <w:p>
            <w:r/>
            <w:r>
              <w:rPr>
                <w:rFonts w:ascii="Figtree" w:hAnsi="Figtree"/>
                <w:b w:val="0"/>
                <w:i w:val="0"/>
                <w:sz w:val="22"/>
              </w:rPr>
              <w:t>90-day notice; remaining annual license prorated</w:t>
            </w:r>
          </w:p>
        </w:tc>
      </w:tr>
    </w:tbl>
    <w:p>
      <w:r>
        <w:br w:type="page"/>
      </w:r>
    </w:p>
    <w:p>
      <w:pPr>
        <w:pStyle w:val="H2"/>
        <w:numPr>
          <w:ilvl w:val="1"/>
          <w:numId w:val="1"/>
        </w:numPr>
      </w:pPr>
      <w:r>
        <w:t>Value Summary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Value Dimension</w:t>
            </w:r>
          </w:p>
        </w:tc>
        <w:tc>
          <w:tcPr>
            <w:tcW w:type="dxa" w:w="4873"/>
            <w:vAlign w:val="center"/>
            <w:shd w:fill="000099" w:val="clear"/>
          </w:tcPr>
          <w:p>
            <w:r>
              <w:rPr>
                <w:b/>
                <w:color w:val="FFFFFF"/>
              </w:rPr>
            </w:r>
            <w:r>
              <w:rPr>
                <w:rFonts w:ascii="Figtree" w:hAnsi="Figtree"/>
                <w:b/>
                <w:i w:val="0"/>
                <w:color w:val="FFFFFF"/>
                <w:sz w:val="22"/>
              </w:rPr>
              <w:t>Quantified Impact</w:t>
            </w:r>
          </w:p>
        </w:tc>
      </w:tr>
      <w:tr>
        <w:trPr>
          <w:trHeight w:val="454" w:hRule="atLeast"/>
        </w:trPr>
        <w:tc>
          <w:tcPr>
            <w:tcW w:type="dxa" w:w="4873"/>
            <w:vAlign w:val="center"/>
          </w:tcPr>
          <w:p>
            <w:r/>
            <w:r>
              <w:rPr>
                <w:rFonts w:ascii="Figtree" w:hAnsi="Figtree"/>
                <w:b w:val="0"/>
                <w:i w:val="0"/>
                <w:sz w:val="22"/>
              </w:rPr>
              <w:t>Settlement speed</w:t>
            </w:r>
          </w:p>
        </w:tc>
        <w:tc>
          <w:tcPr>
            <w:tcW w:type="dxa" w:w="4873"/>
            <w:vAlign w:val="center"/>
          </w:tcPr>
          <w:p>
            <w:r/>
            <w:r>
              <w:rPr>
                <w:rFonts w:ascii="Figtree" w:hAnsi="Figtree"/>
                <w:b w:val="0"/>
                <w:i w:val="0"/>
                <w:sz w:val="22"/>
              </w:rPr>
              <w:t>T+2/T+5 → T+0 (under 3 seconds)</w:t>
            </w:r>
          </w:p>
        </w:tc>
      </w:tr>
      <w:tr>
        <w:trPr>
          <w:trHeight w:val="454" w:hRule="atLeast"/>
        </w:trPr>
        <w:tc>
          <w:tcPr>
            <w:tcW w:type="dxa" w:w="4873"/>
            <w:vAlign w:val="center"/>
          </w:tcPr>
          <w:p>
            <w:r/>
            <w:r>
              <w:rPr>
                <w:rFonts w:ascii="Figtree" w:hAnsi="Figtree"/>
                <w:b w:val="0"/>
                <w:i w:val="0"/>
                <w:sz w:val="22"/>
              </w:rPr>
              <w:t>Time-to-market</w:t>
            </w:r>
          </w:p>
        </w:tc>
        <w:tc>
          <w:tcPr>
            <w:tcW w:type="dxa" w:w="4873"/>
            <w:vAlign w:val="center"/>
          </w:tcPr>
          <w:p>
            <w:r/>
            <w:r>
              <w:rPr>
                <w:rFonts w:ascii="Figtree" w:hAnsi="Figtree"/>
                <w:b w:val="0"/>
                <w:i w:val="0"/>
                <w:sz w:val="22"/>
              </w:rPr>
              <w:t>6–12 months → 19 weeks (first product)</w:t>
            </w:r>
          </w:p>
        </w:tc>
      </w:tr>
      <w:tr>
        <w:trPr>
          <w:trHeight w:val="454" w:hRule="atLeast"/>
        </w:trPr>
        <w:tc>
          <w:tcPr>
            <w:tcW w:type="dxa" w:w="4873"/>
            <w:vAlign w:val="center"/>
          </w:tcPr>
          <w:p>
            <w:r/>
            <w:r>
              <w:rPr>
                <w:rFonts w:ascii="Figtree" w:hAnsi="Figtree"/>
                <w:b w:val="0"/>
                <w:i w:val="0"/>
                <w:sz w:val="22"/>
              </w:rPr>
              <w:t>Reconciliation effort</w:t>
            </w:r>
          </w:p>
        </w:tc>
        <w:tc>
          <w:tcPr>
            <w:tcW w:type="dxa" w:w="4873"/>
            <w:vAlign w:val="center"/>
          </w:tcPr>
          <w:p>
            <w:r/>
            <w:r>
              <w:rPr>
                <w:rFonts w:ascii="Figtree" w:hAnsi="Figtree"/>
                <w:b w:val="0"/>
                <w:i w:val="0"/>
                <w:sz w:val="22"/>
              </w:rPr>
              <w:t>60–80% reduction (estimate)</w:t>
            </w:r>
          </w:p>
        </w:tc>
      </w:tr>
      <w:tr>
        <w:trPr>
          <w:trHeight w:val="454" w:hRule="atLeast"/>
        </w:trPr>
        <w:tc>
          <w:tcPr>
            <w:tcW w:type="dxa" w:w="4873"/>
            <w:vAlign w:val="center"/>
          </w:tcPr>
          <w:p>
            <w:r/>
            <w:r>
              <w:rPr>
                <w:rFonts w:ascii="Figtree" w:hAnsi="Figtree"/>
                <w:b w:val="0"/>
                <w:i w:val="0"/>
                <w:sz w:val="22"/>
              </w:rPr>
              <w:t>Compliance audit prep</w:t>
            </w:r>
          </w:p>
        </w:tc>
        <w:tc>
          <w:tcPr>
            <w:tcW w:type="dxa" w:w="4873"/>
            <w:vAlign w:val="center"/>
          </w:tcPr>
          <w:p>
            <w:r/>
            <w:r>
              <w:rPr>
                <w:rFonts w:ascii="Figtree" w:hAnsi="Figtree"/>
                <w:b w:val="0"/>
                <w:i w:val="0"/>
                <w:sz w:val="22"/>
              </w:rPr>
              <w:t>Days → hours (automated extraction)</w:t>
            </w:r>
          </w:p>
        </w:tc>
      </w:tr>
      <w:tr>
        <w:trPr>
          <w:trHeight w:val="454" w:hRule="atLeast"/>
        </w:trPr>
        <w:tc>
          <w:tcPr>
            <w:tcW w:type="dxa" w:w="4873"/>
            <w:vAlign w:val="center"/>
          </w:tcPr>
          <w:p>
            <w:r/>
            <w:r>
              <w:rPr>
                <w:rFonts w:ascii="Figtree" w:hAnsi="Figtree"/>
                <w:b w:val="0"/>
                <w:i w:val="0"/>
                <w:sz w:val="22"/>
              </w:rPr>
              <w:t>Product expansion cost</w:t>
            </w:r>
          </w:p>
        </w:tc>
        <w:tc>
          <w:tcPr>
            <w:tcW w:type="dxa" w:w="4873"/>
            <w:vAlign w:val="center"/>
          </w:tcPr>
          <w:p>
            <w:r/>
            <w:r>
              <w:rPr>
                <w:rFonts w:ascii="Figtree" w:hAnsi="Figtree"/>
                <w:b w:val="0"/>
                <w:i w:val="0"/>
                <w:sz w:val="22"/>
              </w:rPr>
              <w:t>Custom development → configuration change</w:t>
            </w:r>
          </w:p>
        </w:tc>
      </w:tr>
      <w:tr>
        <w:trPr>
          <w:trHeight w:val="454" w:hRule="atLeast"/>
        </w:trPr>
        <w:tc>
          <w:tcPr>
            <w:tcW w:type="dxa" w:w="4873"/>
            <w:vAlign w:val="center"/>
          </w:tcPr>
          <w:p>
            <w:r/>
            <w:r>
              <w:rPr>
                <w:rFonts w:ascii="Figtree" w:hAnsi="Figtree"/>
                <w:b w:val="0"/>
                <w:i w:val="0"/>
                <w:sz w:val="22"/>
              </w:rPr>
              <w:t>Reference benchmark</w:t>
            </w:r>
          </w:p>
        </w:tc>
        <w:tc>
          <w:tcPr>
            <w:tcW w:type="dxa" w:w="4873"/>
            <w:vAlign w:val="center"/>
          </w:tcPr>
          <w:p>
            <w:r/>
            <w:r>
              <w:rPr>
                <w:rFonts w:ascii="Figtree" w:hAnsi="Figtree"/>
                <w:b w:val="0"/>
                <w:i w:val="0"/>
                <w:sz w:val="22"/>
              </w:rPr>
              <w:t>Commerzbank: EUR 7M/year projected savings</w:t>
            </w:r>
          </w:p>
        </w:tc>
      </w:tr>
    </w:tbl>
    <w:p>
      <w:r>
        <w:br w:type="page"/>
      </w:r>
    </w:p>
    <w:p>
      <w:pPr>
        <w:pStyle w:val="H2"/>
        <w:numPr>
          <w:ilvl w:val="1"/>
          <w:numId w:val="1"/>
        </w:numPr>
      </w:pPr>
      <w:r>
        <w:t>Detailed Commercial Analysis</w:t>
      </w:r>
    </w:p>
    <w:p>
      <w:pPr>
        <w:pStyle w:val="H3"/>
        <w:numPr>
          <w:ilvl w:val="2"/>
          <w:numId w:val="1"/>
        </w:numPr>
      </w:pPr>
      <w:r>
        <w:t>Buy vs. Build Analysis</w:t>
      </w:r>
    </w:p>
    <w:p>
      <w:r>
        <w:rPr>
          <w:rFonts w:ascii="Figtree" w:hAnsi="Figtree"/>
          <w:b w:val="0"/>
          <w:i w:val="0"/>
          <w:sz w:val="22"/>
        </w:rPr>
        <w:t>Emirates NBD faces a fundamental decision: build tokenized deposit and trade finance infrastructure internally, assemble it from multiple point-solution vendors, or adopt a unified platform like DALP. This section provides a structured analysis of each approach.</w:t>
      </w:r>
    </w:p>
    <w:p>
      <w:r>
        <w:rPr>
          <w:rFonts w:ascii="Figtree" w:hAnsi="Figtree"/>
          <w:b/>
          <w:i w:val="0"/>
          <w:sz w:val="22"/>
        </w:rPr>
        <w:t>Option 1: Internal Build</w:t>
      </w:r>
    </w:p>
    <w:p>
      <w:r>
        <w:rPr>
          <w:rFonts w:ascii="Figtree" w:hAnsi="Figtree"/>
          <w:b w:val="0"/>
          <w:i w:val="0"/>
          <w:sz w:val="22"/>
        </w:rPr>
        <w:t>Building internally would require Emirates NBD to assemble a team of blockchain engineers, smart contract developers, compliance system designers, and infrastructure operators. Based on comparable institutional projects: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Cost Component</w:t>
            </w:r>
          </w:p>
        </w:tc>
        <w:tc>
          <w:tcPr>
            <w:tcW w:type="dxa" w:w="3249"/>
            <w:vAlign w:val="center"/>
            <w:shd w:fill="000099" w:val="clear"/>
          </w:tcPr>
          <w:p>
            <w:r>
              <w:rPr>
                <w:b/>
                <w:color w:val="FFFFFF"/>
              </w:rPr>
            </w:r>
            <w:r>
              <w:rPr>
                <w:rFonts w:ascii="Figtree" w:hAnsi="Figtree"/>
                <w:b/>
                <w:i w:val="0"/>
                <w:color w:val="FFFFFF"/>
                <w:sz w:val="22"/>
              </w:rPr>
              <w:t>Estimated Cost (3 Years)</w:t>
            </w:r>
          </w:p>
        </w:tc>
        <w:tc>
          <w:tcPr>
            <w:tcW w:type="dxa" w:w="3249"/>
            <w:vAlign w:val="center"/>
            <w:shd w:fill="000099" w:val="clear"/>
          </w:tcPr>
          <w:p>
            <w:r>
              <w:rPr>
                <w:b/>
                <w:color w:val="FFFFFF"/>
              </w:rPr>
            </w:r>
            <w:r>
              <w:rPr>
                <w:rFonts w:ascii="Figtree" w:hAnsi="Figtree"/>
                <w:b/>
                <w:i w:val="0"/>
                <w:color w:val="FFFFFF"/>
                <w:sz w:val="22"/>
              </w:rPr>
              <w:t>Notes</w:t>
            </w:r>
          </w:p>
        </w:tc>
      </w:tr>
      <w:tr>
        <w:trPr>
          <w:trHeight w:val="454" w:hRule="atLeast"/>
        </w:trPr>
        <w:tc>
          <w:tcPr>
            <w:tcW w:type="dxa" w:w="3249"/>
            <w:vAlign w:val="center"/>
          </w:tcPr>
          <w:p>
            <w:r/>
            <w:r>
              <w:rPr>
                <w:rFonts w:ascii="Figtree" w:hAnsi="Figtree"/>
                <w:b w:val="0"/>
                <w:i w:val="0"/>
                <w:sz w:val="22"/>
              </w:rPr>
              <w:t>Engineering team (8–15 FTEs)</w:t>
            </w:r>
          </w:p>
        </w:tc>
        <w:tc>
          <w:tcPr>
            <w:tcW w:type="dxa" w:w="3249"/>
            <w:vAlign w:val="center"/>
          </w:tcPr>
          <w:p>
            <w:r/>
            <w:r>
              <w:rPr>
                <w:rFonts w:ascii="Figtree" w:hAnsi="Figtree"/>
                <w:b w:val="0"/>
                <w:i w:val="0"/>
                <w:sz w:val="22"/>
              </w:rPr>
              <w:t>$3.2M – $6.0M</w:t>
            </w:r>
          </w:p>
        </w:tc>
        <w:tc>
          <w:tcPr>
            <w:tcW w:type="dxa" w:w="3249"/>
            <w:vAlign w:val="center"/>
          </w:tcPr>
          <w:p>
            <w:r/>
            <w:r>
              <w:rPr>
                <w:rFonts w:ascii="Figtree" w:hAnsi="Figtree"/>
                <w:b w:val="0"/>
                <w:i w:val="0"/>
                <w:sz w:val="22"/>
              </w:rPr>
              <w:t>Blockchain + compliance + integration specialists</w:t>
            </w:r>
          </w:p>
        </w:tc>
      </w:tr>
      <w:tr>
        <w:trPr>
          <w:trHeight w:val="454" w:hRule="atLeast"/>
        </w:trPr>
        <w:tc>
          <w:tcPr>
            <w:tcW w:type="dxa" w:w="3249"/>
            <w:vAlign w:val="center"/>
          </w:tcPr>
          <w:p>
            <w:r/>
            <w:r>
              <w:rPr>
                <w:rFonts w:ascii="Figtree" w:hAnsi="Figtree"/>
                <w:b w:val="0"/>
                <w:i w:val="0"/>
                <w:sz w:val="22"/>
              </w:rPr>
              <w:t>Smart contract development</w:t>
            </w:r>
          </w:p>
        </w:tc>
        <w:tc>
          <w:tcPr>
            <w:tcW w:type="dxa" w:w="3249"/>
            <w:vAlign w:val="center"/>
          </w:tcPr>
          <w:p>
            <w:r/>
            <w:r>
              <w:rPr>
                <w:rFonts w:ascii="Figtree" w:hAnsi="Figtree"/>
                <w:b w:val="0"/>
                <w:i w:val="0"/>
                <w:sz w:val="22"/>
              </w:rPr>
              <w:t>$800K – $1.5M</w:t>
            </w:r>
          </w:p>
        </w:tc>
        <w:tc>
          <w:tcPr>
            <w:tcW w:type="dxa" w:w="3249"/>
            <w:vAlign w:val="center"/>
          </w:tcPr>
          <w:p>
            <w:r/>
            <w:r>
              <w:rPr>
                <w:rFonts w:ascii="Figtree" w:hAnsi="Figtree"/>
                <w:b w:val="0"/>
                <w:i w:val="0"/>
                <w:sz w:val="22"/>
              </w:rPr>
              <w:t>Custom development for each asset type</w:t>
            </w:r>
          </w:p>
        </w:tc>
      </w:tr>
      <w:tr>
        <w:trPr>
          <w:trHeight w:val="454" w:hRule="atLeast"/>
        </w:trPr>
        <w:tc>
          <w:tcPr>
            <w:tcW w:type="dxa" w:w="3249"/>
            <w:vAlign w:val="center"/>
          </w:tcPr>
          <w:p>
            <w:r/>
            <w:r>
              <w:rPr>
                <w:rFonts w:ascii="Figtree" w:hAnsi="Figtree"/>
                <w:b w:val="0"/>
                <w:i w:val="0"/>
                <w:sz w:val="22"/>
              </w:rPr>
              <w:t>Security audits</w:t>
            </w:r>
          </w:p>
        </w:tc>
        <w:tc>
          <w:tcPr>
            <w:tcW w:type="dxa" w:w="3249"/>
            <w:vAlign w:val="center"/>
          </w:tcPr>
          <w:p>
            <w:r/>
            <w:r>
              <w:rPr>
                <w:rFonts w:ascii="Figtree" w:hAnsi="Figtree"/>
                <w:b w:val="0"/>
                <w:i w:val="0"/>
                <w:sz w:val="22"/>
              </w:rPr>
              <w:t>$400K – $1.0M</w:t>
            </w:r>
          </w:p>
        </w:tc>
        <w:tc>
          <w:tcPr>
            <w:tcW w:type="dxa" w:w="3249"/>
            <w:vAlign w:val="center"/>
          </w:tcPr>
          <w:p>
            <w:r/>
            <w:r>
              <w:rPr>
                <w:rFonts w:ascii="Figtree" w:hAnsi="Figtree"/>
                <w:b w:val="0"/>
                <w:i w:val="0"/>
                <w:sz w:val="22"/>
              </w:rPr>
              <w:t>$200K–$500K per asset class, annual re-audits</w:t>
            </w:r>
          </w:p>
        </w:tc>
      </w:tr>
      <w:tr>
        <w:trPr>
          <w:trHeight w:val="454" w:hRule="atLeast"/>
        </w:trPr>
        <w:tc>
          <w:tcPr>
            <w:tcW w:type="dxa" w:w="3249"/>
            <w:vAlign w:val="center"/>
          </w:tcPr>
          <w:p>
            <w:r/>
            <w:r>
              <w:rPr>
                <w:rFonts w:ascii="Figtree" w:hAnsi="Figtree"/>
                <w:b w:val="0"/>
                <w:i w:val="0"/>
                <w:sz w:val="22"/>
              </w:rPr>
              <w:t>Infrastructure setup</w:t>
            </w:r>
          </w:p>
        </w:tc>
        <w:tc>
          <w:tcPr>
            <w:tcW w:type="dxa" w:w="3249"/>
            <w:vAlign w:val="center"/>
          </w:tcPr>
          <w:p>
            <w:r/>
            <w:r>
              <w:rPr>
                <w:rFonts w:ascii="Figtree" w:hAnsi="Figtree"/>
                <w:b w:val="0"/>
                <w:i w:val="0"/>
                <w:sz w:val="22"/>
              </w:rPr>
              <w:t>$200K – $400K</w:t>
            </w:r>
          </w:p>
        </w:tc>
        <w:tc>
          <w:tcPr>
            <w:tcW w:type="dxa" w:w="3249"/>
            <w:vAlign w:val="center"/>
          </w:tcPr>
          <w:p>
            <w:r/>
            <w:r>
              <w:rPr>
                <w:rFonts w:ascii="Figtree" w:hAnsi="Figtree"/>
                <w:b w:val="0"/>
                <w:i w:val="0"/>
                <w:sz w:val="22"/>
              </w:rPr>
              <w:t>Cloud, blockchain nodes, monitoring</w:t>
            </w:r>
          </w:p>
        </w:tc>
      </w:tr>
      <w:tr>
        <w:trPr>
          <w:trHeight w:val="454" w:hRule="atLeast"/>
        </w:trPr>
        <w:tc>
          <w:tcPr>
            <w:tcW w:type="dxa" w:w="3249"/>
            <w:vAlign w:val="center"/>
          </w:tcPr>
          <w:p>
            <w:r/>
            <w:r>
              <w:rPr>
                <w:rFonts w:ascii="Figtree" w:hAnsi="Figtree"/>
                <w:b w:val="0"/>
                <w:i w:val="0"/>
                <w:sz w:val="22"/>
              </w:rPr>
              <w:t>Compliance engine</w:t>
            </w:r>
          </w:p>
        </w:tc>
        <w:tc>
          <w:tcPr>
            <w:tcW w:type="dxa" w:w="3249"/>
            <w:vAlign w:val="center"/>
          </w:tcPr>
          <w:p>
            <w:r/>
            <w:r>
              <w:rPr>
                <w:rFonts w:ascii="Figtree" w:hAnsi="Figtree"/>
                <w:b w:val="0"/>
                <w:i w:val="0"/>
                <w:sz w:val="22"/>
              </w:rPr>
              <w:t>$500K – $800K</w:t>
            </w:r>
          </w:p>
        </w:tc>
        <w:tc>
          <w:tcPr>
            <w:tcW w:type="dxa" w:w="3249"/>
            <w:vAlign w:val="center"/>
          </w:tcPr>
          <w:p>
            <w:r/>
            <w:r>
              <w:rPr>
                <w:rFonts w:ascii="Figtree" w:hAnsi="Figtree"/>
                <w:b w:val="0"/>
                <w:i w:val="0"/>
                <w:sz w:val="22"/>
              </w:rPr>
              <w:t>Custom compliance rules, identity integration</w:t>
            </w:r>
          </w:p>
        </w:tc>
      </w:tr>
      <w:tr>
        <w:trPr>
          <w:trHeight w:val="454" w:hRule="atLeast"/>
        </w:trPr>
        <w:tc>
          <w:tcPr>
            <w:tcW w:type="dxa" w:w="3249"/>
            <w:vAlign w:val="center"/>
          </w:tcPr>
          <w:p>
            <w:r/>
            <w:r>
              <w:rPr>
                <w:rFonts w:ascii="Figtree" w:hAnsi="Figtree"/>
                <w:b w:val="0"/>
                <w:i w:val="0"/>
                <w:sz w:val="22"/>
              </w:rPr>
              <w:t>Ongoing maintenance</w:t>
            </w:r>
          </w:p>
        </w:tc>
        <w:tc>
          <w:tcPr>
            <w:tcW w:type="dxa" w:w="3249"/>
            <w:vAlign w:val="center"/>
          </w:tcPr>
          <w:p>
            <w:r/>
            <w:r>
              <w:rPr>
                <w:rFonts w:ascii="Figtree" w:hAnsi="Figtree"/>
                <w:b w:val="0"/>
                <w:i w:val="0"/>
                <w:sz w:val="22"/>
              </w:rPr>
              <w:t>$1.2M – $2.4M</w:t>
            </w:r>
          </w:p>
        </w:tc>
        <w:tc>
          <w:tcPr>
            <w:tcW w:type="dxa" w:w="3249"/>
            <w:vAlign w:val="center"/>
          </w:tcPr>
          <w:p>
            <w:r/>
            <w:r>
              <w:rPr>
                <w:rFonts w:ascii="Figtree" w:hAnsi="Figtree"/>
                <w:b w:val="0"/>
                <w:i w:val="0"/>
                <w:sz w:val="22"/>
              </w:rPr>
              <w:t>4–6 FTEs for platform operations</w:t>
            </w:r>
          </w:p>
        </w:tc>
      </w:tr>
      <w:tr>
        <w:trPr>
          <w:trHeight w:val="454" w:hRule="atLeast"/>
        </w:trPr>
        <w:tc>
          <w:tcPr>
            <w:tcW w:type="dxa" w:w="3249"/>
            <w:vAlign w:val="center"/>
          </w:tcPr>
          <w:p>
            <w:r/>
            <w:r>
              <w:rPr>
                <w:rFonts w:ascii="Figtree" w:hAnsi="Figtree"/>
                <w:b/>
                <w:i w:val="0"/>
                <w:sz w:val="22"/>
              </w:rPr>
              <w:t>Total estimate</w:t>
            </w:r>
          </w:p>
        </w:tc>
        <w:tc>
          <w:tcPr>
            <w:tcW w:type="dxa" w:w="3249"/>
            <w:vAlign w:val="center"/>
          </w:tcPr>
          <w:p>
            <w:r/>
            <w:r>
              <w:rPr>
                <w:rFonts w:ascii="Figtree" w:hAnsi="Figtree"/>
                <w:b/>
                <w:i w:val="0"/>
                <w:sz w:val="22"/>
              </w:rPr>
              <w:t>$6.3M – $12.1M</w:t>
            </w:r>
          </w:p>
        </w:tc>
        <w:tc>
          <w:tcPr>
            <w:tcW w:type="dxa" w:w="3249"/>
            <w:vAlign w:val="center"/>
          </w:tcPr>
          <w:p>
            <w:r/>
            <w:r>
              <w:rPr>
                <w:rFonts w:ascii="Figtree" w:hAnsi="Figtree"/>
                <w:b w:val="0"/>
                <w:i w:val="0"/>
                <w:sz w:val="22"/>
              </w:rPr>
              <w:t>Before Emirates NBD internal cost allocation</w:t>
            </w:r>
          </w:p>
        </w:tc>
      </w:tr>
    </w:tbl>
    <w:p>
      <w:r>
        <w:rPr>
          <w:rFonts w:ascii="Figtree" w:hAnsi="Figtree"/>
          <w:b/>
          <w:i w:val="0"/>
          <w:sz w:val="22"/>
        </w:rPr>
        <w:t>Risks of internal build:</w:t>
      </w:r>
    </w:p>
    <w:p>
      <w:pPr>
        <w:pStyle w:val="ListParagraph"/>
        <w:numPr>
          <w:ilvl w:val="0"/>
          <w:numId w:val="4"/>
        </w:numPr>
      </w:pPr>
      <w:r>
        <w:rPr>
          <w:rFonts w:ascii="Figtree" w:hAnsi="Figtree"/>
          <w:b w:val="0"/>
          <w:i w:val="0"/>
          <w:sz w:val="22"/>
        </w:rPr>
        <w:t>12–24 months to first production deployment (vs. 19 weeks with DALP)</w:t>
      </w:r>
    </w:p>
    <w:p>
      <w:pPr>
        <w:pStyle w:val="ListParagraph"/>
        <w:numPr>
          <w:ilvl w:val="0"/>
          <w:numId w:val="4"/>
        </w:numPr>
      </w:pPr>
      <w:r>
        <w:rPr>
          <w:rFonts w:ascii="Figtree" w:hAnsi="Figtree"/>
          <w:b w:val="0"/>
          <w:i w:val="0"/>
          <w:sz w:val="22"/>
        </w:rPr>
        <w:t>Single-vendor dependency on Emirates NBD's own team (attrition risk)</w:t>
      </w:r>
    </w:p>
    <w:p>
      <w:pPr>
        <w:pStyle w:val="ListParagraph"/>
        <w:numPr>
          <w:ilvl w:val="0"/>
          <w:numId w:val="4"/>
        </w:numPr>
      </w:pPr>
      <w:r>
        <w:rPr>
          <w:rFonts w:ascii="Figtree" w:hAnsi="Figtree"/>
          <w:b w:val="0"/>
          <w:i w:val="0"/>
          <w:sz w:val="22"/>
        </w:rPr>
        <w:t>No production reference deployments to validate architecture decisions</w:t>
      </w:r>
    </w:p>
    <w:p>
      <w:pPr>
        <w:pStyle w:val="ListParagraph"/>
        <w:numPr>
          <w:ilvl w:val="0"/>
          <w:numId w:val="4"/>
        </w:numPr>
      </w:pPr>
      <w:r>
        <w:rPr>
          <w:rFonts w:ascii="Figtree" w:hAnsi="Figtree"/>
          <w:b w:val="0"/>
          <w:i w:val="0"/>
          <w:sz w:val="22"/>
        </w:rPr>
        <w:t>Each new asset class requires a fresh development cycle</w:t>
      </w:r>
    </w:p>
    <w:p>
      <w:pPr>
        <w:pStyle w:val="ListParagraph"/>
        <w:numPr>
          <w:ilvl w:val="0"/>
          <w:numId w:val="4"/>
        </w:numPr>
      </w:pPr>
      <w:r>
        <w:rPr>
          <w:rFonts w:ascii="Figtree" w:hAnsi="Figtree"/>
          <w:b w:val="0"/>
          <w:i w:val="0"/>
          <w:sz w:val="22"/>
        </w:rPr>
        <w:t>Compliance module updates require re-audit with each regulatory change</w:t>
      </w:r>
    </w:p>
    <w:p>
      <w:r>
        <w:rPr>
          <w:rFonts w:ascii="Figtree" w:hAnsi="Figtree"/>
          <w:b/>
          <w:i w:val="0"/>
          <w:sz w:val="22"/>
        </w:rPr>
        <w:t>Option 2: Multi-Vendor Assembly</w:t>
      </w:r>
    </w:p>
    <w:p>
      <w:r>
        <w:rPr>
          <w:rFonts w:ascii="Figtree" w:hAnsi="Figtree"/>
          <w:b w:val="0"/>
          <w:i w:val="0"/>
          <w:sz w:val="22"/>
        </w:rPr>
        <w:t>Assembling capabilities from multiple vendors (one for tokenization, one for compliance, one for custody, one for settlement) introduces coordination complexity: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Challenge</w:t>
            </w:r>
          </w:p>
        </w:tc>
        <w:tc>
          <w:tcPr>
            <w:tcW w:type="dxa" w:w="4873"/>
            <w:vAlign w:val="center"/>
            <w:shd w:fill="000099" w:val="clear"/>
          </w:tcPr>
          <w:p>
            <w:r>
              <w:rPr>
                <w:b/>
                <w:color w:val="FFFFFF"/>
              </w:rPr>
            </w:r>
            <w:r>
              <w:rPr>
                <w:rFonts w:ascii="Figtree" w:hAnsi="Figtree"/>
                <w:b/>
                <w:i w:val="0"/>
                <w:color w:val="FFFFFF"/>
                <w:sz w:val="22"/>
              </w:rPr>
              <w:t>Impact</w:t>
            </w:r>
          </w:p>
        </w:tc>
      </w:tr>
      <w:tr>
        <w:trPr>
          <w:trHeight w:val="454" w:hRule="atLeast"/>
        </w:trPr>
        <w:tc>
          <w:tcPr>
            <w:tcW w:type="dxa" w:w="4873"/>
            <w:vAlign w:val="center"/>
          </w:tcPr>
          <w:p>
            <w:r/>
            <w:r>
              <w:rPr>
                <w:rFonts w:ascii="Figtree" w:hAnsi="Figtree"/>
                <w:b w:val="0"/>
                <w:i w:val="0"/>
                <w:sz w:val="22"/>
              </w:rPr>
              <w:t>Vendor coordination</w:t>
            </w:r>
          </w:p>
        </w:tc>
        <w:tc>
          <w:tcPr>
            <w:tcW w:type="dxa" w:w="4873"/>
            <w:vAlign w:val="center"/>
          </w:tcPr>
          <w:p>
            <w:r/>
            <w:r>
              <w:rPr>
                <w:rFonts w:ascii="Figtree" w:hAnsi="Figtree"/>
                <w:b w:val="0"/>
                <w:i w:val="0"/>
                <w:sz w:val="22"/>
              </w:rPr>
              <w:t>3–5 vendor relationships to manage, with unclear integration responsibility</w:t>
            </w:r>
          </w:p>
        </w:tc>
      </w:tr>
      <w:tr>
        <w:trPr>
          <w:trHeight w:val="454" w:hRule="atLeast"/>
        </w:trPr>
        <w:tc>
          <w:tcPr>
            <w:tcW w:type="dxa" w:w="4873"/>
            <w:vAlign w:val="center"/>
          </w:tcPr>
          <w:p>
            <w:r/>
            <w:r>
              <w:rPr>
                <w:rFonts w:ascii="Figtree" w:hAnsi="Figtree"/>
                <w:b w:val="0"/>
                <w:i w:val="0"/>
                <w:sz w:val="22"/>
              </w:rPr>
              <w:t>SLA gaps</w:t>
            </w:r>
          </w:p>
        </w:tc>
        <w:tc>
          <w:tcPr>
            <w:tcW w:type="dxa" w:w="4873"/>
            <w:vAlign w:val="center"/>
          </w:tcPr>
          <w:p>
            <w:r/>
            <w:r>
              <w:rPr>
                <w:rFonts w:ascii="Figtree" w:hAnsi="Figtree"/>
                <w:b w:val="0"/>
                <w:i w:val="0"/>
                <w:sz w:val="22"/>
              </w:rPr>
              <w:t>No single party accountable for end-to-end operation</w:t>
            </w:r>
          </w:p>
        </w:tc>
      </w:tr>
      <w:tr>
        <w:trPr>
          <w:trHeight w:val="454" w:hRule="atLeast"/>
        </w:trPr>
        <w:tc>
          <w:tcPr>
            <w:tcW w:type="dxa" w:w="4873"/>
            <w:vAlign w:val="center"/>
          </w:tcPr>
          <w:p>
            <w:r/>
            <w:r>
              <w:rPr>
                <w:rFonts w:ascii="Figtree" w:hAnsi="Figtree"/>
                <w:b w:val="0"/>
                <w:i w:val="0"/>
                <w:sz w:val="22"/>
              </w:rPr>
              <w:t>Integration cost</w:t>
            </w:r>
          </w:p>
        </w:tc>
        <w:tc>
          <w:tcPr>
            <w:tcW w:type="dxa" w:w="4873"/>
            <w:vAlign w:val="center"/>
          </w:tcPr>
          <w:p>
            <w:r/>
            <w:r>
              <w:rPr>
                <w:rFonts w:ascii="Figtree" w:hAnsi="Figtree"/>
                <w:b w:val="0"/>
                <w:i w:val="0"/>
                <w:sz w:val="22"/>
              </w:rPr>
              <w:t>Custom integration between each vendor pair</w:t>
            </w:r>
          </w:p>
        </w:tc>
      </w:tr>
      <w:tr>
        <w:trPr>
          <w:trHeight w:val="454" w:hRule="atLeast"/>
        </w:trPr>
        <w:tc>
          <w:tcPr>
            <w:tcW w:type="dxa" w:w="4873"/>
            <w:vAlign w:val="center"/>
          </w:tcPr>
          <w:p>
            <w:r/>
            <w:r>
              <w:rPr>
                <w:rFonts w:ascii="Figtree" w:hAnsi="Figtree"/>
                <w:b w:val="0"/>
                <w:i w:val="0"/>
                <w:sz w:val="22"/>
              </w:rPr>
              <w:t>Compliance consistency</w:t>
            </w:r>
          </w:p>
        </w:tc>
        <w:tc>
          <w:tcPr>
            <w:tcW w:type="dxa" w:w="4873"/>
            <w:vAlign w:val="center"/>
          </w:tcPr>
          <w:p>
            <w:r/>
            <w:r>
              <w:rPr>
                <w:rFonts w:ascii="Figtree" w:hAnsi="Figtree"/>
                <w:b w:val="0"/>
                <w:i w:val="0"/>
                <w:sz w:val="22"/>
              </w:rPr>
              <w:t>Each vendor's compliance approach may conflict</w:t>
            </w:r>
          </w:p>
        </w:tc>
      </w:tr>
      <w:tr>
        <w:trPr>
          <w:trHeight w:val="454" w:hRule="atLeast"/>
        </w:trPr>
        <w:tc>
          <w:tcPr>
            <w:tcW w:type="dxa" w:w="4873"/>
            <w:vAlign w:val="center"/>
          </w:tcPr>
          <w:p>
            <w:r/>
            <w:r>
              <w:rPr>
                <w:rFonts w:ascii="Figtree" w:hAnsi="Figtree"/>
                <w:b w:val="0"/>
                <w:i w:val="0"/>
                <w:sz w:val="22"/>
              </w:rPr>
              <w:t>Upgrade synchronization</w:t>
            </w:r>
          </w:p>
        </w:tc>
        <w:tc>
          <w:tcPr>
            <w:tcW w:type="dxa" w:w="4873"/>
            <w:vAlign w:val="center"/>
          </w:tcPr>
          <w:p>
            <w:r/>
            <w:r>
              <w:rPr>
                <w:rFonts w:ascii="Figtree" w:hAnsi="Figtree"/>
                <w:b w:val="0"/>
                <w:i w:val="0"/>
                <w:sz w:val="22"/>
              </w:rPr>
              <w:t>Updates to one vendor may break integrations with others</w:t>
            </w:r>
          </w:p>
        </w:tc>
      </w:tr>
      <w:tr>
        <w:trPr>
          <w:trHeight w:val="454" w:hRule="atLeast"/>
        </w:trPr>
        <w:tc>
          <w:tcPr>
            <w:tcW w:type="dxa" w:w="4873"/>
            <w:vAlign w:val="center"/>
          </w:tcPr>
          <w:p>
            <w:r/>
            <w:r>
              <w:rPr>
                <w:rFonts w:ascii="Figtree" w:hAnsi="Figtree"/>
                <w:b w:val="0"/>
                <w:i w:val="0"/>
                <w:sz w:val="22"/>
              </w:rPr>
              <w:t>Audit complexity</w:t>
            </w:r>
          </w:p>
        </w:tc>
        <w:tc>
          <w:tcPr>
            <w:tcW w:type="dxa" w:w="4873"/>
            <w:vAlign w:val="center"/>
          </w:tcPr>
          <w:p>
            <w:r/>
            <w:r>
              <w:rPr>
                <w:rFonts w:ascii="Figtree" w:hAnsi="Figtree"/>
                <w:b w:val="0"/>
                <w:i w:val="0"/>
                <w:sz w:val="22"/>
              </w:rPr>
              <w:t>Multiple audit trails to correlate</w:t>
            </w:r>
          </w:p>
        </w:tc>
      </w:tr>
    </w:tbl>
    <w:p>
      <w:r>
        <w:rPr>
          <w:rFonts w:ascii="Figtree" w:hAnsi="Figtree"/>
          <w:b/>
          <w:i w:val="0"/>
          <w:sz w:val="22"/>
        </w:rPr>
        <w:t>Option 3: DALP Platform (Recommended)</w:t>
      </w:r>
    </w:p>
    <w:p>
      <w:r>
        <w:rPr>
          <w:rFonts w:ascii="Figtree" w:hAnsi="Figtree"/>
          <w:b w:val="0"/>
          <w:i w:val="0"/>
          <w:sz w:val="22"/>
        </w:rPr>
        <w:t>DALP provides all five lifecycle capabilities (issuance, compliance, custody integration, settlement, servicing) in a single governed platform:</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Advantage</w:t>
            </w:r>
          </w:p>
        </w:tc>
        <w:tc>
          <w:tcPr>
            <w:tcW w:type="dxa" w:w="4873"/>
            <w:vAlign w:val="center"/>
            <w:shd w:fill="000099" w:val="clear"/>
          </w:tcPr>
          <w:p>
            <w:r>
              <w:rPr>
                <w:b/>
                <w:color w:val="FFFFFF"/>
              </w:rPr>
            </w:r>
            <w:r>
              <w:rPr>
                <w:rFonts w:ascii="Figtree" w:hAnsi="Figtree"/>
                <w:b/>
                <w:i w:val="0"/>
                <w:color w:val="FFFFFF"/>
                <w:sz w:val="22"/>
              </w:rPr>
              <w:t>Quantified Impact</w:t>
            </w:r>
          </w:p>
        </w:tc>
      </w:tr>
      <w:tr>
        <w:trPr>
          <w:trHeight w:val="454" w:hRule="atLeast"/>
        </w:trPr>
        <w:tc>
          <w:tcPr>
            <w:tcW w:type="dxa" w:w="4873"/>
            <w:vAlign w:val="center"/>
          </w:tcPr>
          <w:p>
            <w:r/>
            <w:r>
              <w:rPr>
                <w:rFonts w:ascii="Figtree" w:hAnsi="Figtree"/>
                <w:b w:val="0"/>
                <w:i w:val="0"/>
                <w:sz w:val="22"/>
              </w:rPr>
              <w:t>Time to production</w:t>
            </w:r>
          </w:p>
        </w:tc>
        <w:tc>
          <w:tcPr>
            <w:tcW w:type="dxa" w:w="4873"/>
            <w:vAlign w:val="center"/>
          </w:tcPr>
          <w:p>
            <w:r/>
            <w:r>
              <w:rPr>
                <w:rFonts w:ascii="Figtree" w:hAnsi="Figtree"/>
                <w:b w:val="0"/>
                <w:i w:val="0"/>
                <w:sz w:val="22"/>
              </w:rPr>
              <w:t>19 weeks (vs. 12–24 months internal)</w:t>
            </w:r>
          </w:p>
        </w:tc>
      </w:tr>
      <w:tr>
        <w:trPr>
          <w:trHeight w:val="454" w:hRule="atLeast"/>
        </w:trPr>
        <w:tc>
          <w:tcPr>
            <w:tcW w:type="dxa" w:w="4873"/>
            <w:vAlign w:val="center"/>
          </w:tcPr>
          <w:p>
            <w:r/>
            <w:r>
              <w:rPr>
                <w:rFonts w:ascii="Figtree" w:hAnsi="Figtree"/>
                <w:b w:val="0"/>
                <w:i w:val="0"/>
                <w:sz w:val="22"/>
              </w:rPr>
              <w:t>Ongoing engineering</w:t>
            </w:r>
          </w:p>
        </w:tc>
        <w:tc>
          <w:tcPr>
            <w:tcW w:type="dxa" w:w="4873"/>
            <w:vAlign w:val="center"/>
          </w:tcPr>
          <w:p>
            <w:r/>
            <w:r>
              <w:rPr>
                <w:rFonts w:ascii="Figtree" w:hAnsi="Figtree"/>
                <w:b w:val="0"/>
                <w:i w:val="0"/>
                <w:sz w:val="22"/>
              </w:rPr>
              <w:t>0 FTEs (vs. 4–6 for internal)</w:t>
            </w:r>
          </w:p>
        </w:tc>
      </w:tr>
      <w:tr>
        <w:trPr>
          <w:trHeight w:val="454" w:hRule="atLeast"/>
        </w:trPr>
        <w:tc>
          <w:tcPr>
            <w:tcW w:type="dxa" w:w="4873"/>
            <w:vAlign w:val="center"/>
          </w:tcPr>
          <w:p>
            <w:r/>
            <w:r>
              <w:rPr>
                <w:rFonts w:ascii="Figtree" w:hAnsi="Figtree"/>
                <w:b w:val="0"/>
                <w:i w:val="0"/>
                <w:sz w:val="22"/>
              </w:rPr>
              <w:t>New asset class cost</w:t>
            </w:r>
          </w:p>
        </w:tc>
        <w:tc>
          <w:tcPr>
            <w:tcW w:type="dxa" w:w="4873"/>
            <w:vAlign w:val="center"/>
          </w:tcPr>
          <w:p>
            <w:r/>
            <w:r>
              <w:rPr>
                <w:rFonts w:ascii="Figtree" w:hAnsi="Figtree"/>
                <w:b w:val="0"/>
                <w:i w:val="0"/>
                <w:sz w:val="22"/>
              </w:rPr>
              <w:t>Configuration change (vs. $200K+ development + $200K+ audit)</w:t>
            </w:r>
          </w:p>
        </w:tc>
      </w:tr>
      <w:tr>
        <w:trPr>
          <w:trHeight w:val="454" w:hRule="atLeast"/>
        </w:trPr>
        <w:tc>
          <w:tcPr>
            <w:tcW w:type="dxa" w:w="4873"/>
            <w:vAlign w:val="center"/>
          </w:tcPr>
          <w:p>
            <w:r/>
            <w:r>
              <w:rPr>
                <w:rFonts w:ascii="Figtree" w:hAnsi="Figtree"/>
                <w:b w:val="0"/>
                <w:i w:val="0"/>
                <w:sz w:val="22"/>
              </w:rPr>
              <w:t>Compliance updates</w:t>
            </w:r>
          </w:p>
        </w:tc>
        <w:tc>
          <w:tcPr>
            <w:tcW w:type="dxa" w:w="4873"/>
            <w:vAlign w:val="center"/>
          </w:tcPr>
          <w:p>
            <w:r/>
            <w:r>
              <w:rPr>
                <w:rFonts w:ascii="Figtree" w:hAnsi="Figtree"/>
                <w:b w:val="0"/>
                <w:i w:val="0"/>
                <w:sz w:val="22"/>
              </w:rPr>
              <w:t>Module reconfiguration (vs. re-development + re-audit)</w:t>
            </w:r>
          </w:p>
        </w:tc>
      </w:tr>
      <w:tr>
        <w:trPr>
          <w:trHeight w:val="454" w:hRule="atLeast"/>
        </w:trPr>
        <w:tc>
          <w:tcPr>
            <w:tcW w:type="dxa" w:w="4873"/>
            <w:vAlign w:val="center"/>
          </w:tcPr>
          <w:p>
            <w:r/>
            <w:r>
              <w:rPr>
                <w:rFonts w:ascii="Figtree" w:hAnsi="Figtree"/>
                <w:b w:val="0"/>
                <w:i w:val="0"/>
                <w:sz w:val="22"/>
              </w:rPr>
              <w:t>Single SLA</w:t>
            </w:r>
          </w:p>
        </w:tc>
        <w:tc>
          <w:tcPr>
            <w:tcW w:type="dxa" w:w="4873"/>
            <w:vAlign w:val="center"/>
          </w:tcPr>
          <w:p>
            <w:r/>
            <w:r>
              <w:rPr>
                <w:rFonts w:ascii="Figtree" w:hAnsi="Figtree"/>
                <w:b w:val="0"/>
                <w:i w:val="0"/>
                <w:sz w:val="22"/>
              </w:rPr>
              <w:t>One vendor, one support contact, one accountability chain</w:t>
            </w:r>
          </w:p>
        </w:tc>
      </w:tr>
      <w:tr>
        <w:trPr>
          <w:trHeight w:val="454" w:hRule="atLeast"/>
        </w:trPr>
        <w:tc>
          <w:tcPr>
            <w:tcW w:type="dxa" w:w="4873"/>
            <w:vAlign w:val="center"/>
          </w:tcPr>
          <w:p>
            <w:r/>
            <w:r>
              <w:rPr>
                <w:rFonts w:ascii="Figtree" w:hAnsi="Figtree"/>
                <w:b w:val="0"/>
                <w:i w:val="0"/>
                <w:sz w:val="22"/>
              </w:rPr>
              <w:t>Proven track record</w:t>
            </w:r>
          </w:p>
        </w:tc>
        <w:tc>
          <w:tcPr>
            <w:tcW w:type="dxa" w:w="4873"/>
            <w:vAlign w:val="center"/>
          </w:tcPr>
          <w:p>
            <w:r/>
            <w:r>
              <w:rPr>
                <w:rFonts w:ascii="Figtree" w:hAnsi="Figtree"/>
                <w:b w:val="0"/>
                <w:i w:val="0"/>
                <w:sz w:val="22"/>
              </w:rPr>
              <w:t>14 production deployments at comparable institutions</w:t>
            </w:r>
          </w:p>
        </w:tc>
      </w:tr>
    </w:tbl>
    <w:p>
      <w:pPr>
        <w:pStyle w:val="H3"/>
        <w:numPr>
          <w:ilvl w:val="2"/>
          <w:numId w:val="1"/>
        </w:numPr>
      </w:pPr>
      <w:r>
        <w:t>Licensing Economics Deep Dive</w:t>
      </w:r>
    </w:p>
    <w:p>
      <w:r>
        <w:rPr>
          <w:rFonts w:ascii="Figtree" w:hAnsi="Figtree"/>
          <w:b w:val="0"/>
          <w:i w:val="0"/>
          <w:sz w:val="22"/>
        </w:rPr>
        <w:t>DALP's subscription model eliminates the cost anxiety that comes with transaction-based pricing:</w:t>
      </w:r>
    </w:p>
    <w:p>
      <w:r>
        <w:rPr>
          <w:rFonts w:ascii="Figtree" w:hAnsi="Figtree"/>
          <w:b/>
          <w:i w:val="0"/>
          <w:sz w:val="22"/>
        </w:rPr>
        <w:t>Scenario analysis: Year 1 operations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Volume Metric</w:t>
            </w:r>
          </w:p>
        </w:tc>
        <w:tc>
          <w:tcPr>
            <w:tcW w:type="dxa" w:w="2436"/>
            <w:vAlign w:val="center"/>
            <w:shd w:fill="000099" w:val="clear"/>
          </w:tcPr>
          <w:p>
            <w:r>
              <w:rPr>
                <w:b/>
                <w:color w:val="FFFFFF"/>
              </w:rPr>
            </w:r>
            <w:r>
              <w:rPr>
                <w:rFonts w:ascii="Figtree" w:hAnsi="Figtree"/>
                <w:b/>
                <w:i w:val="0"/>
                <w:color w:val="FFFFFF"/>
                <w:sz w:val="22"/>
              </w:rPr>
              <w:t>Low Estimate</w:t>
            </w:r>
          </w:p>
        </w:tc>
        <w:tc>
          <w:tcPr>
            <w:tcW w:type="dxa" w:w="2436"/>
            <w:vAlign w:val="center"/>
            <w:shd w:fill="000099" w:val="clear"/>
          </w:tcPr>
          <w:p>
            <w:r>
              <w:rPr>
                <w:b/>
                <w:color w:val="FFFFFF"/>
              </w:rPr>
            </w:r>
            <w:r>
              <w:rPr>
                <w:rFonts w:ascii="Figtree" w:hAnsi="Figtree"/>
                <w:b/>
                <w:i w:val="0"/>
                <w:color w:val="FFFFFF"/>
                <w:sz w:val="22"/>
              </w:rPr>
              <w:t>Medium Estimate</w:t>
            </w:r>
          </w:p>
        </w:tc>
        <w:tc>
          <w:tcPr>
            <w:tcW w:type="dxa" w:w="2436"/>
            <w:vAlign w:val="center"/>
            <w:shd w:fill="000099" w:val="clear"/>
          </w:tcPr>
          <w:p>
            <w:r>
              <w:rPr>
                <w:b/>
                <w:color w:val="FFFFFF"/>
              </w:rPr>
            </w:r>
            <w:r>
              <w:rPr>
                <w:rFonts w:ascii="Figtree" w:hAnsi="Figtree"/>
                <w:b/>
                <w:i w:val="0"/>
                <w:color w:val="FFFFFF"/>
                <w:sz w:val="22"/>
              </w:rPr>
              <w:t>High Estimate</w:t>
            </w:r>
          </w:p>
        </w:tc>
      </w:tr>
      <w:tr>
        <w:trPr>
          <w:trHeight w:val="454" w:hRule="atLeast"/>
        </w:trPr>
        <w:tc>
          <w:tcPr>
            <w:tcW w:type="dxa" w:w="2436"/>
            <w:vAlign w:val="center"/>
          </w:tcPr>
          <w:p>
            <w:r/>
            <w:r>
              <w:rPr>
                <w:rFonts w:ascii="Figtree" w:hAnsi="Figtree"/>
                <w:b w:val="0"/>
                <w:i w:val="0"/>
                <w:sz w:val="22"/>
              </w:rPr>
              <w:t>Deposit tokens created</w:t>
            </w:r>
          </w:p>
        </w:tc>
        <w:tc>
          <w:tcPr>
            <w:tcW w:type="dxa" w:w="2436"/>
            <w:vAlign w:val="center"/>
          </w:tcPr>
          <w:p>
            <w:r/>
            <w:r>
              <w:rPr>
                <w:rFonts w:ascii="Figtree" w:hAnsi="Figtree"/>
                <w:b w:val="0"/>
                <w:i w:val="0"/>
                <w:sz w:val="22"/>
              </w:rPr>
              <w:t>20</w:t>
            </w:r>
          </w:p>
        </w:tc>
        <w:tc>
          <w:tcPr>
            <w:tcW w:type="dxa" w:w="2436"/>
            <w:vAlign w:val="center"/>
          </w:tcPr>
          <w:p>
            <w:r/>
            <w:r>
              <w:rPr>
                <w:rFonts w:ascii="Figtree" w:hAnsi="Figtree"/>
                <w:b w:val="0"/>
                <w:i w:val="0"/>
                <w:sz w:val="22"/>
              </w:rPr>
              <w:t>50</w:t>
            </w:r>
          </w:p>
        </w:tc>
        <w:tc>
          <w:tcPr>
            <w:tcW w:type="dxa" w:w="2436"/>
            <w:vAlign w:val="center"/>
          </w:tcPr>
          <w:p>
            <w:r/>
            <w:r>
              <w:rPr>
                <w:rFonts w:ascii="Figtree" w:hAnsi="Figtree"/>
                <w:b w:val="0"/>
                <w:i w:val="0"/>
                <w:sz w:val="22"/>
              </w:rPr>
              <w:t>200</w:t>
            </w:r>
          </w:p>
        </w:tc>
      </w:tr>
      <w:tr>
        <w:trPr>
          <w:trHeight w:val="454" w:hRule="atLeast"/>
        </w:trPr>
        <w:tc>
          <w:tcPr>
            <w:tcW w:type="dxa" w:w="2436"/>
            <w:vAlign w:val="center"/>
          </w:tcPr>
          <w:p>
            <w:r/>
            <w:r>
              <w:rPr>
                <w:rFonts w:ascii="Figtree" w:hAnsi="Figtree"/>
                <w:b w:val="0"/>
                <w:i w:val="0"/>
                <w:sz w:val="22"/>
              </w:rPr>
              <w:t>Daily transfers</w:t>
            </w:r>
          </w:p>
        </w:tc>
        <w:tc>
          <w:tcPr>
            <w:tcW w:type="dxa" w:w="2436"/>
            <w:vAlign w:val="center"/>
          </w:tcPr>
          <w:p>
            <w:r/>
            <w:r>
              <w:rPr>
                <w:rFonts w:ascii="Figtree" w:hAnsi="Figtree"/>
                <w:b w:val="0"/>
                <w:i w:val="0"/>
                <w:sz w:val="22"/>
              </w:rPr>
              <w:t>100</w:t>
            </w:r>
          </w:p>
        </w:tc>
        <w:tc>
          <w:tcPr>
            <w:tcW w:type="dxa" w:w="2436"/>
            <w:vAlign w:val="center"/>
          </w:tcPr>
          <w:p>
            <w:r/>
            <w:r>
              <w:rPr>
                <w:rFonts w:ascii="Figtree" w:hAnsi="Figtree"/>
                <w:b w:val="0"/>
                <w:i w:val="0"/>
                <w:sz w:val="22"/>
              </w:rPr>
              <w:t>500</w:t>
            </w:r>
          </w:p>
        </w:tc>
        <w:tc>
          <w:tcPr>
            <w:tcW w:type="dxa" w:w="2436"/>
            <w:vAlign w:val="center"/>
          </w:tcPr>
          <w:p>
            <w:r/>
            <w:r>
              <w:rPr>
                <w:rFonts w:ascii="Figtree" w:hAnsi="Figtree"/>
                <w:b w:val="0"/>
                <w:i w:val="0"/>
                <w:sz w:val="22"/>
              </w:rPr>
              <w:t>2,000</w:t>
            </w:r>
          </w:p>
        </w:tc>
      </w:tr>
      <w:tr>
        <w:trPr>
          <w:trHeight w:val="454" w:hRule="atLeast"/>
        </w:trPr>
        <w:tc>
          <w:tcPr>
            <w:tcW w:type="dxa" w:w="2436"/>
            <w:vAlign w:val="center"/>
          </w:tcPr>
          <w:p>
            <w:r/>
            <w:r>
              <w:rPr>
                <w:rFonts w:ascii="Figtree" w:hAnsi="Figtree"/>
                <w:b w:val="0"/>
                <w:i w:val="0"/>
                <w:sz w:val="22"/>
              </w:rPr>
              <w:t>Compliance checks (per transfer)</w:t>
            </w:r>
          </w:p>
        </w:tc>
        <w:tc>
          <w:tcPr>
            <w:tcW w:type="dxa" w:w="2436"/>
            <w:vAlign w:val="center"/>
          </w:tcPr>
          <w:p>
            <w:r/>
            <w:r>
              <w:rPr>
                <w:rFonts w:ascii="Figtree" w:hAnsi="Figtree"/>
                <w:b w:val="0"/>
                <w:i w:val="0"/>
                <w:sz w:val="22"/>
              </w:rPr>
              <w:t>5 modules</w:t>
            </w:r>
          </w:p>
        </w:tc>
        <w:tc>
          <w:tcPr>
            <w:tcW w:type="dxa" w:w="2436"/>
            <w:vAlign w:val="center"/>
          </w:tcPr>
          <w:p>
            <w:r/>
            <w:r>
              <w:rPr>
                <w:rFonts w:ascii="Figtree" w:hAnsi="Figtree"/>
                <w:b w:val="0"/>
                <w:i w:val="0"/>
                <w:sz w:val="22"/>
              </w:rPr>
              <w:t>5 modules</w:t>
            </w:r>
          </w:p>
        </w:tc>
        <w:tc>
          <w:tcPr>
            <w:tcW w:type="dxa" w:w="2436"/>
            <w:vAlign w:val="center"/>
          </w:tcPr>
          <w:p>
            <w:r/>
            <w:r>
              <w:rPr>
                <w:rFonts w:ascii="Figtree" w:hAnsi="Figtree"/>
                <w:b w:val="0"/>
                <w:i w:val="0"/>
                <w:sz w:val="22"/>
              </w:rPr>
              <w:t>5 modules</w:t>
            </w:r>
          </w:p>
        </w:tc>
      </w:tr>
      <w:tr>
        <w:trPr>
          <w:trHeight w:val="454" w:hRule="atLeast"/>
        </w:trPr>
        <w:tc>
          <w:tcPr>
            <w:tcW w:type="dxa" w:w="2436"/>
            <w:vAlign w:val="center"/>
          </w:tcPr>
          <w:p>
            <w:r/>
            <w:r>
              <w:rPr>
                <w:rFonts w:ascii="Figtree" w:hAnsi="Figtree"/>
                <w:b w:val="0"/>
                <w:i w:val="0"/>
                <w:sz w:val="22"/>
              </w:rPr>
              <w:t>Daily compliance events</w:t>
            </w:r>
          </w:p>
        </w:tc>
        <w:tc>
          <w:tcPr>
            <w:tcW w:type="dxa" w:w="2436"/>
            <w:vAlign w:val="center"/>
          </w:tcPr>
          <w:p>
            <w:r/>
            <w:r>
              <w:rPr>
                <w:rFonts w:ascii="Figtree" w:hAnsi="Figtree"/>
                <w:b w:val="0"/>
                <w:i w:val="0"/>
                <w:sz w:val="22"/>
              </w:rPr>
              <w:t>500</w:t>
            </w:r>
          </w:p>
        </w:tc>
        <w:tc>
          <w:tcPr>
            <w:tcW w:type="dxa" w:w="2436"/>
            <w:vAlign w:val="center"/>
          </w:tcPr>
          <w:p>
            <w:r/>
            <w:r>
              <w:rPr>
                <w:rFonts w:ascii="Figtree" w:hAnsi="Figtree"/>
                <w:b w:val="0"/>
                <w:i w:val="0"/>
                <w:sz w:val="22"/>
              </w:rPr>
              <w:t>2,500</w:t>
            </w:r>
          </w:p>
        </w:tc>
        <w:tc>
          <w:tcPr>
            <w:tcW w:type="dxa" w:w="2436"/>
            <w:vAlign w:val="center"/>
          </w:tcPr>
          <w:p>
            <w:r/>
            <w:r>
              <w:rPr>
                <w:rFonts w:ascii="Figtree" w:hAnsi="Figtree"/>
                <w:b w:val="0"/>
                <w:i w:val="0"/>
                <w:sz w:val="22"/>
              </w:rPr>
              <w:t>10,000</w:t>
            </w:r>
          </w:p>
        </w:tc>
      </w:tr>
      <w:tr>
        <w:trPr>
          <w:trHeight w:val="454" w:hRule="atLeast"/>
        </w:trPr>
        <w:tc>
          <w:tcPr>
            <w:tcW w:type="dxa" w:w="2436"/>
            <w:vAlign w:val="center"/>
          </w:tcPr>
          <w:p>
            <w:r/>
            <w:r>
              <w:rPr>
                <w:rFonts w:ascii="Figtree" w:hAnsi="Figtree"/>
                <w:b w:val="0"/>
                <w:i w:val="0"/>
                <w:sz w:val="22"/>
              </w:rPr>
              <w:t>Monthly yield distributions</w:t>
            </w:r>
          </w:p>
        </w:tc>
        <w:tc>
          <w:tcPr>
            <w:tcW w:type="dxa" w:w="2436"/>
            <w:vAlign w:val="center"/>
          </w:tcPr>
          <w:p>
            <w:r/>
            <w:r>
              <w:rPr>
                <w:rFonts w:ascii="Figtree" w:hAnsi="Figtree"/>
                <w:b w:val="0"/>
                <w:i w:val="0"/>
                <w:sz w:val="22"/>
              </w:rPr>
              <w:t>20</w:t>
            </w:r>
          </w:p>
        </w:tc>
        <w:tc>
          <w:tcPr>
            <w:tcW w:type="dxa" w:w="2436"/>
            <w:vAlign w:val="center"/>
          </w:tcPr>
          <w:p>
            <w:r/>
            <w:r>
              <w:rPr>
                <w:rFonts w:ascii="Figtree" w:hAnsi="Figtree"/>
                <w:b w:val="0"/>
                <w:i w:val="0"/>
                <w:sz w:val="22"/>
              </w:rPr>
              <w:t>50</w:t>
            </w:r>
          </w:p>
        </w:tc>
        <w:tc>
          <w:tcPr>
            <w:tcW w:type="dxa" w:w="2436"/>
            <w:vAlign w:val="center"/>
          </w:tcPr>
          <w:p>
            <w:r/>
            <w:r>
              <w:rPr>
                <w:rFonts w:ascii="Figtree" w:hAnsi="Figtree"/>
                <w:b w:val="0"/>
                <w:i w:val="0"/>
                <w:sz w:val="22"/>
              </w:rPr>
              <w:t>200</w:t>
            </w:r>
          </w:p>
        </w:tc>
      </w:tr>
      <w:tr>
        <w:trPr>
          <w:trHeight w:val="454" w:hRule="atLeast"/>
        </w:trPr>
        <w:tc>
          <w:tcPr>
            <w:tcW w:type="dxa" w:w="2436"/>
            <w:vAlign w:val="center"/>
          </w:tcPr>
          <w:p>
            <w:r/>
            <w:r>
              <w:rPr>
                <w:rFonts w:ascii="Figtree" w:hAnsi="Figtree"/>
                <w:b w:val="0"/>
                <w:i w:val="0"/>
                <w:sz w:val="22"/>
              </w:rPr>
              <w:t>Annual trade finance workflows</w:t>
            </w:r>
          </w:p>
        </w:tc>
        <w:tc>
          <w:tcPr>
            <w:tcW w:type="dxa" w:w="2436"/>
            <w:vAlign w:val="center"/>
          </w:tcPr>
          <w:p>
            <w:r/>
            <w:r>
              <w:rPr>
                <w:rFonts w:ascii="Figtree" w:hAnsi="Figtree"/>
                <w:b w:val="0"/>
                <w:i w:val="0"/>
                <w:sz w:val="22"/>
              </w:rPr>
              <w:t>100</w:t>
            </w:r>
          </w:p>
        </w:tc>
        <w:tc>
          <w:tcPr>
            <w:tcW w:type="dxa" w:w="2436"/>
            <w:vAlign w:val="center"/>
          </w:tcPr>
          <w:p>
            <w:r/>
            <w:r>
              <w:rPr>
                <w:rFonts w:ascii="Figtree" w:hAnsi="Figtree"/>
                <w:b w:val="0"/>
                <w:i w:val="0"/>
                <w:sz w:val="22"/>
              </w:rPr>
              <w:t>500</w:t>
            </w:r>
          </w:p>
        </w:tc>
        <w:tc>
          <w:tcPr>
            <w:tcW w:type="dxa" w:w="2436"/>
            <w:vAlign w:val="center"/>
          </w:tcPr>
          <w:p>
            <w:r/>
            <w:r>
              <w:rPr>
                <w:rFonts w:ascii="Figtree" w:hAnsi="Figtree"/>
                <w:b w:val="0"/>
                <w:i w:val="0"/>
                <w:sz w:val="22"/>
              </w:rPr>
              <w:t>2,000</w:t>
            </w:r>
          </w:p>
        </w:tc>
      </w:tr>
    </w:tbl>
    <w:p>
      <w:r>
        <w:rPr>
          <w:rFonts w:ascii="Figtree" w:hAnsi="Figtree"/>
          <w:b/>
          <w:i w:val="0"/>
          <w:sz w:val="22"/>
        </w:rPr>
        <w:t>Under per-transaction pricing (competitor models):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Fee Type</w:t>
            </w:r>
          </w:p>
        </w:tc>
        <w:tc>
          <w:tcPr>
            <w:tcW w:type="dxa" w:w="1949"/>
            <w:vAlign w:val="center"/>
            <w:shd w:fill="000099" w:val="clear"/>
          </w:tcPr>
          <w:p>
            <w:r>
              <w:rPr>
                <w:b/>
                <w:color w:val="FFFFFF"/>
              </w:rPr>
            </w:r>
            <w:r>
              <w:rPr>
                <w:rFonts w:ascii="Figtree" w:hAnsi="Figtree"/>
                <w:b/>
                <w:i w:val="0"/>
                <w:color w:val="FFFFFF"/>
                <w:sz w:val="22"/>
              </w:rPr>
              <w:t>Rate</w:t>
            </w:r>
          </w:p>
        </w:tc>
        <w:tc>
          <w:tcPr>
            <w:tcW w:type="dxa" w:w="1949"/>
            <w:vAlign w:val="center"/>
            <w:shd w:fill="000099" w:val="clear"/>
          </w:tcPr>
          <w:p>
            <w:r>
              <w:rPr>
                <w:b/>
                <w:color w:val="FFFFFF"/>
              </w:rPr>
            </w:r>
            <w:r>
              <w:rPr>
                <w:rFonts w:ascii="Figtree" w:hAnsi="Figtree"/>
                <w:b/>
                <w:i w:val="0"/>
                <w:color w:val="FFFFFF"/>
                <w:sz w:val="22"/>
              </w:rPr>
              <w:t>Low Cost</w:t>
            </w:r>
          </w:p>
        </w:tc>
        <w:tc>
          <w:tcPr>
            <w:tcW w:type="dxa" w:w="1949"/>
            <w:vAlign w:val="center"/>
            <w:shd w:fill="000099" w:val="clear"/>
          </w:tcPr>
          <w:p>
            <w:r>
              <w:rPr>
                <w:b/>
                <w:color w:val="FFFFFF"/>
              </w:rPr>
            </w:r>
            <w:r>
              <w:rPr>
                <w:rFonts w:ascii="Figtree" w:hAnsi="Figtree"/>
                <w:b/>
                <w:i w:val="0"/>
                <w:color w:val="FFFFFF"/>
                <w:sz w:val="22"/>
              </w:rPr>
              <w:t>Medium Cost</w:t>
            </w:r>
          </w:p>
        </w:tc>
        <w:tc>
          <w:tcPr>
            <w:tcW w:type="dxa" w:w="1949"/>
            <w:vAlign w:val="center"/>
            <w:shd w:fill="000099" w:val="clear"/>
          </w:tcPr>
          <w:p>
            <w:r>
              <w:rPr>
                <w:b/>
                <w:color w:val="FFFFFF"/>
              </w:rPr>
            </w:r>
            <w:r>
              <w:rPr>
                <w:rFonts w:ascii="Figtree" w:hAnsi="Figtree"/>
                <w:b/>
                <w:i w:val="0"/>
                <w:color w:val="FFFFFF"/>
                <w:sz w:val="22"/>
              </w:rPr>
              <w:t>High Cost</w:t>
            </w:r>
          </w:p>
        </w:tc>
      </w:tr>
      <w:tr>
        <w:trPr>
          <w:trHeight w:val="454" w:hRule="atLeast"/>
        </w:trPr>
        <w:tc>
          <w:tcPr>
            <w:tcW w:type="dxa" w:w="1949"/>
            <w:vAlign w:val="center"/>
          </w:tcPr>
          <w:p>
            <w:r/>
            <w:r>
              <w:rPr>
                <w:rFonts w:ascii="Figtree" w:hAnsi="Figtree"/>
                <w:b w:val="0"/>
                <w:i w:val="0"/>
                <w:sz w:val="22"/>
              </w:rPr>
              <w:t>Per-transfer fee</w:t>
            </w:r>
          </w:p>
        </w:tc>
        <w:tc>
          <w:tcPr>
            <w:tcW w:type="dxa" w:w="1949"/>
            <w:vAlign w:val="center"/>
          </w:tcPr>
          <w:p>
            <w:r/>
            <w:r>
              <w:rPr>
                <w:rFonts w:ascii="Figtree" w:hAnsi="Figtree"/>
                <w:b w:val="0"/>
                <w:i w:val="0"/>
                <w:sz w:val="22"/>
              </w:rPr>
              <w:t>$0.50</w:t>
            </w:r>
          </w:p>
        </w:tc>
        <w:tc>
          <w:tcPr>
            <w:tcW w:type="dxa" w:w="1949"/>
            <w:vAlign w:val="center"/>
          </w:tcPr>
          <w:p>
            <w:r/>
            <w:r>
              <w:rPr>
                <w:rFonts w:ascii="Figtree" w:hAnsi="Figtree"/>
                <w:b w:val="0"/>
                <w:i w:val="0"/>
                <w:sz w:val="22"/>
              </w:rPr>
              <w:t>$18,250</w:t>
            </w:r>
          </w:p>
        </w:tc>
        <w:tc>
          <w:tcPr>
            <w:tcW w:type="dxa" w:w="1949"/>
            <w:vAlign w:val="center"/>
          </w:tcPr>
          <w:p>
            <w:r/>
            <w:r>
              <w:rPr>
                <w:rFonts w:ascii="Figtree" w:hAnsi="Figtree"/>
                <w:b w:val="0"/>
                <w:i w:val="0"/>
                <w:sz w:val="22"/>
              </w:rPr>
              <w:t>$91,250</w:t>
            </w:r>
          </w:p>
        </w:tc>
        <w:tc>
          <w:tcPr>
            <w:tcW w:type="dxa" w:w="1949"/>
            <w:vAlign w:val="center"/>
          </w:tcPr>
          <w:p>
            <w:r/>
            <w:r>
              <w:rPr>
                <w:rFonts w:ascii="Figtree" w:hAnsi="Figtree"/>
                <w:b w:val="0"/>
                <w:i w:val="0"/>
                <w:sz w:val="22"/>
              </w:rPr>
              <w:t>$365,000</w:t>
            </w:r>
          </w:p>
        </w:tc>
      </w:tr>
      <w:tr>
        <w:trPr>
          <w:trHeight w:val="454" w:hRule="atLeast"/>
        </w:trPr>
        <w:tc>
          <w:tcPr>
            <w:tcW w:type="dxa" w:w="1949"/>
            <w:vAlign w:val="center"/>
          </w:tcPr>
          <w:p>
            <w:r/>
            <w:r>
              <w:rPr>
                <w:rFonts w:ascii="Figtree" w:hAnsi="Figtree"/>
                <w:b w:val="0"/>
                <w:i w:val="0"/>
                <w:sz w:val="22"/>
              </w:rPr>
              <w:t>Per-compliance check</w:t>
            </w:r>
          </w:p>
        </w:tc>
        <w:tc>
          <w:tcPr>
            <w:tcW w:type="dxa" w:w="1949"/>
            <w:vAlign w:val="center"/>
          </w:tcPr>
          <w:p>
            <w:r/>
            <w:r>
              <w:rPr>
                <w:rFonts w:ascii="Figtree" w:hAnsi="Figtree"/>
                <w:b w:val="0"/>
                <w:i w:val="0"/>
                <w:sz w:val="22"/>
              </w:rPr>
              <w:t>$0.10</w:t>
            </w:r>
          </w:p>
        </w:tc>
        <w:tc>
          <w:tcPr>
            <w:tcW w:type="dxa" w:w="1949"/>
            <w:vAlign w:val="center"/>
          </w:tcPr>
          <w:p>
            <w:r/>
            <w:r>
              <w:rPr>
                <w:rFonts w:ascii="Figtree" w:hAnsi="Figtree"/>
                <w:b w:val="0"/>
                <w:i w:val="0"/>
                <w:sz w:val="22"/>
              </w:rPr>
              <w:t>$18,250</w:t>
            </w:r>
          </w:p>
        </w:tc>
        <w:tc>
          <w:tcPr>
            <w:tcW w:type="dxa" w:w="1949"/>
            <w:vAlign w:val="center"/>
          </w:tcPr>
          <w:p>
            <w:r/>
            <w:r>
              <w:rPr>
                <w:rFonts w:ascii="Figtree" w:hAnsi="Figtree"/>
                <w:b w:val="0"/>
                <w:i w:val="0"/>
                <w:sz w:val="22"/>
              </w:rPr>
              <w:t>$91,250</w:t>
            </w:r>
          </w:p>
        </w:tc>
        <w:tc>
          <w:tcPr>
            <w:tcW w:type="dxa" w:w="1949"/>
            <w:vAlign w:val="center"/>
          </w:tcPr>
          <w:p>
            <w:r/>
            <w:r>
              <w:rPr>
                <w:rFonts w:ascii="Figtree" w:hAnsi="Figtree"/>
                <w:b w:val="0"/>
                <w:i w:val="0"/>
                <w:sz w:val="22"/>
              </w:rPr>
              <w:t>$365,000</w:t>
            </w:r>
          </w:p>
        </w:tc>
      </w:tr>
      <w:tr>
        <w:trPr>
          <w:trHeight w:val="454" w:hRule="atLeast"/>
        </w:trPr>
        <w:tc>
          <w:tcPr>
            <w:tcW w:type="dxa" w:w="1949"/>
            <w:vAlign w:val="center"/>
          </w:tcPr>
          <w:p>
            <w:r/>
            <w:r>
              <w:rPr>
                <w:rFonts w:ascii="Figtree" w:hAnsi="Figtree"/>
                <w:b w:val="0"/>
                <w:i w:val="0"/>
                <w:sz w:val="22"/>
              </w:rPr>
              <w:t>Per-yield distribution</w:t>
            </w:r>
          </w:p>
        </w:tc>
        <w:tc>
          <w:tcPr>
            <w:tcW w:type="dxa" w:w="1949"/>
            <w:vAlign w:val="center"/>
          </w:tcPr>
          <w:p>
            <w:r/>
            <w:r>
              <w:rPr>
                <w:rFonts w:ascii="Figtree" w:hAnsi="Figtree"/>
                <w:b w:val="0"/>
                <w:i w:val="0"/>
                <w:sz w:val="22"/>
              </w:rPr>
              <w:t>$1.00</w:t>
            </w:r>
          </w:p>
        </w:tc>
        <w:tc>
          <w:tcPr>
            <w:tcW w:type="dxa" w:w="1949"/>
            <w:vAlign w:val="center"/>
          </w:tcPr>
          <w:p>
            <w:r/>
            <w:r>
              <w:rPr>
                <w:rFonts w:ascii="Figtree" w:hAnsi="Figtree"/>
                <w:b w:val="0"/>
                <w:i w:val="0"/>
                <w:sz w:val="22"/>
              </w:rPr>
              <w:t>$240</w:t>
            </w:r>
          </w:p>
        </w:tc>
        <w:tc>
          <w:tcPr>
            <w:tcW w:type="dxa" w:w="1949"/>
            <w:vAlign w:val="center"/>
          </w:tcPr>
          <w:p>
            <w:r/>
            <w:r>
              <w:rPr>
                <w:rFonts w:ascii="Figtree" w:hAnsi="Figtree"/>
                <w:b w:val="0"/>
                <w:i w:val="0"/>
                <w:sz w:val="22"/>
              </w:rPr>
              <w:t>$600</w:t>
            </w:r>
          </w:p>
        </w:tc>
        <w:tc>
          <w:tcPr>
            <w:tcW w:type="dxa" w:w="1949"/>
            <w:vAlign w:val="center"/>
          </w:tcPr>
          <w:p>
            <w:r/>
            <w:r>
              <w:rPr>
                <w:rFonts w:ascii="Figtree" w:hAnsi="Figtree"/>
                <w:b w:val="0"/>
                <w:i w:val="0"/>
                <w:sz w:val="22"/>
              </w:rPr>
              <w:t>$2,400</w:t>
            </w:r>
          </w:p>
        </w:tc>
      </w:tr>
      <w:tr>
        <w:trPr>
          <w:trHeight w:val="454" w:hRule="atLeast"/>
        </w:trPr>
        <w:tc>
          <w:tcPr>
            <w:tcW w:type="dxa" w:w="1949"/>
            <w:vAlign w:val="center"/>
          </w:tcPr>
          <w:p>
            <w:r/>
            <w:r>
              <w:rPr>
                <w:rFonts w:ascii="Figtree" w:hAnsi="Figtree"/>
                <w:b w:val="0"/>
                <w:i w:val="0"/>
                <w:sz w:val="22"/>
              </w:rPr>
              <w:t>Per-token creation</w:t>
            </w:r>
          </w:p>
        </w:tc>
        <w:tc>
          <w:tcPr>
            <w:tcW w:type="dxa" w:w="1949"/>
            <w:vAlign w:val="center"/>
          </w:tcPr>
          <w:p>
            <w:r/>
            <w:r>
              <w:rPr>
                <w:rFonts w:ascii="Figtree" w:hAnsi="Figtree"/>
                <w:b w:val="0"/>
                <w:i w:val="0"/>
                <w:sz w:val="22"/>
              </w:rPr>
              <w:t>$100</w:t>
            </w:r>
          </w:p>
        </w:tc>
        <w:tc>
          <w:tcPr>
            <w:tcW w:type="dxa" w:w="1949"/>
            <w:vAlign w:val="center"/>
          </w:tcPr>
          <w:p>
            <w:r/>
            <w:r>
              <w:rPr>
                <w:rFonts w:ascii="Figtree" w:hAnsi="Figtree"/>
                <w:b w:val="0"/>
                <w:i w:val="0"/>
                <w:sz w:val="22"/>
              </w:rPr>
              <w:t>$2,000</w:t>
            </w:r>
          </w:p>
        </w:tc>
        <w:tc>
          <w:tcPr>
            <w:tcW w:type="dxa" w:w="1949"/>
            <w:vAlign w:val="center"/>
          </w:tcPr>
          <w:p>
            <w:r/>
            <w:r>
              <w:rPr>
                <w:rFonts w:ascii="Figtree" w:hAnsi="Figtree"/>
                <w:b w:val="0"/>
                <w:i w:val="0"/>
                <w:sz w:val="22"/>
              </w:rPr>
              <w:t>$5,000</w:t>
            </w:r>
          </w:p>
        </w:tc>
        <w:tc>
          <w:tcPr>
            <w:tcW w:type="dxa" w:w="1949"/>
            <w:vAlign w:val="center"/>
          </w:tcPr>
          <w:p>
            <w:r/>
            <w:r>
              <w:rPr>
                <w:rFonts w:ascii="Figtree" w:hAnsi="Figtree"/>
                <w:b w:val="0"/>
                <w:i w:val="0"/>
                <w:sz w:val="22"/>
              </w:rPr>
              <w:t>$20,000</w:t>
            </w:r>
          </w:p>
        </w:tc>
      </w:tr>
      <w:tr>
        <w:trPr>
          <w:trHeight w:val="454" w:hRule="atLeast"/>
        </w:trPr>
        <w:tc>
          <w:tcPr>
            <w:tcW w:type="dxa" w:w="1949"/>
            <w:vAlign w:val="center"/>
          </w:tcPr>
          <w:p>
            <w:r/>
            <w:r>
              <w:rPr>
                <w:rFonts w:ascii="Figtree" w:hAnsi="Figtree"/>
                <w:b/>
                <w:i w:val="0"/>
                <w:sz w:val="22"/>
              </w:rPr>
              <w:t>Annual variable cost</w:t>
            </w:r>
          </w:p>
        </w:tc>
        <w:tc>
          <w:tcPr>
            <w:tcW w:type="dxa" w:w="1949"/>
            <w:vAlign w:val="center"/>
          </w:tcPr>
          <w:p>
            <w:r/>
          </w:p>
        </w:tc>
        <w:tc>
          <w:tcPr>
            <w:tcW w:type="dxa" w:w="1949"/>
            <w:vAlign w:val="center"/>
          </w:tcPr>
          <w:p>
            <w:r/>
            <w:r>
              <w:rPr>
                <w:rFonts w:ascii="Figtree" w:hAnsi="Figtree"/>
                <w:b/>
                <w:i w:val="0"/>
                <w:sz w:val="22"/>
              </w:rPr>
              <w:t>$38,740</w:t>
            </w:r>
          </w:p>
        </w:tc>
        <w:tc>
          <w:tcPr>
            <w:tcW w:type="dxa" w:w="1949"/>
            <w:vAlign w:val="center"/>
          </w:tcPr>
          <w:p>
            <w:r/>
            <w:r>
              <w:rPr>
                <w:rFonts w:ascii="Figtree" w:hAnsi="Figtree"/>
                <w:b/>
                <w:i w:val="0"/>
                <w:sz w:val="22"/>
              </w:rPr>
              <w:t>$188,100</w:t>
            </w:r>
          </w:p>
        </w:tc>
        <w:tc>
          <w:tcPr>
            <w:tcW w:type="dxa" w:w="1949"/>
            <w:vAlign w:val="center"/>
          </w:tcPr>
          <w:p>
            <w:r/>
            <w:r>
              <w:rPr>
                <w:rFonts w:ascii="Figtree" w:hAnsi="Figtree"/>
                <w:b/>
                <w:i w:val="0"/>
                <w:sz w:val="22"/>
              </w:rPr>
              <w:t>$752,400</w:t>
            </w:r>
          </w:p>
        </w:tc>
      </w:tr>
    </w:tbl>
    <w:p>
      <w:r>
        <w:rPr>
          <w:rFonts w:ascii="Figtree" w:hAnsi="Figtree"/>
          <w:b/>
          <w:i w:val="0"/>
          <w:sz w:val="22"/>
        </w:rPr>
        <w:t>Under DALP subscription pricing: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Fee Type</w:t>
            </w:r>
          </w:p>
        </w:tc>
        <w:tc>
          <w:tcPr>
            <w:tcW w:type="dxa" w:w="1949"/>
            <w:vAlign w:val="center"/>
            <w:shd w:fill="000099" w:val="clear"/>
          </w:tcPr>
          <w:p>
            <w:r>
              <w:rPr>
                <w:b/>
                <w:color w:val="FFFFFF"/>
              </w:rPr>
            </w:r>
            <w:r>
              <w:rPr>
                <w:rFonts w:ascii="Figtree" w:hAnsi="Figtree"/>
                <w:b/>
                <w:i w:val="0"/>
                <w:color w:val="FFFFFF"/>
                <w:sz w:val="22"/>
              </w:rPr>
              <w:t>Annual Cost</w:t>
            </w:r>
          </w:p>
        </w:tc>
        <w:tc>
          <w:tcPr>
            <w:tcW w:type="dxa" w:w="1949"/>
            <w:vAlign w:val="center"/>
            <w:shd w:fill="000099" w:val="clear"/>
          </w:tcPr>
          <w:p>
            <w:r>
              <w:rPr>
                <w:b/>
                <w:color w:val="FFFFFF"/>
              </w:rPr>
            </w:r>
            <w:r>
              <w:rPr>
                <w:rFonts w:ascii="Figtree" w:hAnsi="Figtree"/>
                <w:b/>
                <w:i w:val="0"/>
                <w:color w:val="FFFFFF"/>
                <w:sz w:val="22"/>
              </w:rPr>
              <w:t>Low Estimate</w:t>
            </w:r>
          </w:p>
        </w:tc>
        <w:tc>
          <w:tcPr>
            <w:tcW w:type="dxa" w:w="1949"/>
            <w:vAlign w:val="center"/>
            <w:shd w:fill="000099" w:val="clear"/>
          </w:tcPr>
          <w:p>
            <w:r>
              <w:rPr>
                <w:b/>
                <w:color w:val="FFFFFF"/>
              </w:rPr>
            </w:r>
            <w:r>
              <w:rPr>
                <w:rFonts w:ascii="Figtree" w:hAnsi="Figtree"/>
                <w:b/>
                <w:i w:val="0"/>
                <w:color w:val="FFFFFF"/>
                <w:sz w:val="22"/>
              </w:rPr>
              <w:t>Medium Estimate</w:t>
            </w:r>
          </w:p>
        </w:tc>
        <w:tc>
          <w:tcPr>
            <w:tcW w:type="dxa" w:w="1949"/>
            <w:vAlign w:val="center"/>
            <w:shd w:fill="000099" w:val="clear"/>
          </w:tcPr>
          <w:p>
            <w:r>
              <w:rPr>
                <w:b/>
                <w:color w:val="FFFFFF"/>
              </w:rPr>
            </w:r>
            <w:r>
              <w:rPr>
                <w:rFonts w:ascii="Figtree" w:hAnsi="Figtree"/>
                <w:b/>
                <w:i w:val="0"/>
                <w:color w:val="FFFFFF"/>
                <w:sz w:val="22"/>
              </w:rPr>
              <w:t>High Estimate</w:t>
            </w:r>
          </w:p>
        </w:tc>
      </w:tr>
      <w:tr>
        <w:trPr>
          <w:trHeight w:val="454" w:hRule="atLeast"/>
        </w:trPr>
        <w:tc>
          <w:tcPr>
            <w:tcW w:type="dxa" w:w="1949"/>
            <w:vAlign w:val="center"/>
          </w:tcPr>
          <w:p>
            <w:r/>
            <w:r>
              <w:rPr>
                <w:rFonts w:ascii="Figtree" w:hAnsi="Figtree"/>
                <w:b w:val="0"/>
                <w:i w:val="0"/>
                <w:sz w:val="22"/>
              </w:rPr>
              <w:t>Platform license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Same</w:t>
            </w:r>
          </w:p>
        </w:tc>
        <w:tc>
          <w:tcPr>
            <w:tcW w:type="dxa" w:w="1949"/>
            <w:vAlign w:val="center"/>
          </w:tcPr>
          <w:p>
            <w:r/>
            <w:r>
              <w:rPr>
                <w:rFonts w:ascii="Figtree" w:hAnsi="Figtree"/>
                <w:b w:val="0"/>
                <w:i w:val="0"/>
                <w:sz w:val="22"/>
              </w:rPr>
              <w:t>Same</w:t>
            </w:r>
          </w:p>
        </w:tc>
        <w:tc>
          <w:tcPr>
            <w:tcW w:type="dxa" w:w="1949"/>
            <w:vAlign w:val="center"/>
          </w:tcPr>
          <w:p>
            <w:r/>
            <w:r>
              <w:rPr>
                <w:rFonts w:ascii="Figtree" w:hAnsi="Figtree"/>
                <w:b w:val="0"/>
                <w:i w:val="0"/>
                <w:sz w:val="22"/>
              </w:rPr>
              <w:t>Same</w:t>
            </w:r>
          </w:p>
        </w:tc>
      </w:tr>
      <w:tr>
        <w:trPr>
          <w:trHeight w:val="454" w:hRule="atLeast"/>
        </w:trPr>
        <w:tc>
          <w:tcPr>
            <w:tcW w:type="dxa" w:w="1949"/>
            <w:vAlign w:val="center"/>
          </w:tcPr>
          <w:p>
            <w:r/>
            <w:r>
              <w:rPr>
                <w:rFonts w:ascii="Figtree" w:hAnsi="Figtree"/>
                <w:b w:val="0"/>
                <w:i w:val="0"/>
                <w:sz w:val="22"/>
              </w:rPr>
              <w:t>Variable fees</w:t>
            </w:r>
          </w:p>
        </w:tc>
        <w:tc>
          <w:tcPr>
            <w:tcW w:type="dxa" w:w="1949"/>
            <w:vAlign w:val="center"/>
          </w:tcPr>
          <w:p>
            <w:r/>
            <w:r>
              <w:rPr>
                <w:rFonts w:ascii="Figtree" w:hAnsi="Figtree"/>
                <w:b w:val="0"/>
                <w:i w:val="0"/>
                <w:sz w:val="22"/>
              </w:rPr>
              <w:t>$0</w:t>
            </w:r>
          </w:p>
        </w:tc>
        <w:tc>
          <w:tcPr>
            <w:tcW w:type="dxa" w:w="1949"/>
            <w:vAlign w:val="center"/>
          </w:tcPr>
          <w:p>
            <w:r/>
            <w:r>
              <w:rPr>
                <w:rFonts w:ascii="Figtree" w:hAnsi="Figtree"/>
                <w:b w:val="0"/>
                <w:i w:val="0"/>
                <w:sz w:val="22"/>
              </w:rPr>
              <w:t>$0</w:t>
            </w:r>
          </w:p>
        </w:tc>
        <w:tc>
          <w:tcPr>
            <w:tcW w:type="dxa" w:w="1949"/>
            <w:vAlign w:val="center"/>
          </w:tcPr>
          <w:p>
            <w:r/>
            <w:r>
              <w:rPr>
                <w:rFonts w:ascii="Figtree" w:hAnsi="Figtree"/>
                <w:b w:val="0"/>
                <w:i w:val="0"/>
                <w:sz w:val="22"/>
              </w:rPr>
              <w:t>$0</w:t>
            </w:r>
          </w:p>
        </w:tc>
        <w:tc>
          <w:tcPr>
            <w:tcW w:type="dxa" w:w="1949"/>
            <w:vAlign w:val="center"/>
          </w:tcPr>
          <w:p>
            <w:r/>
            <w:r>
              <w:rPr>
                <w:rFonts w:ascii="Figtree" w:hAnsi="Figtree"/>
                <w:b w:val="0"/>
                <w:i w:val="0"/>
                <w:sz w:val="22"/>
              </w:rPr>
              <w:t>$0</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Fixed</w:t>
            </w:r>
          </w:p>
        </w:tc>
        <w:tc>
          <w:tcPr>
            <w:tcW w:type="dxa" w:w="1949"/>
            <w:vAlign w:val="center"/>
          </w:tcPr>
          <w:p>
            <w:r/>
            <w:r>
              <w:rPr>
                <w:rFonts w:ascii="Figtree" w:hAnsi="Figtree"/>
                <w:b/>
                <w:i w:val="0"/>
                <w:sz w:val="22"/>
              </w:rPr>
              <w:t>Fixed</w:t>
            </w:r>
          </w:p>
        </w:tc>
        <w:tc>
          <w:tcPr>
            <w:tcW w:type="dxa" w:w="1949"/>
            <w:vAlign w:val="center"/>
          </w:tcPr>
          <w:p>
            <w:r/>
            <w:r>
              <w:rPr>
                <w:rFonts w:ascii="Figtree" w:hAnsi="Figtree"/>
                <w:b/>
                <w:i w:val="0"/>
                <w:sz w:val="22"/>
              </w:rPr>
              <w:t>Fixed</w:t>
            </w:r>
          </w:p>
        </w:tc>
        <w:tc>
          <w:tcPr>
            <w:tcW w:type="dxa" w:w="1949"/>
            <w:vAlign w:val="center"/>
          </w:tcPr>
          <w:p>
            <w:r/>
            <w:r>
              <w:rPr>
                <w:rFonts w:ascii="Figtree" w:hAnsi="Figtree"/>
                <w:b/>
                <w:i w:val="0"/>
                <w:sz w:val="22"/>
              </w:rPr>
              <w:t>Fixed</w:t>
            </w:r>
          </w:p>
        </w:tc>
      </w:tr>
    </w:tbl>
    <w:p>
      <w:r>
        <w:rPr>
          <w:rFonts w:ascii="Figtree" w:hAnsi="Figtree"/>
          <w:b w:val="0"/>
          <w:i w:val="0"/>
          <w:sz w:val="22"/>
        </w:rPr>
        <w:t>The critical insight: as Emirates NBD's volumes grow (which is the success scenario), transaction-based pricing makes success expensive. DALP's subscription model means Emirates NBD's platform costs remain predictable regardless of volume growth.</w:t>
      </w:r>
    </w:p>
    <w:p>
      <w:pPr>
        <w:pStyle w:val="H3"/>
        <w:numPr>
          <w:ilvl w:val="2"/>
          <w:numId w:val="1"/>
        </w:numPr>
      </w:pPr>
      <w:r>
        <w:t>Infrastructure Cost Estimates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Infrastructure Component</w:t>
            </w:r>
          </w:p>
        </w:tc>
        <w:tc>
          <w:tcPr>
            <w:tcW w:type="dxa" w:w="3249"/>
            <w:vAlign w:val="center"/>
            <w:shd w:fill="000099" w:val="clear"/>
          </w:tcPr>
          <w:p>
            <w:r>
              <w:rPr>
                <w:b/>
                <w:color w:val="FFFFFF"/>
              </w:rPr>
            </w:r>
            <w:r>
              <w:rPr>
                <w:rFonts w:ascii="Figtree" w:hAnsi="Figtree"/>
                <w:b/>
                <w:i w:val="0"/>
                <w:color w:val="FFFFFF"/>
                <w:sz w:val="22"/>
              </w:rPr>
              <w:t>Monthly Cost (Estimate)</w:t>
            </w:r>
          </w:p>
        </w:tc>
        <w:tc>
          <w:tcPr>
            <w:tcW w:type="dxa" w:w="3249"/>
            <w:vAlign w:val="center"/>
            <w:shd w:fill="000099" w:val="clear"/>
          </w:tcPr>
          <w:p>
            <w:r>
              <w:rPr>
                <w:b/>
                <w:color w:val="FFFFFF"/>
              </w:rPr>
            </w:r>
            <w:r>
              <w:rPr>
                <w:rFonts w:ascii="Figtree" w:hAnsi="Figtree"/>
                <w:b/>
                <w:i w:val="0"/>
                <w:color w:val="FFFFFF"/>
                <w:sz w:val="22"/>
              </w:rPr>
              <w:t>Annual Cost</w:t>
            </w:r>
          </w:p>
        </w:tc>
      </w:tr>
      <w:tr>
        <w:trPr>
          <w:trHeight w:val="454" w:hRule="atLeast"/>
        </w:trPr>
        <w:tc>
          <w:tcPr>
            <w:tcW w:type="dxa" w:w="3249"/>
            <w:vAlign w:val="center"/>
          </w:tcPr>
          <w:p>
            <w:r/>
            <w:r>
              <w:rPr>
                <w:rFonts w:ascii="Figtree" w:hAnsi="Figtree"/>
                <w:b w:val="0"/>
                <w:i w:val="0"/>
                <w:sz w:val="22"/>
              </w:rPr>
              <w:t>Kubernetes cluster (3 workers)</w:t>
            </w:r>
          </w:p>
        </w:tc>
        <w:tc>
          <w:tcPr>
            <w:tcW w:type="dxa" w:w="3249"/>
            <w:vAlign w:val="center"/>
          </w:tcPr>
          <w:p>
            <w:r/>
            <w:r>
              <w:rPr>
                <w:rFonts w:ascii="Figtree" w:hAnsi="Figtree"/>
                <w:b w:val="0"/>
                <w:i w:val="0"/>
                <w:sz w:val="22"/>
              </w:rPr>
              <w:t>$2,500 – $3,500</w:t>
            </w:r>
          </w:p>
        </w:tc>
        <w:tc>
          <w:tcPr>
            <w:tcW w:type="dxa" w:w="3249"/>
            <w:vAlign w:val="center"/>
          </w:tcPr>
          <w:p>
            <w:r/>
            <w:r>
              <w:rPr>
                <w:rFonts w:ascii="Figtree" w:hAnsi="Figtree"/>
                <w:b w:val="0"/>
                <w:i w:val="0"/>
                <w:sz w:val="22"/>
              </w:rPr>
              <w:t>$30,000 – $42,000</w:t>
            </w:r>
          </w:p>
        </w:tc>
      </w:tr>
      <w:tr>
        <w:trPr>
          <w:trHeight w:val="454" w:hRule="atLeast"/>
        </w:trPr>
        <w:tc>
          <w:tcPr>
            <w:tcW w:type="dxa" w:w="3249"/>
            <w:vAlign w:val="center"/>
          </w:tcPr>
          <w:p>
            <w:r/>
            <w:r>
              <w:rPr>
                <w:rFonts w:ascii="Figtree" w:hAnsi="Figtree"/>
                <w:b w:val="0"/>
                <w:i w:val="0"/>
                <w:sz w:val="22"/>
              </w:rPr>
              <w:t>PostgreSQL (Multi-AZ, production spec)</w:t>
            </w:r>
          </w:p>
        </w:tc>
        <w:tc>
          <w:tcPr>
            <w:tcW w:type="dxa" w:w="3249"/>
            <w:vAlign w:val="center"/>
          </w:tcPr>
          <w:p>
            <w:r/>
            <w:r>
              <w:rPr>
                <w:rFonts w:ascii="Figtree" w:hAnsi="Figtree"/>
                <w:b w:val="0"/>
                <w:i w:val="0"/>
                <w:sz w:val="22"/>
              </w:rPr>
              <w:t>$1,500 – $2,000</w:t>
            </w:r>
          </w:p>
        </w:tc>
        <w:tc>
          <w:tcPr>
            <w:tcW w:type="dxa" w:w="3249"/>
            <w:vAlign w:val="center"/>
          </w:tcPr>
          <w:p>
            <w:r/>
            <w:r>
              <w:rPr>
                <w:rFonts w:ascii="Figtree" w:hAnsi="Figtree"/>
                <w:b w:val="0"/>
                <w:i w:val="0"/>
                <w:sz w:val="22"/>
              </w:rPr>
              <w:t>$18,000 – $24,000</w:t>
            </w:r>
          </w:p>
        </w:tc>
      </w:tr>
      <w:tr>
        <w:trPr>
          <w:trHeight w:val="454" w:hRule="atLeast"/>
        </w:trPr>
        <w:tc>
          <w:tcPr>
            <w:tcW w:type="dxa" w:w="3249"/>
            <w:vAlign w:val="center"/>
          </w:tcPr>
          <w:p>
            <w:r/>
            <w:r>
              <w:rPr>
                <w:rFonts w:ascii="Figtree" w:hAnsi="Figtree"/>
                <w:b w:val="0"/>
                <w:i w:val="0"/>
                <w:sz w:val="22"/>
              </w:rPr>
              <w:t>Redis cluster</w:t>
            </w:r>
          </w:p>
        </w:tc>
        <w:tc>
          <w:tcPr>
            <w:tcW w:type="dxa" w:w="3249"/>
            <w:vAlign w:val="center"/>
          </w:tcPr>
          <w:p>
            <w:r/>
            <w:r>
              <w:rPr>
                <w:rFonts w:ascii="Figtree" w:hAnsi="Figtree"/>
                <w:b w:val="0"/>
                <w:i w:val="0"/>
                <w:sz w:val="22"/>
              </w:rPr>
              <w:t>$500 – $800</w:t>
            </w:r>
          </w:p>
        </w:tc>
        <w:tc>
          <w:tcPr>
            <w:tcW w:type="dxa" w:w="3249"/>
            <w:vAlign w:val="center"/>
          </w:tcPr>
          <w:p>
            <w:r/>
            <w:r>
              <w:rPr>
                <w:rFonts w:ascii="Figtree" w:hAnsi="Figtree"/>
                <w:b w:val="0"/>
                <w:i w:val="0"/>
                <w:sz w:val="22"/>
              </w:rPr>
              <w:t>$6,000 – $9,600</w:t>
            </w:r>
          </w:p>
        </w:tc>
      </w:tr>
      <w:tr>
        <w:trPr>
          <w:trHeight w:val="454" w:hRule="atLeast"/>
        </w:trPr>
        <w:tc>
          <w:tcPr>
            <w:tcW w:type="dxa" w:w="3249"/>
            <w:vAlign w:val="center"/>
          </w:tcPr>
          <w:p>
            <w:r/>
            <w:r>
              <w:rPr>
                <w:rFonts w:ascii="Figtree" w:hAnsi="Figtree"/>
                <w:b w:val="0"/>
                <w:i w:val="0"/>
                <w:sz w:val="22"/>
              </w:rPr>
              <w:t>Blockchain nodes (4 validators)</w:t>
            </w:r>
          </w:p>
        </w:tc>
        <w:tc>
          <w:tcPr>
            <w:tcW w:type="dxa" w:w="3249"/>
            <w:vAlign w:val="center"/>
          </w:tcPr>
          <w:p>
            <w:r/>
            <w:r>
              <w:rPr>
                <w:rFonts w:ascii="Figtree" w:hAnsi="Figtree"/>
                <w:b w:val="0"/>
                <w:i w:val="0"/>
                <w:sz w:val="22"/>
              </w:rPr>
              <w:t>$1,200 – $1,800</w:t>
            </w:r>
          </w:p>
        </w:tc>
        <w:tc>
          <w:tcPr>
            <w:tcW w:type="dxa" w:w="3249"/>
            <w:vAlign w:val="center"/>
          </w:tcPr>
          <w:p>
            <w:r/>
            <w:r>
              <w:rPr>
                <w:rFonts w:ascii="Figtree" w:hAnsi="Figtree"/>
                <w:b w:val="0"/>
                <w:i w:val="0"/>
                <w:sz w:val="22"/>
              </w:rPr>
              <w:t>$14,400 – $21,600</w:t>
            </w:r>
          </w:p>
        </w:tc>
      </w:tr>
      <w:tr>
        <w:trPr>
          <w:trHeight w:val="454" w:hRule="atLeast"/>
        </w:trPr>
        <w:tc>
          <w:tcPr>
            <w:tcW w:type="dxa" w:w="3249"/>
            <w:vAlign w:val="center"/>
          </w:tcPr>
          <w:p>
            <w:r/>
            <w:r>
              <w:rPr>
                <w:rFonts w:ascii="Figtree" w:hAnsi="Figtree"/>
                <w:b w:val="0"/>
                <w:i w:val="0"/>
                <w:sz w:val="22"/>
              </w:rPr>
              <w:t>Object storage</w:t>
            </w:r>
          </w:p>
        </w:tc>
        <w:tc>
          <w:tcPr>
            <w:tcW w:type="dxa" w:w="3249"/>
            <w:vAlign w:val="center"/>
          </w:tcPr>
          <w:p>
            <w:r/>
            <w:r>
              <w:rPr>
                <w:rFonts w:ascii="Figtree" w:hAnsi="Figtree"/>
                <w:b w:val="0"/>
                <w:i w:val="0"/>
                <w:sz w:val="22"/>
              </w:rPr>
              <w:t>$100 – $300</w:t>
            </w:r>
          </w:p>
        </w:tc>
        <w:tc>
          <w:tcPr>
            <w:tcW w:type="dxa" w:w="3249"/>
            <w:vAlign w:val="center"/>
          </w:tcPr>
          <w:p>
            <w:r/>
            <w:r>
              <w:rPr>
                <w:rFonts w:ascii="Figtree" w:hAnsi="Figtree"/>
                <w:b w:val="0"/>
                <w:i w:val="0"/>
                <w:sz w:val="22"/>
              </w:rPr>
              <w:t>$1,200 – $3,600</w:t>
            </w:r>
          </w:p>
        </w:tc>
      </w:tr>
      <w:tr>
        <w:trPr>
          <w:trHeight w:val="454" w:hRule="atLeast"/>
        </w:trPr>
        <w:tc>
          <w:tcPr>
            <w:tcW w:type="dxa" w:w="3249"/>
            <w:vAlign w:val="center"/>
          </w:tcPr>
          <w:p>
            <w:r/>
            <w:r>
              <w:rPr>
                <w:rFonts w:ascii="Figtree" w:hAnsi="Figtree"/>
                <w:b w:val="0"/>
                <w:i w:val="0"/>
                <w:sz w:val="22"/>
              </w:rPr>
              <w:t>Load balancer + WAF</w:t>
            </w:r>
          </w:p>
        </w:tc>
        <w:tc>
          <w:tcPr>
            <w:tcW w:type="dxa" w:w="3249"/>
            <w:vAlign w:val="center"/>
          </w:tcPr>
          <w:p>
            <w:r/>
            <w:r>
              <w:rPr>
                <w:rFonts w:ascii="Figtree" w:hAnsi="Figtree"/>
                <w:b w:val="0"/>
                <w:i w:val="0"/>
                <w:sz w:val="22"/>
              </w:rPr>
              <w:t>$300 – $500</w:t>
            </w:r>
          </w:p>
        </w:tc>
        <w:tc>
          <w:tcPr>
            <w:tcW w:type="dxa" w:w="3249"/>
            <w:vAlign w:val="center"/>
          </w:tcPr>
          <w:p>
            <w:r/>
            <w:r>
              <w:rPr>
                <w:rFonts w:ascii="Figtree" w:hAnsi="Figtree"/>
                <w:b w:val="0"/>
                <w:i w:val="0"/>
                <w:sz w:val="22"/>
              </w:rPr>
              <w:t>$3,600 – $6,000</w:t>
            </w:r>
          </w:p>
        </w:tc>
      </w:tr>
      <w:tr>
        <w:trPr>
          <w:trHeight w:val="454" w:hRule="atLeast"/>
        </w:trPr>
        <w:tc>
          <w:tcPr>
            <w:tcW w:type="dxa" w:w="3249"/>
            <w:vAlign w:val="center"/>
          </w:tcPr>
          <w:p>
            <w:r/>
            <w:r>
              <w:rPr>
                <w:rFonts w:ascii="Figtree" w:hAnsi="Figtree"/>
                <w:b w:val="0"/>
                <w:i w:val="0"/>
                <w:sz w:val="22"/>
              </w:rPr>
              <w:t>Monitoring (Grafana)</w:t>
            </w:r>
          </w:p>
        </w:tc>
        <w:tc>
          <w:tcPr>
            <w:tcW w:type="dxa" w:w="3249"/>
            <w:vAlign w:val="center"/>
          </w:tcPr>
          <w:p>
            <w:r/>
            <w:r>
              <w:rPr>
                <w:rFonts w:ascii="Figtree" w:hAnsi="Figtree"/>
                <w:b w:val="0"/>
                <w:i w:val="0"/>
                <w:sz w:val="22"/>
              </w:rPr>
              <w:t>$200 – $400</w:t>
            </w:r>
          </w:p>
        </w:tc>
        <w:tc>
          <w:tcPr>
            <w:tcW w:type="dxa" w:w="3249"/>
            <w:vAlign w:val="center"/>
          </w:tcPr>
          <w:p>
            <w:r/>
            <w:r>
              <w:rPr>
                <w:rFonts w:ascii="Figtree" w:hAnsi="Figtree"/>
                <w:b w:val="0"/>
                <w:i w:val="0"/>
                <w:sz w:val="22"/>
              </w:rPr>
              <w:t>$2,400 – $4,800</w:t>
            </w:r>
          </w:p>
        </w:tc>
      </w:tr>
      <w:tr>
        <w:trPr>
          <w:trHeight w:val="454" w:hRule="atLeast"/>
        </w:trPr>
        <w:tc>
          <w:tcPr>
            <w:tcW w:type="dxa" w:w="3249"/>
            <w:vAlign w:val="center"/>
          </w:tcPr>
          <w:p>
            <w:r/>
            <w:r>
              <w:rPr>
                <w:rFonts w:ascii="Figtree" w:hAnsi="Figtree"/>
                <w:b w:val="0"/>
                <w:i w:val="0"/>
                <w:sz w:val="22"/>
              </w:rPr>
              <w:t>Network (VPN, data transfer)</w:t>
            </w:r>
          </w:p>
        </w:tc>
        <w:tc>
          <w:tcPr>
            <w:tcW w:type="dxa" w:w="3249"/>
            <w:vAlign w:val="center"/>
          </w:tcPr>
          <w:p>
            <w:r/>
            <w:r>
              <w:rPr>
                <w:rFonts w:ascii="Figtree" w:hAnsi="Figtree"/>
                <w:b w:val="0"/>
                <w:i w:val="0"/>
                <w:sz w:val="22"/>
              </w:rPr>
              <w:t>$500 – $800</w:t>
            </w:r>
          </w:p>
        </w:tc>
        <w:tc>
          <w:tcPr>
            <w:tcW w:type="dxa" w:w="3249"/>
            <w:vAlign w:val="center"/>
          </w:tcPr>
          <w:p>
            <w:r/>
            <w:r>
              <w:rPr>
                <w:rFonts w:ascii="Figtree" w:hAnsi="Figtree"/>
                <w:b w:val="0"/>
                <w:i w:val="0"/>
                <w:sz w:val="22"/>
              </w:rPr>
              <w:t>$6,000 – $9,600</w:t>
            </w:r>
          </w:p>
        </w:tc>
      </w:tr>
      <w:tr>
        <w:trPr>
          <w:trHeight w:val="454" w:hRule="atLeast"/>
        </w:trPr>
        <w:tc>
          <w:tcPr>
            <w:tcW w:type="dxa" w:w="3249"/>
            <w:vAlign w:val="center"/>
          </w:tcPr>
          <w:p>
            <w:r/>
            <w:r>
              <w:rPr>
                <w:rFonts w:ascii="Figtree" w:hAnsi="Figtree"/>
                <w:b/>
                <w:i w:val="0"/>
                <w:sz w:val="22"/>
              </w:rPr>
              <w:t>Total infrastructure</w:t>
            </w:r>
          </w:p>
        </w:tc>
        <w:tc>
          <w:tcPr>
            <w:tcW w:type="dxa" w:w="3249"/>
            <w:vAlign w:val="center"/>
          </w:tcPr>
          <w:p>
            <w:r/>
            <w:r>
              <w:rPr>
                <w:rFonts w:ascii="Figtree" w:hAnsi="Figtree"/>
                <w:b/>
                <w:i w:val="0"/>
                <w:sz w:val="22"/>
              </w:rPr>
              <w:t>$6,800 – $10,100</w:t>
            </w:r>
          </w:p>
        </w:tc>
        <w:tc>
          <w:tcPr>
            <w:tcW w:type="dxa" w:w="3249"/>
            <w:vAlign w:val="center"/>
          </w:tcPr>
          <w:p>
            <w:r/>
            <w:r>
              <w:rPr>
                <w:rFonts w:ascii="Figtree" w:hAnsi="Figtree"/>
                <w:b/>
                <w:i w:val="0"/>
                <w:sz w:val="22"/>
              </w:rPr>
              <w:t>$81,600 – $121,200</w:t>
            </w:r>
          </w:p>
        </w:tc>
      </w:tr>
    </w:tbl>
    <w:p>
      <w:r>
        <w:rPr>
          <w:rFonts w:ascii="Figtree" w:hAnsi="Figtree"/>
          <w:b w:val="0"/>
          <w:i w:val="0"/>
          <w:sz w:val="22"/>
        </w:rPr>
        <w:t>Infrastructure costs are estimates based on UAE cloud pricing (AWS Bahrain / Azure UAE North) at current rates. Actual costs will be finalized during commercial discussions based on Emirates NBD's specific requirements and existing cloud agreements.</w:t>
      </w:r>
    </w:p>
    <w:p>
      <w:pPr>
        <w:pStyle w:val="H3"/>
        <w:numPr>
          <w:ilvl w:val="2"/>
          <w:numId w:val="1"/>
        </w:numPr>
      </w:pPr>
      <w:r>
        <w:t>Contract Structure</w:t>
      </w:r>
    </w:p>
    <w:p>
      <w:r>
        <w:rPr>
          <w:rFonts w:ascii="Figtree" w:hAnsi="Figtree"/>
          <w:b/>
          <w:i w:val="0"/>
          <w:sz w:val="22"/>
        </w:rPr>
        <w:t>Recommended contract components: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Component</w:t>
            </w:r>
          </w:p>
        </w:tc>
        <w:tc>
          <w:tcPr>
            <w:tcW w:type="dxa" w:w="3249"/>
            <w:vAlign w:val="center"/>
            <w:shd w:fill="000099" w:val="clear"/>
          </w:tcPr>
          <w:p>
            <w:r>
              <w:rPr>
                <w:b/>
                <w:color w:val="FFFFFF"/>
              </w:rPr>
            </w:r>
            <w:r>
              <w:rPr>
                <w:rFonts w:ascii="Figtree" w:hAnsi="Figtree"/>
                <w:b/>
                <w:i w:val="0"/>
                <w:color w:val="FFFFFF"/>
                <w:sz w:val="22"/>
              </w:rPr>
              <w:t>Document</w:t>
            </w:r>
          </w:p>
        </w:tc>
        <w:tc>
          <w:tcPr>
            <w:tcW w:type="dxa" w:w="3249"/>
            <w:vAlign w:val="center"/>
            <w:shd w:fill="000099" w:val="clear"/>
          </w:tcPr>
          <w:p>
            <w:r>
              <w:rPr>
                <w:b/>
                <w:color w:val="FFFFFF"/>
              </w:rPr>
            </w:r>
            <w:r>
              <w:rPr>
                <w:rFonts w:ascii="Figtree" w:hAnsi="Figtree"/>
                <w:b/>
                <w:i w:val="0"/>
                <w:color w:val="FFFFFF"/>
                <w:sz w:val="22"/>
              </w:rPr>
              <w:t>Purpose</w:t>
            </w:r>
          </w:p>
        </w:tc>
      </w:tr>
      <w:tr>
        <w:trPr>
          <w:trHeight w:val="454" w:hRule="atLeast"/>
        </w:trPr>
        <w:tc>
          <w:tcPr>
            <w:tcW w:type="dxa" w:w="3249"/>
            <w:vAlign w:val="center"/>
          </w:tcPr>
          <w:p>
            <w:r/>
            <w:r>
              <w:rPr>
                <w:rFonts w:ascii="Figtree" w:hAnsi="Figtree"/>
                <w:b w:val="0"/>
                <w:i w:val="0"/>
                <w:sz w:val="22"/>
              </w:rPr>
              <w:t>Master Services Agreement</w:t>
            </w:r>
          </w:p>
        </w:tc>
        <w:tc>
          <w:tcPr>
            <w:tcW w:type="dxa" w:w="3249"/>
            <w:vAlign w:val="center"/>
          </w:tcPr>
          <w:p>
            <w:r/>
            <w:r>
              <w:rPr>
                <w:rFonts w:ascii="Figtree" w:hAnsi="Figtree"/>
                <w:b w:val="0"/>
                <w:i w:val="0"/>
                <w:sz w:val="22"/>
              </w:rPr>
              <w:t>MSA</w:t>
            </w:r>
          </w:p>
        </w:tc>
        <w:tc>
          <w:tcPr>
            <w:tcW w:type="dxa" w:w="3249"/>
            <w:vAlign w:val="center"/>
          </w:tcPr>
          <w:p>
            <w:r/>
            <w:r>
              <w:rPr>
                <w:rFonts w:ascii="Figtree" w:hAnsi="Figtree"/>
                <w:b w:val="0"/>
                <w:i w:val="0"/>
                <w:sz w:val="22"/>
              </w:rPr>
              <w:t>Overarching commercial and legal terms</w:t>
            </w:r>
          </w:p>
        </w:tc>
      </w:tr>
      <w:tr>
        <w:trPr>
          <w:trHeight w:val="454" w:hRule="atLeast"/>
        </w:trPr>
        <w:tc>
          <w:tcPr>
            <w:tcW w:type="dxa" w:w="3249"/>
            <w:vAlign w:val="center"/>
          </w:tcPr>
          <w:p>
            <w:r/>
            <w:r>
              <w:rPr>
                <w:rFonts w:ascii="Figtree" w:hAnsi="Figtree"/>
                <w:b w:val="0"/>
                <w:i w:val="0"/>
                <w:sz w:val="22"/>
              </w:rPr>
              <w:t>Statement of Work</w:t>
            </w:r>
          </w:p>
        </w:tc>
        <w:tc>
          <w:tcPr>
            <w:tcW w:type="dxa" w:w="3249"/>
            <w:vAlign w:val="center"/>
          </w:tcPr>
          <w:p>
            <w:r/>
            <w:r>
              <w:rPr>
                <w:rFonts w:ascii="Figtree" w:hAnsi="Figtree"/>
                <w:b w:val="0"/>
                <w:i w:val="0"/>
                <w:sz w:val="22"/>
              </w:rPr>
              <w:t>SOW</w:t>
            </w:r>
          </w:p>
        </w:tc>
        <w:tc>
          <w:tcPr>
            <w:tcW w:type="dxa" w:w="3249"/>
            <w:vAlign w:val="center"/>
          </w:tcPr>
          <w:p>
            <w:r/>
            <w:r>
              <w:rPr>
                <w:rFonts w:ascii="Figtree" w:hAnsi="Figtree"/>
                <w:b w:val="0"/>
                <w:i w:val="0"/>
                <w:sz w:val="22"/>
              </w:rPr>
              <w:t>Implementation scope, timeline, deliverables</w:t>
            </w:r>
          </w:p>
        </w:tc>
      </w:tr>
      <w:tr>
        <w:trPr>
          <w:trHeight w:val="454" w:hRule="atLeast"/>
        </w:trPr>
        <w:tc>
          <w:tcPr>
            <w:tcW w:type="dxa" w:w="3249"/>
            <w:vAlign w:val="center"/>
          </w:tcPr>
          <w:p>
            <w:r/>
            <w:r>
              <w:rPr>
                <w:rFonts w:ascii="Figtree" w:hAnsi="Figtree"/>
                <w:b w:val="0"/>
                <w:i w:val="0"/>
                <w:sz w:val="22"/>
              </w:rPr>
              <w:t>License Agreement</w:t>
            </w:r>
          </w:p>
        </w:tc>
        <w:tc>
          <w:tcPr>
            <w:tcW w:type="dxa" w:w="3249"/>
            <w:vAlign w:val="center"/>
          </w:tcPr>
          <w:p>
            <w:r/>
            <w:r>
              <w:rPr>
                <w:rFonts w:ascii="Figtree" w:hAnsi="Figtree"/>
                <w:b w:val="0"/>
                <w:i w:val="0"/>
                <w:sz w:val="22"/>
              </w:rPr>
              <w:t>LA</w:t>
            </w:r>
          </w:p>
        </w:tc>
        <w:tc>
          <w:tcPr>
            <w:tcW w:type="dxa" w:w="3249"/>
            <w:vAlign w:val="center"/>
          </w:tcPr>
          <w:p>
            <w:r/>
            <w:r>
              <w:rPr>
                <w:rFonts w:ascii="Figtree" w:hAnsi="Figtree"/>
                <w:b w:val="0"/>
                <w:i w:val="0"/>
                <w:sz w:val="22"/>
              </w:rPr>
              <w:t>Platform licensing terms, usage rights</w:t>
            </w:r>
          </w:p>
        </w:tc>
      </w:tr>
      <w:tr>
        <w:trPr>
          <w:trHeight w:val="454" w:hRule="atLeast"/>
        </w:trPr>
        <w:tc>
          <w:tcPr>
            <w:tcW w:type="dxa" w:w="3249"/>
            <w:vAlign w:val="center"/>
          </w:tcPr>
          <w:p>
            <w:r/>
            <w:r>
              <w:rPr>
                <w:rFonts w:ascii="Figtree" w:hAnsi="Figtree"/>
                <w:b w:val="0"/>
                <w:i w:val="0"/>
                <w:sz w:val="22"/>
              </w:rPr>
              <w:t>Support Agreement</w:t>
            </w:r>
          </w:p>
        </w:tc>
        <w:tc>
          <w:tcPr>
            <w:tcW w:type="dxa" w:w="3249"/>
            <w:vAlign w:val="center"/>
          </w:tcPr>
          <w:p>
            <w:r/>
            <w:r>
              <w:rPr>
                <w:rFonts w:ascii="Figtree" w:hAnsi="Figtree"/>
                <w:b w:val="0"/>
                <w:i w:val="0"/>
                <w:sz w:val="22"/>
              </w:rPr>
              <w:t>SA</w:t>
            </w:r>
          </w:p>
        </w:tc>
        <w:tc>
          <w:tcPr>
            <w:tcW w:type="dxa" w:w="3249"/>
            <w:vAlign w:val="center"/>
          </w:tcPr>
          <w:p>
            <w:r/>
            <w:r>
              <w:rPr>
                <w:rFonts w:ascii="Figtree" w:hAnsi="Figtree"/>
                <w:b w:val="0"/>
                <w:i w:val="0"/>
                <w:sz w:val="22"/>
              </w:rPr>
              <w:t>Support tier, SLAs, escalation procedures</w:t>
            </w:r>
          </w:p>
        </w:tc>
      </w:tr>
      <w:tr>
        <w:trPr>
          <w:trHeight w:val="454" w:hRule="atLeast"/>
        </w:trPr>
        <w:tc>
          <w:tcPr>
            <w:tcW w:type="dxa" w:w="3249"/>
            <w:vAlign w:val="center"/>
          </w:tcPr>
          <w:p>
            <w:r/>
            <w:r>
              <w:rPr>
                <w:rFonts w:ascii="Figtree" w:hAnsi="Figtree"/>
                <w:b w:val="0"/>
                <w:i w:val="0"/>
                <w:sz w:val="22"/>
              </w:rPr>
              <w:t>Data Processing Agreement</w:t>
            </w:r>
          </w:p>
        </w:tc>
        <w:tc>
          <w:tcPr>
            <w:tcW w:type="dxa" w:w="3249"/>
            <w:vAlign w:val="center"/>
          </w:tcPr>
          <w:p>
            <w:r/>
            <w:r>
              <w:rPr>
                <w:rFonts w:ascii="Figtree" w:hAnsi="Figtree"/>
                <w:b w:val="0"/>
                <w:i w:val="0"/>
                <w:sz w:val="22"/>
              </w:rPr>
              <w:t>DPA</w:t>
            </w:r>
          </w:p>
        </w:tc>
        <w:tc>
          <w:tcPr>
            <w:tcW w:type="dxa" w:w="3249"/>
            <w:vAlign w:val="center"/>
          </w:tcPr>
          <w:p>
            <w:r/>
            <w:r>
              <w:rPr>
                <w:rFonts w:ascii="Figtree" w:hAnsi="Figtree"/>
                <w:b w:val="0"/>
                <w:i w:val="0"/>
                <w:sz w:val="22"/>
              </w:rPr>
              <w:t>Data handling, residency, privacy compliance</w:t>
            </w:r>
          </w:p>
        </w:tc>
      </w:tr>
      <w:tr>
        <w:trPr>
          <w:trHeight w:val="454" w:hRule="atLeast"/>
        </w:trPr>
        <w:tc>
          <w:tcPr>
            <w:tcW w:type="dxa" w:w="3249"/>
            <w:vAlign w:val="center"/>
          </w:tcPr>
          <w:p>
            <w:r/>
            <w:r>
              <w:rPr>
                <w:rFonts w:ascii="Figtree" w:hAnsi="Figtree"/>
                <w:b w:val="0"/>
                <w:i w:val="0"/>
                <w:sz w:val="22"/>
              </w:rPr>
              <w:t>Security Addendum</w:t>
            </w:r>
          </w:p>
        </w:tc>
        <w:tc>
          <w:tcPr>
            <w:tcW w:type="dxa" w:w="3249"/>
            <w:vAlign w:val="center"/>
          </w:tcPr>
          <w:p>
            <w:r/>
            <w:r>
              <w:rPr>
                <w:rFonts w:ascii="Figtree" w:hAnsi="Figtree"/>
                <w:b w:val="0"/>
                <w:i w:val="0"/>
                <w:sz w:val="22"/>
              </w:rPr>
              <w:t>—</w:t>
            </w:r>
          </w:p>
        </w:tc>
        <w:tc>
          <w:tcPr>
            <w:tcW w:type="dxa" w:w="3249"/>
            <w:vAlign w:val="center"/>
          </w:tcPr>
          <w:p>
            <w:r/>
            <w:r>
              <w:rPr>
                <w:rFonts w:ascii="Figtree" w:hAnsi="Figtree"/>
                <w:b w:val="0"/>
                <w:i w:val="0"/>
                <w:sz w:val="22"/>
              </w:rPr>
              <w:t>Security obligations, incident notification</w:t>
            </w:r>
          </w:p>
        </w:tc>
      </w:tr>
    </w:tbl>
    <w:p>
      <w:r>
        <w:rPr>
          <w:rFonts w:ascii="Figtree" w:hAnsi="Figtree"/>
          <w:b/>
          <w:i w:val="0"/>
          <w:sz w:val="22"/>
        </w:rPr>
        <w:t>Key commercial terms: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Term</w:t>
            </w:r>
          </w:p>
        </w:tc>
        <w:tc>
          <w:tcPr>
            <w:tcW w:type="dxa" w:w="4873"/>
            <w:vAlign w:val="center"/>
            <w:shd w:fill="000099" w:val="clear"/>
          </w:tcPr>
          <w:p>
            <w:r>
              <w:rPr>
                <w:b/>
                <w:color w:val="FFFFFF"/>
              </w:rPr>
            </w:r>
            <w:r>
              <w:rPr>
                <w:rFonts w:ascii="Figtree" w:hAnsi="Figtree"/>
                <w:b/>
                <w:i w:val="0"/>
                <w:color w:val="FFFFFF"/>
                <w:sz w:val="22"/>
              </w:rPr>
              <w:t>Proposed Position</w:t>
            </w:r>
          </w:p>
        </w:tc>
      </w:tr>
      <w:tr>
        <w:trPr>
          <w:trHeight w:val="454" w:hRule="atLeast"/>
        </w:trPr>
        <w:tc>
          <w:tcPr>
            <w:tcW w:type="dxa" w:w="4873"/>
            <w:vAlign w:val="center"/>
          </w:tcPr>
          <w:p>
            <w:r/>
            <w:r>
              <w:rPr>
                <w:rFonts w:ascii="Figtree" w:hAnsi="Figtree"/>
                <w:b w:val="0"/>
                <w:i w:val="0"/>
                <w:sz w:val="22"/>
              </w:rPr>
              <w:t>Contract duration</w:t>
            </w:r>
          </w:p>
        </w:tc>
        <w:tc>
          <w:tcPr>
            <w:tcW w:type="dxa" w:w="4873"/>
            <w:vAlign w:val="center"/>
          </w:tcPr>
          <w:p>
            <w:r/>
            <w:r>
              <w:rPr>
                <w:rFonts w:ascii="Figtree" w:hAnsi="Figtree"/>
                <w:b w:val="0"/>
                <w:i w:val="0"/>
                <w:sz w:val="22"/>
              </w:rPr>
              <w:t>3 years initial, annual renewal thereafter</w:t>
            </w:r>
          </w:p>
        </w:tc>
      </w:tr>
      <w:tr>
        <w:trPr>
          <w:trHeight w:val="454" w:hRule="atLeast"/>
        </w:trPr>
        <w:tc>
          <w:tcPr>
            <w:tcW w:type="dxa" w:w="4873"/>
            <w:vAlign w:val="center"/>
          </w:tcPr>
          <w:p>
            <w:r/>
            <w:r>
              <w:rPr>
                <w:rFonts w:ascii="Figtree" w:hAnsi="Figtree"/>
                <w:b w:val="0"/>
                <w:i w:val="0"/>
                <w:sz w:val="22"/>
              </w:rPr>
              <w:t>Price lock</w:t>
            </w:r>
          </w:p>
        </w:tc>
        <w:tc>
          <w:tcPr>
            <w:tcW w:type="dxa" w:w="4873"/>
            <w:vAlign w:val="center"/>
          </w:tcPr>
          <w:p>
            <w:r/>
            <w:r>
              <w:rPr>
                <w:rFonts w:ascii="Figtree" w:hAnsi="Figtree"/>
                <w:b w:val="0"/>
                <w:i w:val="0"/>
                <w:sz w:val="22"/>
              </w:rPr>
              <w:t>Year 1 fixed; Years 2–3 CPI-indexed (capped at 5% annual increase)</w:t>
            </w:r>
          </w:p>
        </w:tc>
      </w:tr>
      <w:tr>
        <w:trPr>
          <w:trHeight w:val="454" w:hRule="atLeast"/>
        </w:trPr>
        <w:tc>
          <w:tcPr>
            <w:tcW w:type="dxa" w:w="4873"/>
            <w:vAlign w:val="center"/>
          </w:tcPr>
          <w:p>
            <w:r/>
            <w:r>
              <w:rPr>
                <w:rFonts w:ascii="Figtree" w:hAnsi="Figtree"/>
                <w:b w:val="0"/>
                <w:i w:val="0"/>
                <w:sz w:val="22"/>
              </w:rPr>
              <w:t>Payment currency</w:t>
            </w:r>
          </w:p>
        </w:tc>
        <w:tc>
          <w:tcPr>
            <w:tcW w:type="dxa" w:w="4873"/>
            <w:vAlign w:val="center"/>
          </w:tcPr>
          <w:p>
            <w:r/>
            <w:r>
              <w:rPr>
                <w:rFonts w:ascii="Figtree" w:hAnsi="Figtree"/>
                <w:b w:val="0"/>
                <w:i w:val="0"/>
                <w:sz w:val="22"/>
              </w:rPr>
              <w:t>USD</w:t>
            </w:r>
          </w:p>
        </w:tc>
      </w:tr>
      <w:tr>
        <w:trPr>
          <w:trHeight w:val="454" w:hRule="atLeast"/>
        </w:trPr>
        <w:tc>
          <w:tcPr>
            <w:tcW w:type="dxa" w:w="4873"/>
            <w:vAlign w:val="center"/>
          </w:tcPr>
          <w:p>
            <w:r/>
            <w:r>
              <w:rPr>
                <w:rFonts w:ascii="Figtree" w:hAnsi="Figtree"/>
                <w:b w:val="0"/>
                <w:i w:val="0"/>
                <w:sz w:val="22"/>
              </w:rPr>
              <w:t>Payment terms</w:t>
            </w:r>
          </w:p>
        </w:tc>
        <w:tc>
          <w:tcPr>
            <w:tcW w:type="dxa" w:w="4873"/>
            <w:vAlign w:val="center"/>
          </w:tcPr>
          <w:p>
            <w:r/>
            <w:r>
              <w:rPr>
                <w:rFonts w:ascii="Figtree" w:hAnsi="Figtree"/>
                <w:b w:val="0"/>
                <w:i w:val="0"/>
                <w:sz w:val="22"/>
              </w:rPr>
              <w:t>Net 30 from invoice date</w:t>
            </w:r>
          </w:p>
        </w:tc>
      </w:tr>
      <w:tr>
        <w:trPr>
          <w:trHeight w:val="454" w:hRule="atLeast"/>
        </w:trPr>
        <w:tc>
          <w:tcPr>
            <w:tcW w:type="dxa" w:w="4873"/>
            <w:vAlign w:val="center"/>
          </w:tcPr>
          <w:p>
            <w:r/>
            <w:r>
              <w:rPr>
                <w:rFonts w:ascii="Figtree" w:hAnsi="Figtree"/>
                <w:b w:val="0"/>
                <w:i w:val="0"/>
                <w:sz w:val="22"/>
              </w:rPr>
              <w:t>Early termination</w:t>
            </w:r>
          </w:p>
        </w:tc>
        <w:tc>
          <w:tcPr>
            <w:tcW w:type="dxa" w:w="4873"/>
            <w:vAlign w:val="center"/>
          </w:tcPr>
          <w:p>
            <w:r/>
            <w:r>
              <w:rPr>
                <w:rFonts w:ascii="Figtree" w:hAnsi="Figtree"/>
                <w:b w:val="0"/>
                <w:i w:val="0"/>
                <w:sz w:val="22"/>
              </w:rPr>
              <w:t>90-day written notice; remaining annual license prorated</w:t>
            </w:r>
          </w:p>
        </w:tc>
      </w:tr>
      <w:tr>
        <w:trPr>
          <w:trHeight w:val="454" w:hRule="atLeast"/>
        </w:trPr>
        <w:tc>
          <w:tcPr>
            <w:tcW w:type="dxa" w:w="4873"/>
            <w:vAlign w:val="center"/>
          </w:tcPr>
          <w:p>
            <w:r/>
            <w:r>
              <w:rPr>
                <w:rFonts w:ascii="Figtree" w:hAnsi="Figtree"/>
                <w:b w:val="0"/>
                <w:i w:val="0"/>
                <w:sz w:val="22"/>
              </w:rPr>
              <w:t>IP ownership</w:t>
            </w:r>
          </w:p>
        </w:tc>
        <w:tc>
          <w:tcPr>
            <w:tcW w:type="dxa" w:w="4873"/>
            <w:vAlign w:val="center"/>
          </w:tcPr>
          <w:p>
            <w:r/>
            <w:r>
              <w:rPr>
                <w:rFonts w:ascii="Figtree" w:hAnsi="Figtree"/>
                <w:b w:val="0"/>
                <w:i w:val="0"/>
                <w:sz w:val="22"/>
              </w:rPr>
              <w:t>Emirates NBD owns all configuration, data, and integrations built on the platform</w:t>
            </w:r>
          </w:p>
        </w:tc>
      </w:tr>
      <w:tr>
        <w:trPr>
          <w:trHeight w:val="454" w:hRule="atLeast"/>
        </w:trPr>
        <w:tc>
          <w:tcPr>
            <w:tcW w:type="dxa" w:w="4873"/>
            <w:vAlign w:val="center"/>
          </w:tcPr>
          <w:p>
            <w:r/>
            <w:r>
              <w:rPr>
                <w:rFonts w:ascii="Figtree" w:hAnsi="Figtree"/>
                <w:b w:val="0"/>
                <w:i w:val="0"/>
                <w:sz w:val="22"/>
              </w:rPr>
              <w:t>Platform IP</w:t>
            </w:r>
          </w:p>
        </w:tc>
        <w:tc>
          <w:tcPr>
            <w:tcW w:type="dxa" w:w="4873"/>
            <w:vAlign w:val="center"/>
          </w:tcPr>
          <w:p>
            <w:r/>
            <w:r>
              <w:rPr>
                <w:rFonts w:ascii="Figtree" w:hAnsi="Figtree"/>
                <w:b w:val="0"/>
                <w:i w:val="0"/>
                <w:sz w:val="22"/>
              </w:rPr>
              <w:t>SettleMint retains ownership of the DALP platform and smart contracts</w:t>
            </w:r>
          </w:p>
        </w:tc>
      </w:tr>
      <w:tr>
        <w:trPr>
          <w:trHeight w:val="454" w:hRule="atLeast"/>
        </w:trPr>
        <w:tc>
          <w:tcPr>
            <w:tcW w:type="dxa" w:w="4873"/>
            <w:vAlign w:val="center"/>
          </w:tcPr>
          <w:p>
            <w:r/>
            <w:r>
              <w:rPr>
                <w:rFonts w:ascii="Figtree" w:hAnsi="Figtree"/>
                <w:b w:val="0"/>
                <w:i w:val="0"/>
                <w:sz w:val="22"/>
              </w:rPr>
              <w:t>Exit assistance</w:t>
            </w:r>
          </w:p>
        </w:tc>
        <w:tc>
          <w:tcPr>
            <w:tcW w:type="dxa" w:w="4873"/>
            <w:vAlign w:val="center"/>
          </w:tcPr>
          <w:p>
            <w:r/>
            <w:r>
              <w:rPr>
                <w:rFonts w:ascii="Figtree" w:hAnsi="Figtree"/>
                <w:b w:val="0"/>
                <w:i w:val="0"/>
                <w:sz w:val="22"/>
              </w:rPr>
              <w:t>90-day transition support period included if Emirates NBD terminates</w:t>
            </w:r>
          </w:p>
        </w:tc>
      </w:tr>
      <w:tr>
        <w:trPr>
          <w:trHeight w:val="454" w:hRule="atLeast"/>
        </w:trPr>
        <w:tc>
          <w:tcPr>
            <w:tcW w:type="dxa" w:w="4873"/>
            <w:vAlign w:val="center"/>
          </w:tcPr>
          <w:p>
            <w:r/>
            <w:r>
              <w:rPr>
                <w:rFonts w:ascii="Figtree" w:hAnsi="Figtree"/>
                <w:b w:val="0"/>
                <w:i w:val="0"/>
                <w:sz w:val="22"/>
              </w:rPr>
              <w:t>Liability cap</w:t>
            </w:r>
          </w:p>
        </w:tc>
        <w:tc>
          <w:tcPr>
            <w:tcW w:type="dxa" w:w="4873"/>
            <w:vAlign w:val="center"/>
          </w:tcPr>
          <w:p>
            <w:r/>
            <w:r>
              <w:rPr>
                <w:rFonts w:ascii="Figtree" w:hAnsi="Figtree"/>
                <w:b w:val="0"/>
                <w:i w:val="0"/>
                <w:sz w:val="22"/>
              </w:rPr>
              <w:t>Annual license fee amount (negotiable)</w:t>
            </w:r>
          </w:p>
        </w:tc>
      </w:tr>
    </w:tbl>
    <w:p>
      <w:pPr>
        <w:pStyle w:val="H3"/>
        <w:numPr>
          <w:ilvl w:val="2"/>
          <w:numId w:val="1"/>
        </w:numPr>
      </w:pPr>
      <w:r>
        <w:t>Operational Cost Comparison (3-Year View)</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Cost Category</w:t>
            </w:r>
          </w:p>
        </w:tc>
        <w:tc>
          <w:tcPr>
            <w:tcW w:type="dxa" w:w="2436"/>
            <w:vAlign w:val="center"/>
            <w:shd w:fill="000099" w:val="clear"/>
          </w:tcPr>
          <w:p>
            <w:r>
              <w:rPr>
                <w:b/>
                <w:color w:val="FFFFFF"/>
              </w:rPr>
            </w:r>
            <w:r>
              <w:rPr>
                <w:rFonts w:ascii="Figtree" w:hAnsi="Figtree"/>
                <w:b/>
                <w:i w:val="0"/>
                <w:color w:val="FFFFFF"/>
                <w:sz w:val="22"/>
              </w:rPr>
              <w:t>Internal Build</w:t>
            </w:r>
          </w:p>
        </w:tc>
        <w:tc>
          <w:tcPr>
            <w:tcW w:type="dxa" w:w="2436"/>
            <w:vAlign w:val="center"/>
            <w:shd w:fill="000099" w:val="clear"/>
          </w:tcPr>
          <w:p>
            <w:r>
              <w:rPr>
                <w:b/>
                <w:color w:val="FFFFFF"/>
              </w:rPr>
            </w:r>
            <w:r>
              <w:rPr>
                <w:rFonts w:ascii="Figtree" w:hAnsi="Figtree"/>
                <w:b/>
                <w:i w:val="0"/>
                <w:color w:val="FFFFFF"/>
                <w:sz w:val="22"/>
              </w:rPr>
              <w:t>Multi-Vendor</w:t>
            </w:r>
          </w:p>
        </w:tc>
        <w:tc>
          <w:tcPr>
            <w:tcW w:type="dxa" w:w="2436"/>
            <w:vAlign w:val="center"/>
            <w:shd w:fill="000099" w:val="clear"/>
          </w:tcPr>
          <w:p>
            <w:r>
              <w:rPr>
                <w:b/>
                <w:color w:val="FFFFFF"/>
              </w:rPr>
            </w:r>
            <w:r>
              <w:rPr>
                <w:rFonts w:ascii="Figtree" w:hAnsi="Figtree"/>
                <w:b/>
                <w:i w:val="0"/>
                <w:color w:val="FFFFFF"/>
                <w:sz w:val="22"/>
              </w:rPr>
              <w:t>DALP Platform</w:t>
            </w:r>
          </w:p>
        </w:tc>
      </w:tr>
      <w:tr>
        <w:trPr>
          <w:trHeight w:val="454" w:hRule="atLeast"/>
        </w:trPr>
        <w:tc>
          <w:tcPr>
            <w:tcW w:type="dxa" w:w="2436"/>
            <w:vAlign w:val="center"/>
          </w:tcPr>
          <w:p>
            <w:r/>
            <w:r>
              <w:rPr>
                <w:rFonts w:ascii="Figtree" w:hAnsi="Figtree"/>
                <w:b w:val="0"/>
                <w:i w:val="0"/>
                <w:sz w:val="22"/>
              </w:rPr>
              <w:t>Engineering / development</w:t>
            </w:r>
          </w:p>
        </w:tc>
        <w:tc>
          <w:tcPr>
            <w:tcW w:type="dxa" w:w="2436"/>
            <w:vAlign w:val="center"/>
          </w:tcPr>
          <w:p>
            <w:r/>
            <w:r>
              <w:rPr>
                <w:rFonts w:ascii="Figtree" w:hAnsi="Figtree"/>
                <w:b w:val="0"/>
                <w:i w:val="0"/>
                <w:sz w:val="22"/>
              </w:rPr>
              <w:t>$3.2M – $6.0M</w:t>
            </w:r>
          </w:p>
        </w:tc>
        <w:tc>
          <w:tcPr>
            <w:tcW w:type="dxa" w:w="2436"/>
            <w:vAlign w:val="center"/>
          </w:tcPr>
          <w:p>
            <w:r/>
            <w:r>
              <w:rPr>
                <w:rFonts w:ascii="Figtree" w:hAnsi="Figtree"/>
                <w:b w:val="0"/>
                <w:i w:val="0"/>
                <w:sz w:val="22"/>
              </w:rPr>
              <w:t>$1.5M – $3.0M</w:t>
            </w:r>
          </w:p>
        </w:tc>
        <w:tc>
          <w:tcPr>
            <w:tcW w:type="dxa" w:w="2436"/>
            <w:vAlign w:val="center"/>
          </w:tcPr>
          <w:p>
            <w:r/>
            <w:r>
              <w:rPr>
                <w:rFonts w:ascii="Figtree" w:hAnsi="Figtree"/>
                <w:b w:val="0"/>
                <w:i w:val="0"/>
                <w:sz w:val="22"/>
              </w:rPr>
              <w:t>$0</w:t>
            </w:r>
          </w:p>
        </w:tc>
      </w:tr>
      <w:tr>
        <w:trPr>
          <w:trHeight w:val="454" w:hRule="atLeast"/>
        </w:trPr>
        <w:tc>
          <w:tcPr>
            <w:tcW w:type="dxa" w:w="2436"/>
            <w:vAlign w:val="center"/>
          </w:tcPr>
          <w:p>
            <w:r/>
            <w:r>
              <w:rPr>
                <w:rFonts w:ascii="Figtree" w:hAnsi="Figtree"/>
                <w:b w:val="0"/>
                <w:i w:val="0"/>
                <w:sz w:val="22"/>
              </w:rPr>
              <w:t>Platform / license fees</w:t>
            </w:r>
          </w:p>
        </w:tc>
        <w:tc>
          <w:tcPr>
            <w:tcW w:type="dxa" w:w="2436"/>
            <w:vAlign w:val="center"/>
          </w:tcPr>
          <w:p>
            <w:r/>
            <w:r>
              <w:rPr>
                <w:rFonts w:ascii="Figtree" w:hAnsi="Figtree"/>
                <w:b w:val="0"/>
                <w:i w:val="0"/>
                <w:sz w:val="22"/>
              </w:rPr>
              <w:t>$0</w:t>
            </w:r>
          </w:p>
        </w:tc>
        <w:tc>
          <w:tcPr>
            <w:tcW w:type="dxa" w:w="2436"/>
            <w:vAlign w:val="center"/>
          </w:tcPr>
          <w:p>
            <w:r/>
            <w:r>
              <w:rPr>
                <w:rFonts w:ascii="Figtree" w:hAnsi="Figtree"/>
                <w:b w:val="0"/>
                <w:i w:val="0"/>
                <w:sz w:val="22"/>
              </w:rPr>
              <w:t>$600K – $1.2M</w:t>
            </w:r>
          </w:p>
        </w:tc>
        <w:tc>
          <w:tcPr>
            <w:tcW w:type="dxa" w:w="2436"/>
            <w:vAlign w:val="center"/>
          </w:tcPr>
          <w:p>
            <w:r/>
            <w:r>
              <w:rPr>
                <w:rFonts w:ascii="Figtree" w:hAnsi="Figtree"/>
                <w:b w:val="0"/>
                <w:i w:val="0"/>
                <w:sz w:val="22"/>
              </w:rPr>
              <w:t>[CLIENT-SPECIFIC]</w:t>
            </w:r>
          </w:p>
        </w:tc>
      </w:tr>
      <w:tr>
        <w:trPr>
          <w:trHeight w:val="454" w:hRule="atLeast"/>
        </w:trPr>
        <w:tc>
          <w:tcPr>
            <w:tcW w:type="dxa" w:w="2436"/>
            <w:vAlign w:val="center"/>
          </w:tcPr>
          <w:p>
            <w:r/>
            <w:r>
              <w:rPr>
                <w:rFonts w:ascii="Figtree" w:hAnsi="Figtree"/>
                <w:b w:val="0"/>
                <w:i w:val="0"/>
                <w:sz w:val="22"/>
              </w:rPr>
              <w:t>Infrastructure</w:t>
            </w:r>
          </w:p>
        </w:tc>
        <w:tc>
          <w:tcPr>
            <w:tcW w:type="dxa" w:w="2436"/>
            <w:vAlign w:val="center"/>
          </w:tcPr>
          <w:p>
            <w:r/>
            <w:r>
              <w:rPr>
                <w:rFonts w:ascii="Figtree" w:hAnsi="Figtree"/>
                <w:b w:val="0"/>
                <w:i w:val="0"/>
                <w:sz w:val="22"/>
              </w:rPr>
              <w:t>$300K – $600K</w:t>
            </w:r>
          </w:p>
        </w:tc>
        <w:tc>
          <w:tcPr>
            <w:tcW w:type="dxa" w:w="2436"/>
            <w:vAlign w:val="center"/>
          </w:tcPr>
          <w:p>
            <w:r/>
            <w:r>
              <w:rPr>
                <w:rFonts w:ascii="Figtree" w:hAnsi="Figtree"/>
                <w:b w:val="0"/>
                <w:i w:val="0"/>
                <w:sz w:val="22"/>
              </w:rPr>
              <w:t>$300K – $600K</w:t>
            </w:r>
          </w:p>
        </w:tc>
        <w:tc>
          <w:tcPr>
            <w:tcW w:type="dxa" w:w="2436"/>
            <w:vAlign w:val="center"/>
          </w:tcPr>
          <w:p>
            <w:r/>
            <w:r>
              <w:rPr>
                <w:rFonts w:ascii="Figtree" w:hAnsi="Figtree"/>
                <w:b w:val="0"/>
                <w:i w:val="0"/>
                <w:sz w:val="22"/>
              </w:rPr>
              <w:t>$245K – $364K</w:t>
            </w:r>
          </w:p>
        </w:tc>
      </w:tr>
      <w:tr>
        <w:trPr>
          <w:trHeight w:val="454" w:hRule="atLeast"/>
        </w:trPr>
        <w:tc>
          <w:tcPr>
            <w:tcW w:type="dxa" w:w="2436"/>
            <w:vAlign w:val="center"/>
          </w:tcPr>
          <w:p>
            <w:r/>
            <w:r>
              <w:rPr>
                <w:rFonts w:ascii="Figtree" w:hAnsi="Figtree"/>
                <w:b w:val="0"/>
                <w:i w:val="0"/>
                <w:sz w:val="22"/>
              </w:rPr>
              <w:t>Ongoing maintenance</w:t>
            </w:r>
          </w:p>
        </w:tc>
        <w:tc>
          <w:tcPr>
            <w:tcW w:type="dxa" w:w="2436"/>
            <w:vAlign w:val="center"/>
          </w:tcPr>
          <w:p>
            <w:r/>
            <w:r>
              <w:rPr>
                <w:rFonts w:ascii="Figtree" w:hAnsi="Figtree"/>
                <w:b w:val="0"/>
                <w:i w:val="0"/>
                <w:sz w:val="22"/>
              </w:rPr>
              <w:t>$1.2M – $2.4M</w:t>
            </w:r>
          </w:p>
        </w:tc>
        <w:tc>
          <w:tcPr>
            <w:tcW w:type="dxa" w:w="2436"/>
            <w:vAlign w:val="center"/>
          </w:tcPr>
          <w:p>
            <w:r/>
            <w:r>
              <w:rPr>
                <w:rFonts w:ascii="Figtree" w:hAnsi="Figtree"/>
                <w:b w:val="0"/>
                <w:i w:val="0"/>
                <w:sz w:val="22"/>
              </w:rPr>
              <w:t>$800K – $1.5M</w:t>
            </w:r>
          </w:p>
        </w:tc>
        <w:tc>
          <w:tcPr>
            <w:tcW w:type="dxa" w:w="2436"/>
            <w:vAlign w:val="center"/>
          </w:tcPr>
          <w:p>
            <w:r/>
            <w:r>
              <w:rPr>
                <w:rFonts w:ascii="Figtree" w:hAnsi="Figtree"/>
                <w:b w:val="0"/>
                <w:i w:val="0"/>
                <w:sz w:val="22"/>
              </w:rPr>
              <w:t>[Included in support]</w:t>
            </w:r>
          </w:p>
        </w:tc>
      </w:tr>
      <w:tr>
        <w:trPr>
          <w:trHeight w:val="454" w:hRule="atLeast"/>
        </w:trPr>
        <w:tc>
          <w:tcPr>
            <w:tcW w:type="dxa" w:w="2436"/>
            <w:vAlign w:val="center"/>
          </w:tcPr>
          <w:p>
            <w:r/>
            <w:r>
              <w:rPr>
                <w:rFonts w:ascii="Figtree" w:hAnsi="Figtree"/>
                <w:b w:val="0"/>
                <w:i w:val="0"/>
                <w:sz w:val="22"/>
              </w:rPr>
              <w:t>Support</w:t>
            </w:r>
          </w:p>
        </w:tc>
        <w:tc>
          <w:tcPr>
            <w:tcW w:type="dxa" w:w="2436"/>
            <w:vAlign w:val="center"/>
          </w:tcPr>
          <w:p>
            <w:r/>
            <w:r>
              <w:rPr>
                <w:rFonts w:ascii="Figtree" w:hAnsi="Figtree"/>
                <w:b w:val="0"/>
                <w:i w:val="0"/>
                <w:sz w:val="22"/>
              </w:rPr>
              <w:t>$0 (internal)</w:t>
            </w:r>
          </w:p>
        </w:tc>
        <w:tc>
          <w:tcPr>
            <w:tcW w:type="dxa" w:w="2436"/>
            <w:vAlign w:val="center"/>
          </w:tcPr>
          <w:p>
            <w:r/>
            <w:r>
              <w:rPr>
                <w:rFonts w:ascii="Figtree" w:hAnsi="Figtree"/>
                <w:b w:val="0"/>
                <w:i w:val="0"/>
                <w:sz w:val="22"/>
              </w:rPr>
              <w:t>$200K – $400K</w:t>
            </w:r>
          </w:p>
        </w:tc>
        <w:tc>
          <w:tcPr>
            <w:tcW w:type="dxa" w:w="2436"/>
            <w:vAlign w:val="center"/>
          </w:tcPr>
          <w:p>
            <w:r/>
            <w:r>
              <w:rPr>
                <w:rFonts w:ascii="Figtree" w:hAnsi="Figtree"/>
                <w:b w:val="0"/>
                <w:i w:val="0"/>
                <w:sz w:val="22"/>
              </w:rPr>
              <w:t>[CLIENT-SPECIFIC]</w:t>
            </w:r>
          </w:p>
        </w:tc>
      </w:tr>
      <w:tr>
        <w:trPr>
          <w:trHeight w:val="454" w:hRule="atLeast"/>
        </w:trPr>
        <w:tc>
          <w:tcPr>
            <w:tcW w:type="dxa" w:w="2436"/>
            <w:vAlign w:val="center"/>
          </w:tcPr>
          <w:p>
            <w:r/>
            <w:r>
              <w:rPr>
                <w:rFonts w:ascii="Figtree" w:hAnsi="Figtree"/>
                <w:b w:val="0"/>
                <w:i w:val="0"/>
                <w:sz w:val="22"/>
              </w:rPr>
              <w:t>Security audits</w:t>
            </w:r>
          </w:p>
        </w:tc>
        <w:tc>
          <w:tcPr>
            <w:tcW w:type="dxa" w:w="2436"/>
            <w:vAlign w:val="center"/>
          </w:tcPr>
          <w:p>
            <w:r/>
            <w:r>
              <w:rPr>
                <w:rFonts w:ascii="Figtree" w:hAnsi="Figtree"/>
                <w:b w:val="0"/>
                <w:i w:val="0"/>
                <w:sz w:val="22"/>
              </w:rPr>
              <w:t>$400K – $1.0M</w:t>
            </w:r>
          </w:p>
        </w:tc>
        <w:tc>
          <w:tcPr>
            <w:tcW w:type="dxa" w:w="2436"/>
            <w:vAlign w:val="center"/>
          </w:tcPr>
          <w:p>
            <w:r/>
            <w:r>
              <w:rPr>
                <w:rFonts w:ascii="Figtree" w:hAnsi="Figtree"/>
                <w:b w:val="0"/>
                <w:i w:val="0"/>
                <w:sz w:val="22"/>
              </w:rPr>
              <w:t>$200K – $500K</w:t>
            </w:r>
          </w:p>
        </w:tc>
        <w:tc>
          <w:tcPr>
            <w:tcW w:type="dxa" w:w="2436"/>
            <w:vAlign w:val="center"/>
          </w:tcPr>
          <w:p>
            <w:r/>
            <w:r>
              <w:rPr>
                <w:rFonts w:ascii="Figtree" w:hAnsi="Figtree"/>
                <w:b w:val="0"/>
                <w:i w:val="0"/>
                <w:sz w:val="22"/>
              </w:rPr>
              <w:t>[Included]</w:t>
            </w:r>
          </w:p>
        </w:tc>
      </w:tr>
      <w:tr>
        <w:trPr>
          <w:trHeight w:val="454" w:hRule="atLeast"/>
        </w:trPr>
        <w:tc>
          <w:tcPr>
            <w:tcW w:type="dxa" w:w="2436"/>
            <w:vAlign w:val="center"/>
          </w:tcPr>
          <w:p>
            <w:r/>
            <w:r>
              <w:rPr>
                <w:rFonts w:ascii="Figtree" w:hAnsi="Figtree"/>
                <w:b w:val="0"/>
                <w:i w:val="0"/>
                <w:sz w:val="22"/>
              </w:rPr>
              <w:t>Integration</w:t>
            </w:r>
          </w:p>
        </w:tc>
        <w:tc>
          <w:tcPr>
            <w:tcW w:type="dxa" w:w="2436"/>
            <w:vAlign w:val="center"/>
          </w:tcPr>
          <w:p>
            <w:r/>
            <w:r>
              <w:rPr>
                <w:rFonts w:ascii="Figtree" w:hAnsi="Figtree"/>
                <w:b w:val="0"/>
                <w:i w:val="0"/>
                <w:sz w:val="22"/>
              </w:rPr>
              <w:t>$300K – $500K</w:t>
            </w:r>
          </w:p>
        </w:tc>
        <w:tc>
          <w:tcPr>
            <w:tcW w:type="dxa" w:w="2436"/>
            <w:vAlign w:val="center"/>
          </w:tcPr>
          <w:p>
            <w:r/>
            <w:r>
              <w:rPr>
                <w:rFonts w:ascii="Figtree" w:hAnsi="Figtree"/>
                <w:b w:val="0"/>
                <w:i w:val="0"/>
                <w:sz w:val="22"/>
              </w:rPr>
              <w:t>$500K – $800K</w:t>
            </w:r>
          </w:p>
        </w:tc>
        <w:tc>
          <w:tcPr>
            <w:tcW w:type="dxa" w:w="2436"/>
            <w:vAlign w:val="center"/>
          </w:tcPr>
          <w:p>
            <w:r/>
            <w:r>
              <w:rPr>
                <w:rFonts w:ascii="Figtree" w:hAnsi="Figtree"/>
                <w:b w:val="0"/>
                <w:i w:val="0"/>
                <w:sz w:val="22"/>
              </w:rPr>
              <w:t>[Included in implementation]</w:t>
            </w:r>
          </w:p>
        </w:tc>
      </w:tr>
      <w:tr>
        <w:trPr>
          <w:trHeight w:val="454" w:hRule="atLeast"/>
        </w:trPr>
        <w:tc>
          <w:tcPr>
            <w:tcW w:type="dxa" w:w="2436"/>
            <w:vAlign w:val="center"/>
          </w:tcPr>
          <w:p>
            <w:r/>
            <w:r>
              <w:rPr>
                <w:rFonts w:ascii="Figtree" w:hAnsi="Figtree"/>
                <w:b/>
                <w:i w:val="0"/>
                <w:sz w:val="22"/>
              </w:rPr>
              <w:t>3-Year Total</w:t>
            </w:r>
          </w:p>
        </w:tc>
        <w:tc>
          <w:tcPr>
            <w:tcW w:type="dxa" w:w="2436"/>
            <w:vAlign w:val="center"/>
          </w:tcPr>
          <w:p>
            <w:r/>
            <w:r>
              <w:rPr>
                <w:rFonts w:ascii="Figtree" w:hAnsi="Figtree"/>
                <w:b/>
                <w:i w:val="0"/>
                <w:sz w:val="22"/>
              </w:rPr>
              <w:t>$5.4M – $10.5M</w:t>
            </w:r>
          </w:p>
        </w:tc>
        <w:tc>
          <w:tcPr>
            <w:tcW w:type="dxa" w:w="2436"/>
            <w:vAlign w:val="center"/>
          </w:tcPr>
          <w:p>
            <w:r/>
            <w:r>
              <w:rPr>
                <w:rFonts w:ascii="Figtree" w:hAnsi="Figtree"/>
                <w:b/>
                <w:i w:val="0"/>
                <w:sz w:val="22"/>
              </w:rPr>
              <w:t>$4.1M – $8.0M</w:t>
            </w:r>
          </w:p>
        </w:tc>
        <w:tc>
          <w:tcPr>
            <w:tcW w:type="dxa" w:w="2436"/>
            <w:vAlign w:val="center"/>
          </w:tcPr>
          <w:p>
            <w:r/>
            <w:r>
              <w:rPr>
                <w:rFonts w:ascii="Figtree" w:hAnsi="Figtree"/>
                <w:b/>
                <w:i w:val="0"/>
                <w:sz w:val="22"/>
              </w:rPr>
              <w:t>[CLIENT-SPECIFIC]</w:t>
            </w:r>
          </w:p>
        </w:tc>
      </w:tr>
      <w:tr>
        <w:trPr>
          <w:trHeight w:val="454" w:hRule="atLeast"/>
        </w:trPr>
        <w:tc>
          <w:tcPr>
            <w:tcW w:type="dxa" w:w="2436"/>
            <w:vAlign w:val="center"/>
          </w:tcPr>
          <w:p>
            <w:r/>
            <w:r>
              <w:rPr>
                <w:rFonts w:ascii="Figtree" w:hAnsi="Figtree"/>
                <w:b w:val="0"/>
                <w:i w:val="0"/>
                <w:sz w:val="22"/>
              </w:rPr>
              <w:t>Time to production</w:t>
            </w:r>
          </w:p>
        </w:tc>
        <w:tc>
          <w:tcPr>
            <w:tcW w:type="dxa" w:w="2436"/>
            <w:vAlign w:val="center"/>
          </w:tcPr>
          <w:p>
            <w:r/>
            <w:r>
              <w:rPr>
                <w:rFonts w:ascii="Figtree" w:hAnsi="Figtree"/>
                <w:b w:val="0"/>
                <w:i w:val="0"/>
                <w:sz w:val="22"/>
              </w:rPr>
              <w:t>12–24 months</w:t>
            </w:r>
          </w:p>
        </w:tc>
        <w:tc>
          <w:tcPr>
            <w:tcW w:type="dxa" w:w="2436"/>
            <w:vAlign w:val="center"/>
          </w:tcPr>
          <w:p>
            <w:r/>
            <w:r>
              <w:rPr>
                <w:rFonts w:ascii="Figtree" w:hAnsi="Figtree"/>
                <w:b w:val="0"/>
                <w:i w:val="0"/>
                <w:sz w:val="22"/>
              </w:rPr>
              <w:t>9–18 months</w:t>
            </w:r>
          </w:p>
        </w:tc>
        <w:tc>
          <w:tcPr>
            <w:tcW w:type="dxa" w:w="2436"/>
            <w:vAlign w:val="center"/>
          </w:tcPr>
          <w:p>
            <w:r/>
            <w:r>
              <w:rPr>
                <w:rFonts w:ascii="Figtree" w:hAnsi="Figtree"/>
                <w:b w:val="0"/>
                <w:i w:val="0"/>
                <w:sz w:val="22"/>
              </w:rPr>
              <w:t>19 weeks</w:t>
            </w:r>
          </w:p>
        </w:tc>
      </w:tr>
      <w:tr>
        <w:trPr>
          <w:trHeight w:val="454" w:hRule="atLeast"/>
        </w:trPr>
        <w:tc>
          <w:tcPr>
            <w:tcW w:type="dxa" w:w="2436"/>
            <w:vAlign w:val="center"/>
          </w:tcPr>
          <w:p>
            <w:r/>
            <w:r>
              <w:rPr>
                <w:rFonts w:ascii="Figtree" w:hAnsi="Figtree"/>
                <w:b w:val="0"/>
                <w:i w:val="0"/>
                <w:sz w:val="22"/>
              </w:rPr>
              <w:t>Operational risk</w:t>
            </w:r>
          </w:p>
        </w:tc>
        <w:tc>
          <w:tcPr>
            <w:tcW w:type="dxa" w:w="2436"/>
            <w:vAlign w:val="center"/>
          </w:tcPr>
          <w:p>
            <w:r/>
            <w:r>
              <w:rPr>
                <w:rFonts w:ascii="Figtree" w:hAnsi="Figtree"/>
                <w:b w:val="0"/>
                <w:i w:val="0"/>
                <w:sz w:val="22"/>
              </w:rPr>
              <w:t>High</w:t>
            </w:r>
          </w:p>
        </w:tc>
        <w:tc>
          <w:tcPr>
            <w:tcW w:type="dxa" w:w="2436"/>
            <w:vAlign w:val="center"/>
          </w:tcPr>
          <w:p>
            <w:r/>
            <w:r>
              <w:rPr>
                <w:rFonts w:ascii="Figtree" w:hAnsi="Figtree"/>
                <w:b w:val="0"/>
                <w:i w:val="0"/>
                <w:sz w:val="22"/>
              </w:rPr>
              <w:t>High</w:t>
            </w:r>
          </w:p>
        </w:tc>
        <w:tc>
          <w:tcPr>
            <w:tcW w:type="dxa" w:w="2436"/>
            <w:vAlign w:val="center"/>
          </w:tcPr>
          <w:p>
            <w:r/>
            <w:r>
              <w:rPr>
                <w:rFonts w:ascii="Figtree" w:hAnsi="Figtree"/>
                <w:b w:val="0"/>
                <w:i w:val="0"/>
                <w:sz w:val="22"/>
              </w:rPr>
              <w:t>Low (proven)</w:t>
            </w:r>
          </w:p>
        </w:tc>
      </w:tr>
    </w:tbl>
    <w:p>
      <w:pPr>
        <w:pStyle w:val="H3"/>
        <w:numPr>
          <w:ilvl w:val="2"/>
          <w:numId w:val="1"/>
        </w:numPr>
      </w:pPr>
      <w:r>
        <w:t>Value Realization Timeline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Milestone</w:t>
            </w:r>
          </w:p>
        </w:tc>
        <w:tc>
          <w:tcPr>
            <w:tcW w:type="dxa" w:w="3249"/>
            <w:vAlign w:val="center"/>
            <w:shd w:fill="000099" w:val="clear"/>
          </w:tcPr>
          <w:p>
            <w:r>
              <w:rPr>
                <w:b/>
                <w:color w:val="FFFFFF"/>
              </w:rPr>
            </w:r>
            <w:r>
              <w:rPr>
                <w:rFonts w:ascii="Figtree" w:hAnsi="Figtree"/>
                <w:b/>
                <w:i w:val="0"/>
                <w:color w:val="FFFFFF"/>
                <w:sz w:val="22"/>
              </w:rPr>
              <w:t>Timeline</w:t>
            </w:r>
          </w:p>
        </w:tc>
        <w:tc>
          <w:tcPr>
            <w:tcW w:type="dxa" w:w="3249"/>
            <w:vAlign w:val="center"/>
            <w:shd w:fill="000099" w:val="clear"/>
          </w:tcPr>
          <w:p>
            <w:r>
              <w:rPr>
                <w:b/>
                <w:color w:val="FFFFFF"/>
              </w:rPr>
            </w:r>
            <w:r>
              <w:rPr>
                <w:rFonts w:ascii="Figtree" w:hAnsi="Figtree"/>
                <w:b/>
                <w:i w:val="0"/>
                <w:color w:val="FFFFFF"/>
                <w:sz w:val="22"/>
              </w:rPr>
              <w:t>Value Delivered</w:t>
            </w:r>
          </w:p>
        </w:tc>
      </w:tr>
      <w:tr>
        <w:trPr>
          <w:trHeight w:val="454" w:hRule="atLeast"/>
        </w:trPr>
        <w:tc>
          <w:tcPr>
            <w:tcW w:type="dxa" w:w="3249"/>
            <w:vAlign w:val="center"/>
          </w:tcPr>
          <w:p>
            <w:r/>
            <w:r>
              <w:rPr>
                <w:rFonts w:ascii="Figtree" w:hAnsi="Figtree"/>
                <w:b w:val="0"/>
                <w:i w:val="0"/>
                <w:sz w:val="22"/>
              </w:rPr>
              <w:t>Contract signature</w:t>
            </w:r>
          </w:p>
        </w:tc>
        <w:tc>
          <w:tcPr>
            <w:tcW w:type="dxa" w:w="3249"/>
            <w:vAlign w:val="center"/>
          </w:tcPr>
          <w:p>
            <w:r/>
            <w:r>
              <w:rPr>
                <w:rFonts w:ascii="Figtree" w:hAnsi="Figtree"/>
                <w:b w:val="0"/>
                <w:i w:val="0"/>
                <w:sz w:val="22"/>
              </w:rPr>
              <w:t>Month 0</w:t>
            </w:r>
          </w:p>
        </w:tc>
        <w:tc>
          <w:tcPr>
            <w:tcW w:type="dxa" w:w="3249"/>
            <w:vAlign w:val="center"/>
          </w:tcPr>
          <w:p>
            <w:r/>
            <w:r>
              <w:rPr>
                <w:rFonts w:ascii="Figtree" w:hAnsi="Figtree"/>
                <w:b w:val="0"/>
                <w:i w:val="0"/>
                <w:sz w:val="22"/>
              </w:rPr>
              <w:t>Programme initiated</w:t>
            </w:r>
          </w:p>
        </w:tc>
      </w:tr>
      <w:tr>
        <w:trPr>
          <w:trHeight w:val="454" w:hRule="atLeast"/>
        </w:trPr>
        <w:tc>
          <w:tcPr>
            <w:tcW w:type="dxa" w:w="3249"/>
            <w:vAlign w:val="center"/>
          </w:tcPr>
          <w:p>
            <w:r/>
            <w:r>
              <w:rPr>
                <w:rFonts w:ascii="Figtree" w:hAnsi="Figtree"/>
                <w:b w:val="0"/>
                <w:i w:val="0"/>
                <w:sz w:val="22"/>
              </w:rPr>
              <w:t>Gate 2 (environments ready)</w:t>
            </w:r>
          </w:p>
        </w:tc>
        <w:tc>
          <w:tcPr>
            <w:tcW w:type="dxa" w:w="3249"/>
            <w:vAlign w:val="center"/>
          </w:tcPr>
          <w:p>
            <w:r/>
            <w:r>
              <w:rPr>
                <w:rFonts w:ascii="Figtree" w:hAnsi="Figtree"/>
                <w:b w:val="0"/>
                <w:i w:val="0"/>
                <w:sz w:val="22"/>
              </w:rPr>
              <w:t>Month 1.5</w:t>
            </w:r>
          </w:p>
        </w:tc>
        <w:tc>
          <w:tcPr>
            <w:tcW w:type="dxa" w:w="3249"/>
            <w:vAlign w:val="center"/>
          </w:tcPr>
          <w:p>
            <w:r/>
            <w:r>
              <w:rPr>
                <w:rFonts w:ascii="Figtree" w:hAnsi="Figtree"/>
                <w:b w:val="0"/>
                <w:i w:val="0"/>
                <w:sz w:val="22"/>
              </w:rPr>
              <w:t>Technical foundation validated</w:t>
            </w:r>
          </w:p>
        </w:tc>
      </w:tr>
      <w:tr>
        <w:trPr>
          <w:trHeight w:val="454" w:hRule="atLeast"/>
        </w:trPr>
        <w:tc>
          <w:tcPr>
            <w:tcW w:type="dxa" w:w="3249"/>
            <w:vAlign w:val="center"/>
          </w:tcPr>
          <w:p>
            <w:r/>
            <w:r>
              <w:rPr>
                <w:rFonts w:ascii="Figtree" w:hAnsi="Figtree"/>
                <w:b w:val="0"/>
                <w:i w:val="0"/>
                <w:sz w:val="22"/>
              </w:rPr>
              <w:t>Gate 3 (products configured)</w:t>
            </w:r>
          </w:p>
        </w:tc>
        <w:tc>
          <w:tcPr>
            <w:tcW w:type="dxa" w:w="3249"/>
            <w:vAlign w:val="center"/>
          </w:tcPr>
          <w:p>
            <w:r/>
            <w:r>
              <w:rPr>
                <w:rFonts w:ascii="Figtree" w:hAnsi="Figtree"/>
                <w:b w:val="0"/>
                <w:i w:val="0"/>
                <w:sz w:val="22"/>
              </w:rPr>
              <w:t>Month 2.5</w:t>
            </w:r>
          </w:p>
        </w:tc>
        <w:tc>
          <w:tcPr>
            <w:tcW w:type="dxa" w:w="3249"/>
            <w:vAlign w:val="center"/>
          </w:tcPr>
          <w:p>
            <w:r/>
            <w:r>
              <w:rPr>
                <w:rFonts w:ascii="Figtree" w:hAnsi="Figtree"/>
                <w:b w:val="0"/>
                <w:i w:val="0"/>
                <w:sz w:val="22"/>
              </w:rPr>
              <w:t>Deposit and trade finance products ready for testing</w:t>
            </w:r>
          </w:p>
        </w:tc>
      </w:tr>
      <w:tr>
        <w:trPr>
          <w:trHeight w:val="454" w:hRule="atLeast"/>
        </w:trPr>
        <w:tc>
          <w:tcPr>
            <w:tcW w:type="dxa" w:w="3249"/>
            <w:vAlign w:val="center"/>
          </w:tcPr>
          <w:p>
            <w:r/>
            <w:r>
              <w:rPr>
                <w:rFonts w:ascii="Figtree" w:hAnsi="Figtree"/>
                <w:b w:val="0"/>
                <w:i w:val="0"/>
                <w:sz w:val="22"/>
              </w:rPr>
              <w:t>Gate 4 (UAT complete)</w:t>
            </w:r>
          </w:p>
        </w:tc>
        <w:tc>
          <w:tcPr>
            <w:tcW w:type="dxa" w:w="3249"/>
            <w:vAlign w:val="center"/>
          </w:tcPr>
          <w:p>
            <w:r/>
            <w:r>
              <w:rPr>
                <w:rFonts w:ascii="Figtree" w:hAnsi="Figtree"/>
                <w:b w:val="0"/>
                <w:i w:val="0"/>
                <w:sz w:val="22"/>
              </w:rPr>
              <w:t>Month 3.5</w:t>
            </w:r>
          </w:p>
        </w:tc>
        <w:tc>
          <w:tcPr>
            <w:tcW w:type="dxa" w:w="3249"/>
            <w:vAlign w:val="center"/>
          </w:tcPr>
          <w:p>
            <w:r/>
            <w:r>
              <w:rPr>
                <w:rFonts w:ascii="Figtree" w:hAnsi="Figtree"/>
                <w:b w:val="0"/>
                <w:i w:val="0"/>
                <w:sz w:val="22"/>
              </w:rPr>
              <w:t>End-to-end functionality validated</w:t>
            </w:r>
          </w:p>
        </w:tc>
      </w:tr>
      <w:tr>
        <w:trPr>
          <w:trHeight w:val="454" w:hRule="atLeast"/>
        </w:trPr>
        <w:tc>
          <w:tcPr>
            <w:tcW w:type="dxa" w:w="3249"/>
            <w:vAlign w:val="center"/>
          </w:tcPr>
          <w:p>
            <w:r/>
            <w:r>
              <w:rPr>
                <w:rFonts w:ascii="Figtree" w:hAnsi="Figtree"/>
                <w:b w:val="0"/>
                <w:i w:val="0"/>
                <w:sz w:val="22"/>
              </w:rPr>
              <w:t>Go-live</w:t>
            </w:r>
          </w:p>
        </w:tc>
        <w:tc>
          <w:tcPr>
            <w:tcW w:type="dxa" w:w="3249"/>
            <w:vAlign w:val="center"/>
          </w:tcPr>
          <w:p>
            <w:r/>
            <w:r>
              <w:rPr>
                <w:rFonts w:ascii="Figtree" w:hAnsi="Figtree"/>
                <w:b w:val="0"/>
                <w:i w:val="0"/>
                <w:sz w:val="22"/>
              </w:rPr>
              <w:t>Month 4</w:t>
            </w:r>
          </w:p>
        </w:tc>
        <w:tc>
          <w:tcPr>
            <w:tcW w:type="dxa" w:w="3249"/>
            <w:vAlign w:val="center"/>
          </w:tcPr>
          <w:p>
            <w:r/>
            <w:r>
              <w:rPr>
                <w:rFonts w:ascii="Figtree" w:hAnsi="Figtree"/>
                <w:b w:val="0"/>
                <w:i w:val="0"/>
                <w:sz w:val="22"/>
              </w:rPr>
              <w:t>First production transactions</w:t>
            </w:r>
          </w:p>
        </w:tc>
      </w:tr>
      <w:tr>
        <w:trPr>
          <w:trHeight w:val="454" w:hRule="atLeast"/>
        </w:trPr>
        <w:tc>
          <w:tcPr>
            <w:tcW w:type="dxa" w:w="3249"/>
            <w:vAlign w:val="center"/>
          </w:tcPr>
          <w:p>
            <w:r/>
            <w:r>
              <w:rPr>
                <w:rFonts w:ascii="Figtree" w:hAnsi="Figtree"/>
                <w:b w:val="0"/>
                <w:i w:val="0"/>
                <w:sz w:val="22"/>
              </w:rPr>
              <w:t>Hypercare complete</w:t>
            </w:r>
          </w:p>
        </w:tc>
        <w:tc>
          <w:tcPr>
            <w:tcW w:type="dxa" w:w="3249"/>
            <w:vAlign w:val="center"/>
          </w:tcPr>
          <w:p>
            <w:r/>
            <w:r>
              <w:rPr>
                <w:rFonts w:ascii="Figtree" w:hAnsi="Figtree"/>
                <w:b w:val="0"/>
                <w:i w:val="0"/>
                <w:sz w:val="22"/>
              </w:rPr>
              <w:t>Month 5</w:t>
            </w:r>
          </w:p>
        </w:tc>
        <w:tc>
          <w:tcPr>
            <w:tcW w:type="dxa" w:w="3249"/>
            <w:vAlign w:val="center"/>
          </w:tcPr>
          <w:p>
            <w:r/>
            <w:r>
              <w:rPr>
                <w:rFonts w:ascii="Figtree" w:hAnsi="Figtree"/>
                <w:b w:val="0"/>
                <w:i w:val="0"/>
                <w:sz w:val="22"/>
              </w:rPr>
              <w:t>Operational handover complete</w:t>
            </w:r>
          </w:p>
        </w:tc>
      </w:tr>
      <w:tr>
        <w:trPr>
          <w:trHeight w:val="454" w:hRule="atLeast"/>
        </w:trPr>
        <w:tc>
          <w:tcPr>
            <w:tcW w:type="dxa" w:w="3249"/>
            <w:vAlign w:val="center"/>
          </w:tcPr>
          <w:p>
            <w:r/>
            <w:r>
              <w:rPr>
                <w:rFonts w:ascii="Figtree" w:hAnsi="Figtree"/>
                <w:b w:val="0"/>
                <w:i w:val="0"/>
                <w:sz w:val="22"/>
              </w:rPr>
              <w:t>First yield distribution</w:t>
            </w:r>
          </w:p>
        </w:tc>
        <w:tc>
          <w:tcPr>
            <w:tcW w:type="dxa" w:w="3249"/>
            <w:vAlign w:val="center"/>
          </w:tcPr>
          <w:p>
            <w:r/>
            <w:r>
              <w:rPr>
                <w:rFonts w:ascii="Figtree" w:hAnsi="Figtree"/>
                <w:b w:val="0"/>
                <w:i w:val="0"/>
                <w:sz w:val="22"/>
              </w:rPr>
              <w:t>Month 5–6</w:t>
            </w:r>
          </w:p>
        </w:tc>
        <w:tc>
          <w:tcPr>
            <w:tcW w:type="dxa" w:w="3249"/>
            <w:vAlign w:val="center"/>
          </w:tcPr>
          <w:p>
            <w:r/>
            <w:r>
              <w:rPr>
                <w:rFonts w:ascii="Figtree" w:hAnsi="Figtree"/>
                <w:b w:val="0"/>
                <w:i w:val="0"/>
                <w:sz w:val="22"/>
              </w:rPr>
              <w:t>Automated interest processing</w:t>
            </w:r>
          </w:p>
        </w:tc>
      </w:tr>
      <w:tr>
        <w:trPr>
          <w:trHeight w:val="454" w:hRule="atLeast"/>
        </w:trPr>
        <w:tc>
          <w:tcPr>
            <w:tcW w:type="dxa" w:w="3249"/>
            <w:vAlign w:val="center"/>
          </w:tcPr>
          <w:p>
            <w:r/>
            <w:r>
              <w:rPr>
                <w:rFonts w:ascii="Figtree" w:hAnsi="Figtree"/>
                <w:b w:val="0"/>
                <w:i w:val="0"/>
                <w:sz w:val="22"/>
              </w:rPr>
              <w:t>First trade finance settlement</w:t>
            </w:r>
          </w:p>
        </w:tc>
        <w:tc>
          <w:tcPr>
            <w:tcW w:type="dxa" w:w="3249"/>
            <w:vAlign w:val="center"/>
          </w:tcPr>
          <w:p>
            <w:r/>
            <w:r>
              <w:rPr>
                <w:rFonts w:ascii="Figtree" w:hAnsi="Figtree"/>
                <w:b w:val="0"/>
                <w:i w:val="0"/>
                <w:sz w:val="22"/>
              </w:rPr>
              <w:t>Month 5–6</w:t>
            </w:r>
          </w:p>
        </w:tc>
        <w:tc>
          <w:tcPr>
            <w:tcW w:type="dxa" w:w="3249"/>
            <w:vAlign w:val="center"/>
          </w:tcPr>
          <w:p>
            <w:r/>
            <w:r>
              <w:rPr>
                <w:rFonts w:ascii="Figtree" w:hAnsi="Figtree"/>
                <w:b w:val="0"/>
                <w:i w:val="0"/>
                <w:sz w:val="22"/>
              </w:rPr>
              <w:t>Trade finance workflow in production</w:t>
            </w:r>
          </w:p>
        </w:tc>
      </w:tr>
      <w:tr>
        <w:trPr>
          <w:trHeight w:val="454" w:hRule="atLeast"/>
        </w:trPr>
        <w:tc>
          <w:tcPr>
            <w:tcW w:type="dxa" w:w="3249"/>
            <w:vAlign w:val="center"/>
          </w:tcPr>
          <w:p>
            <w:r/>
            <w:r>
              <w:rPr>
                <w:rFonts w:ascii="Figtree" w:hAnsi="Figtree"/>
                <w:b w:val="0"/>
                <w:i w:val="0"/>
                <w:sz w:val="22"/>
              </w:rPr>
              <w:t>Quarterly review</w:t>
            </w:r>
          </w:p>
        </w:tc>
        <w:tc>
          <w:tcPr>
            <w:tcW w:type="dxa" w:w="3249"/>
            <w:vAlign w:val="center"/>
          </w:tcPr>
          <w:p>
            <w:r/>
            <w:r>
              <w:rPr>
                <w:rFonts w:ascii="Figtree" w:hAnsi="Figtree"/>
                <w:b w:val="0"/>
                <w:i w:val="0"/>
                <w:sz w:val="22"/>
              </w:rPr>
              <w:t>Month 8</w:t>
            </w:r>
          </w:p>
        </w:tc>
        <w:tc>
          <w:tcPr>
            <w:tcW w:type="dxa" w:w="3249"/>
            <w:vAlign w:val="center"/>
          </w:tcPr>
          <w:p>
            <w:r/>
            <w:r>
              <w:rPr>
                <w:rFonts w:ascii="Figtree" w:hAnsi="Figtree"/>
                <w:b w:val="0"/>
                <w:i w:val="0"/>
                <w:sz w:val="22"/>
              </w:rPr>
              <w:t>Optimization recommendations</w:t>
            </w:r>
          </w:p>
        </w:tc>
      </w:tr>
      <w:tr>
        <w:trPr>
          <w:trHeight w:val="454" w:hRule="atLeast"/>
        </w:trPr>
        <w:tc>
          <w:tcPr>
            <w:tcW w:type="dxa" w:w="3249"/>
            <w:vAlign w:val="center"/>
          </w:tcPr>
          <w:p>
            <w:r/>
            <w:r>
              <w:rPr>
                <w:rFonts w:ascii="Figtree" w:hAnsi="Figtree"/>
                <w:b w:val="0"/>
                <w:i w:val="0"/>
                <w:sz w:val="22"/>
              </w:rPr>
              <w:t>Additional product launch</w:t>
            </w:r>
          </w:p>
        </w:tc>
        <w:tc>
          <w:tcPr>
            <w:tcW w:type="dxa" w:w="3249"/>
            <w:vAlign w:val="center"/>
          </w:tcPr>
          <w:p>
            <w:r/>
            <w:r>
              <w:rPr>
                <w:rFonts w:ascii="Figtree" w:hAnsi="Figtree"/>
                <w:b w:val="0"/>
                <w:i w:val="0"/>
                <w:sz w:val="22"/>
              </w:rPr>
              <w:t>Month 9–12</w:t>
            </w:r>
          </w:p>
        </w:tc>
        <w:tc>
          <w:tcPr>
            <w:tcW w:type="dxa" w:w="3249"/>
            <w:vAlign w:val="center"/>
          </w:tcPr>
          <w:p>
            <w:r/>
            <w:r>
              <w:rPr>
                <w:rFonts w:ascii="Figtree" w:hAnsi="Figtree"/>
                <w:b w:val="0"/>
                <w:i w:val="0"/>
                <w:sz w:val="22"/>
              </w:rPr>
              <w:t>New deposit type via configuration</w:t>
            </w:r>
          </w:p>
        </w:tc>
      </w:tr>
      <w:tr>
        <w:trPr>
          <w:trHeight w:val="454" w:hRule="atLeast"/>
        </w:trPr>
        <w:tc>
          <w:tcPr>
            <w:tcW w:type="dxa" w:w="3249"/>
            <w:vAlign w:val="center"/>
          </w:tcPr>
          <w:p>
            <w:r/>
            <w:r>
              <w:rPr>
                <w:rFonts w:ascii="Figtree" w:hAnsi="Figtree"/>
                <w:b w:val="0"/>
                <w:i w:val="0"/>
                <w:sz w:val="22"/>
              </w:rPr>
              <w:t>Year 1 review</w:t>
            </w:r>
          </w:p>
        </w:tc>
        <w:tc>
          <w:tcPr>
            <w:tcW w:type="dxa" w:w="3249"/>
            <w:vAlign w:val="center"/>
          </w:tcPr>
          <w:p>
            <w:r/>
            <w:r>
              <w:rPr>
                <w:rFonts w:ascii="Figtree" w:hAnsi="Figtree"/>
                <w:b w:val="0"/>
                <w:i w:val="0"/>
                <w:sz w:val="22"/>
              </w:rPr>
              <w:t>Month 12</w:t>
            </w:r>
          </w:p>
        </w:tc>
        <w:tc>
          <w:tcPr>
            <w:tcW w:type="dxa" w:w="3249"/>
            <w:vAlign w:val="center"/>
          </w:tcPr>
          <w:p>
            <w:r/>
            <w:r>
              <w:rPr>
                <w:rFonts w:ascii="Figtree" w:hAnsi="Figtree"/>
                <w:b w:val="0"/>
                <w:i w:val="0"/>
                <w:sz w:val="22"/>
              </w:rPr>
              <w:t>ROI assessment and Year 2 planning</w:t>
            </w:r>
          </w:p>
        </w:tc>
      </w:tr>
    </w:tbl>
    <w:p>
      <w:pPr>
        <w:pStyle w:val="H2"/>
        <w:numPr>
          <w:ilvl w:val="1"/>
          <w:numId w:val="1"/>
        </w:numPr>
      </w:pPr>
      <w:r>
        <w:t>Next Steps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Step</w:t>
            </w:r>
          </w:p>
        </w:tc>
        <w:tc>
          <w:tcPr>
            <w:tcW w:type="dxa" w:w="3249"/>
            <w:vAlign w:val="center"/>
            <w:shd w:fill="000099" w:val="clear"/>
          </w:tcPr>
          <w:p>
            <w:r>
              <w:rPr>
                <w:b/>
                <w:color w:val="FFFFFF"/>
              </w:rPr>
            </w:r>
            <w:r>
              <w:rPr>
                <w:rFonts w:ascii="Figtree" w:hAnsi="Figtree"/>
                <w:b/>
                <w:i w:val="0"/>
                <w:color w:val="FFFFFF"/>
                <w:sz w:val="22"/>
              </w:rPr>
              <w:t>Timeline</w:t>
            </w:r>
          </w:p>
        </w:tc>
        <w:tc>
          <w:tcPr>
            <w:tcW w:type="dxa" w:w="3249"/>
            <w:vAlign w:val="center"/>
            <w:shd w:fill="000099" w:val="clear"/>
          </w:tcPr>
          <w:p>
            <w:r>
              <w:rPr>
                <w:b/>
                <w:color w:val="FFFFFF"/>
              </w:rPr>
            </w:r>
            <w:r>
              <w:rPr>
                <w:rFonts w:ascii="Figtree" w:hAnsi="Figtree"/>
                <w:b/>
                <w:i w:val="0"/>
                <w:color w:val="FFFFFF"/>
                <w:sz w:val="22"/>
              </w:rPr>
              <w:t>Owner</w:t>
            </w:r>
          </w:p>
        </w:tc>
      </w:tr>
      <w:tr>
        <w:trPr>
          <w:trHeight w:val="454" w:hRule="atLeast"/>
        </w:trPr>
        <w:tc>
          <w:tcPr>
            <w:tcW w:type="dxa" w:w="3249"/>
            <w:vAlign w:val="center"/>
          </w:tcPr>
          <w:p>
            <w:r/>
            <w:r>
              <w:rPr>
                <w:rFonts w:ascii="Figtree" w:hAnsi="Figtree"/>
                <w:b w:val="0"/>
                <w:i w:val="0"/>
                <w:sz w:val="22"/>
              </w:rPr>
              <w:t>Commercial clarification meeting</w:t>
            </w:r>
          </w:p>
        </w:tc>
        <w:tc>
          <w:tcPr>
            <w:tcW w:type="dxa" w:w="3249"/>
            <w:vAlign w:val="center"/>
          </w:tcPr>
          <w:p>
            <w:r/>
            <w:r>
              <w:rPr>
                <w:rFonts w:ascii="Figtree" w:hAnsi="Figtree"/>
                <w:b w:val="0"/>
                <w:i w:val="0"/>
                <w:sz w:val="22"/>
              </w:rPr>
              <w:t>Within 2 weeks of submission</w:t>
            </w:r>
          </w:p>
        </w:tc>
        <w:tc>
          <w:tcPr>
            <w:tcW w:type="dxa" w:w="3249"/>
            <w:vAlign w:val="center"/>
          </w:tcPr>
          <w:p>
            <w:r/>
            <w:r>
              <w:rPr>
                <w:rFonts w:ascii="Figtree" w:hAnsi="Figtree"/>
                <w:b w:val="0"/>
                <w:i w:val="0"/>
                <w:sz w:val="22"/>
              </w:rPr>
              <w:t>Joint</w:t>
            </w:r>
          </w:p>
        </w:tc>
      </w:tr>
      <w:tr>
        <w:trPr>
          <w:trHeight w:val="454" w:hRule="atLeast"/>
        </w:trPr>
        <w:tc>
          <w:tcPr>
            <w:tcW w:type="dxa" w:w="3249"/>
            <w:vAlign w:val="center"/>
          </w:tcPr>
          <w:p>
            <w:r/>
            <w:r>
              <w:rPr>
                <w:rFonts w:ascii="Figtree" w:hAnsi="Figtree"/>
                <w:b w:val="0"/>
                <w:i w:val="0"/>
                <w:sz w:val="22"/>
              </w:rPr>
              <w:t>Pricing finalization workshop</w:t>
            </w:r>
          </w:p>
        </w:tc>
        <w:tc>
          <w:tcPr>
            <w:tcW w:type="dxa" w:w="3249"/>
            <w:vAlign w:val="center"/>
          </w:tcPr>
          <w:p>
            <w:r/>
            <w:r>
              <w:rPr>
                <w:rFonts w:ascii="Figtree" w:hAnsi="Figtree"/>
                <w:b w:val="0"/>
                <w:i w:val="0"/>
                <w:sz w:val="22"/>
              </w:rPr>
              <w:t>Week 3</w:t>
            </w:r>
          </w:p>
        </w:tc>
        <w:tc>
          <w:tcPr>
            <w:tcW w:type="dxa" w:w="3249"/>
            <w:vAlign w:val="center"/>
          </w:tcPr>
          <w:p>
            <w:r/>
            <w:r>
              <w:rPr>
                <w:rFonts w:ascii="Figtree" w:hAnsi="Figtree"/>
                <w:b w:val="0"/>
                <w:i w:val="0"/>
                <w:sz w:val="22"/>
              </w:rPr>
              <w:t>Joint</w:t>
            </w:r>
          </w:p>
        </w:tc>
      </w:tr>
      <w:tr>
        <w:trPr>
          <w:trHeight w:val="454" w:hRule="atLeast"/>
        </w:trPr>
        <w:tc>
          <w:tcPr>
            <w:tcW w:type="dxa" w:w="3249"/>
            <w:vAlign w:val="center"/>
          </w:tcPr>
          <w:p>
            <w:r/>
            <w:r>
              <w:rPr>
                <w:rFonts w:ascii="Figtree" w:hAnsi="Figtree"/>
                <w:b w:val="0"/>
                <w:i w:val="0"/>
                <w:sz w:val="22"/>
              </w:rPr>
              <w:t>Reference call with existing client</w:t>
            </w:r>
          </w:p>
        </w:tc>
        <w:tc>
          <w:tcPr>
            <w:tcW w:type="dxa" w:w="3249"/>
            <w:vAlign w:val="center"/>
          </w:tcPr>
          <w:p>
            <w:r/>
            <w:r>
              <w:rPr>
                <w:rFonts w:ascii="Figtree" w:hAnsi="Figtree"/>
                <w:b w:val="0"/>
                <w:i w:val="0"/>
                <w:sz w:val="22"/>
              </w:rPr>
              <w:t>Upon request</w:t>
            </w:r>
          </w:p>
        </w:tc>
        <w:tc>
          <w:tcPr>
            <w:tcW w:type="dxa" w:w="3249"/>
            <w:vAlign w:val="center"/>
          </w:tcPr>
          <w:p>
            <w:r/>
            <w:r>
              <w:rPr>
                <w:rFonts w:ascii="Figtree" w:hAnsi="Figtree"/>
                <w:b w:val="0"/>
                <w:i w:val="0"/>
                <w:sz w:val="22"/>
              </w:rPr>
              <w:t>SettleMint</w:t>
            </w:r>
          </w:p>
        </w:tc>
      </w:tr>
      <w:tr>
        <w:trPr>
          <w:trHeight w:val="454" w:hRule="atLeast"/>
        </w:trPr>
        <w:tc>
          <w:tcPr>
            <w:tcW w:type="dxa" w:w="3249"/>
            <w:vAlign w:val="center"/>
          </w:tcPr>
          <w:p>
            <w:r/>
            <w:r>
              <w:rPr>
                <w:rFonts w:ascii="Figtree" w:hAnsi="Figtree"/>
                <w:b w:val="0"/>
                <w:i w:val="0"/>
                <w:sz w:val="22"/>
              </w:rPr>
              <w:t>Contract negotiation</w:t>
            </w:r>
          </w:p>
        </w:tc>
        <w:tc>
          <w:tcPr>
            <w:tcW w:type="dxa" w:w="3249"/>
            <w:vAlign w:val="center"/>
          </w:tcPr>
          <w:p>
            <w:r/>
            <w:r>
              <w:rPr>
                <w:rFonts w:ascii="Figtree" w:hAnsi="Figtree"/>
                <w:b w:val="0"/>
                <w:i w:val="0"/>
                <w:sz w:val="22"/>
              </w:rPr>
              <w:t>Weeks 4–6</w:t>
            </w:r>
          </w:p>
        </w:tc>
        <w:tc>
          <w:tcPr>
            <w:tcW w:type="dxa" w:w="3249"/>
            <w:vAlign w:val="center"/>
          </w:tcPr>
          <w:p>
            <w:r/>
            <w:r>
              <w:rPr>
                <w:rFonts w:ascii="Figtree" w:hAnsi="Figtree"/>
                <w:b w:val="0"/>
                <w:i w:val="0"/>
                <w:sz w:val="22"/>
              </w:rPr>
              <w:t>Joint (legal teams)</w:t>
            </w:r>
          </w:p>
        </w:tc>
      </w:tr>
      <w:tr>
        <w:trPr>
          <w:trHeight w:val="454" w:hRule="atLeast"/>
        </w:trPr>
        <w:tc>
          <w:tcPr>
            <w:tcW w:type="dxa" w:w="3249"/>
            <w:vAlign w:val="center"/>
          </w:tcPr>
          <w:p>
            <w:r/>
            <w:r>
              <w:rPr>
                <w:rFonts w:ascii="Figtree" w:hAnsi="Figtree"/>
                <w:b w:val="0"/>
                <w:i w:val="0"/>
                <w:sz w:val="22"/>
              </w:rPr>
              <w:t>Statement of Work finalization</w:t>
            </w:r>
          </w:p>
        </w:tc>
        <w:tc>
          <w:tcPr>
            <w:tcW w:type="dxa" w:w="3249"/>
            <w:vAlign w:val="center"/>
          </w:tcPr>
          <w:p>
            <w:r/>
            <w:r>
              <w:rPr>
                <w:rFonts w:ascii="Figtree" w:hAnsi="Figtree"/>
                <w:b w:val="0"/>
                <w:i w:val="0"/>
                <w:sz w:val="22"/>
              </w:rPr>
              <w:t>Week 6</w:t>
            </w:r>
          </w:p>
        </w:tc>
        <w:tc>
          <w:tcPr>
            <w:tcW w:type="dxa" w:w="3249"/>
            <w:vAlign w:val="center"/>
          </w:tcPr>
          <w:p>
            <w:r/>
            <w:r>
              <w:rPr>
                <w:rFonts w:ascii="Figtree" w:hAnsi="Figtree"/>
                <w:b w:val="0"/>
                <w:i w:val="0"/>
                <w:sz w:val="22"/>
              </w:rPr>
              <w:t>Joint</w:t>
            </w:r>
          </w:p>
        </w:tc>
      </w:tr>
      <w:tr>
        <w:trPr>
          <w:trHeight w:val="454" w:hRule="atLeast"/>
        </w:trPr>
        <w:tc>
          <w:tcPr>
            <w:tcW w:type="dxa" w:w="3249"/>
            <w:vAlign w:val="center"/>
          </w:tcPr>
          <w:p>
            <w:r/>
            <w:r>
              <w:rPr>
                <w:rFonts w:ascii="Figtree" w:hAnsi="Figtree"/>
                <w:b w:val="0"/>
                <w:i w:val="0"/>
                <w:sz w:val="22"/>
              </w:rPr>
              <w:t>Kickoff</w:t>
            </w:r>
          </w:p>
        </w:tc>
        <w:tc>
          <w:tcPr>
            <w:tcW w:type="dxa" w:w="3249"/>
            <w:vAlign w:val="center"/>
          </w:tcPr>
          <w:p>
            <w:r/>
            <w:r>
              <w:rPr>
                <w:rFonts w:ascii="Figtree" w:hAnsi="Figtree"/>
                <w:b w:val="0"/>
                <w:i w:val="0"/>
                <w:sz w:val="22"/>
              </w:rPr>
              <w:t>Week 8 (target)</w:t>
            </w:r>
          </w:p>
        </w:tc>
        <w:tc>
          <w:tcPr>
            <w:tcW w:type="dxa" w:w="3249"/>
            <w:vAlign w:val="center"/>
          </w:tcPr>
          <w:p>
            <w:r/>
            <w:r>
              <w:rPr>
                <w:rFonts w:ascii="Figtree" w:hAnsi="Figtree"/>
                <w:b w:val="0"/>
                <w:i w:val="0"/>
                <w:sz w:val="22"/>
              </w:rPr>
              <w:t>Joint</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