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About SettleMint</w:t>
          </w:r>
          <w:r>
            <w:tab/>
          </w:r>
          <w:r>
            <w:t xml:space="preserve">5</w:t>
          </w:r>
        </w:p>
        <w:p>
          <w:pPr>
            <w:pStyle w:val="TOC3"/>
            <w:tabs>
              <w:tab w:val="right" w:leader="dot" w:pos="9072"/>
            </w:tabs>
          </w:pPr>
          <w:r>
            <w:t xml:space="preserve">Company Overview</w:t>
          </w:r>
          <w:r>
            <w:tab/>
          </w:r>
          <w:r>
            <w:t xml:space="preserve">6</w:t>
          </w:r>
        </w:p>
        <w:p>
          <w:pPr>
            <w:pStyle w:val="TOC3"/>
            <w:tabs>
              <w:tab w:val="right" w:leader="dot" w:pos="9072"/>
            </w:tabs>
          </w:pPr>
          <w:r>
            <w:t xml:space="preserve">History and Market Position</w:t>
          </w:r>
          <w:r>
            <w:tab/>
          </w:r>
          <w:r>
            <w:t xml:space="preserve">7</w:t>
          </w:r>
        </w:p>
        <w:p>
          <w:pPr>
            <w:pStyle w:val="TOC3"/>
            <w:tabs>
              <w:tab w:val="right" w:leader="dot" w:pos="9072"/>
            </w:tabs>
          </w:pPr>
          <w:r>
            <w:t xml:space="preserve">Production Credentials</w:t>
          </w:r>
          <w:r>
            <w:tab/>
          </w:r>
          <w:r>
            <w:t xml:space="preserve">8</w:t>
          </w:r>
        </w:p>
        <w:p>
          <w:pPr>
            <w:pStyle w:val="TOC3"/>
            <w:tabs>
              <w:tab w:val="right" w:leader="dot" w:pos="9072"/>
            </w:tabs>
          </w:pPr>
          <w:r>
            <w:t xml:space="preserve">Regulatory Readiness</w:t>
          </w:r>
          <w:r>
            <w:tab/>
          </w:r>
          <w:r>
            <w:t xml:space="preserve">9</w:t>
          </w:r>
        </w:p>
        <w:p>
          <w:pPr>
            <w:pStyle w:val="TOC3"/>
            <w:tabs>
              <w:tab w:val="right" w:leader="dot" w:pos="9072"/>
            </w:tabs>
          </w:pPr>
          <w:r>
            <w:t xml:space="preserve">Team and Delivery Capability</w:t>
          </w:r>
          <w:r>
            <w:tab/>
          </w:r>
          <w:r>
            <w:t xml:space="preserve">10</w:t>
          </w:r>
        </w:p>
        <w:p>
          <w:pPr>
            <w:pStyle w:val="TOC3"/>
            <w:tabs>
              <w:tab w:val="right" w:leader="dot" w:pos="9072"/>
            </w:tabs>
          </w:pPr>
          <w:r>
            <w:t xml:space="preserve">Ecosystem and Partnerships</w:t>
          </w:r>
          <w:r>
            <w:tab/>
          </w:r>
          <w:r>
            <w:t xml:space="preserve">11</w:t>
          </w:r>
        </w:p>
        <w:p>
          <w:pPr>
            <w:pStyle w:val="TOC3"/>
            <w:tabs>
              <w:tab w:val="right" w:leader="dot" w:pos="9072"/>
            </w:tabs>
          </w:pPr>
          <w:r>
            <w:t xml:space="preserve">Relevance to Emirates NBD</w:t>
          </w:r>
          <w:r>
            <w:tab/>
          </w:r>
          <w:r>
            <w:t xml:space="preserve">12</w:t>
          </w:r>
        </w:p>
        <w:p>
          <w:pPr>
            <w:pStyle w:val="TOC2"/>
            <w:tabs>
              <w:tab w:val="right" w:leader="dot" w:pos="9072"/>
            </w:tabs>
          </w:pPr>
          <w:r>
            <w:t xml:space="preserve">About DALP</w:t>
          </w:r>
          <w:r>
            <w:tab/>
          </w:r>
          <w:r>
            <w:t xml:space="preserve">13</w:t>
          </w:r>
        </w:p>
        <w:p>
          <w:pPr>
            <w:pStyle w:val="TOC3"/>
            <w:tabs>
              <w:tab w:val="right" w:leader="dot" w:pos="9072"/>
            </w:tabs>
          </w:pPr>
          <w:r>
            <w:t xml:space="preserve">Platform Overview</w:t>
          </w:r>
          <w:r>
            <w:tab/>
          </w:r>
          <w:r>
            <w:t xml:space="preserve">14</w:t>
          </w:r>
        </w:p>
        <w:p>
          <w:pPr>
            <w:pStyle w:val="TOC3"/>
            <w:tabs>
              <w:tab w:val="right" w:leader="dot" w:pos="9072"/>
            </w:tabs>
          </w:pPr>
          <w:r>
            <w:t xml:space="preserve">Core Lifecycle Pillars</w:t>
          </w:r>
          <w:r>
            <w:tab/>
          </w:r>
          <w:r>
            <w:t xml:space="preserve">15</w:t>
          </w:r>
        </w:p>
        <w:p>
          <w:pPr>
            <w:pStyle w:val="TOC3"/>
            <w:tabs>
              <w:tab w:val="right" w:leader="dot" w:pos="9072"/>
            </w:tabs>
          </w:pPr>
          <w:r>
            <w:t xml:space="preserve">Platform Foundations</w:t>
          </w:r>
          <w:r>
            <w:tab/>
          </w:r>
          <w:r>
            <w:t xml:space="preserve">16</w:t>
          </w:r>
        </w:p>
        <w:p>
          <w:pPr>
            <w:pStyle w:val="TOC3"/>
            <w:tabs>
              <w:tab w:val="right" w:leader="dot" w:pos="9072"/>
            </w:tabs>
          </w:pPr>
          <w:r>
            <w:t xml:space="preserve">Supported Asset Classes</w:t>
          </w:r>
          <w:r>
            <w:tab/>
          </w:r>
          <w:r>
            <w:t xml:space="preserve">17</w:t>
          </w:r>
        </w:p>
        <w:p>
          <w:pPr>
            <w:pStyle w:val="TOC3"/>
            <w:tabs>
              <w:tab w:val="right" w:leader="dot" w:pos="9072"/>
            </w:tabs>
          </w:pPr>
          <w:r>
            <w:t xml:space="preserve">Standards and Protocols</w:t>
          </w:r>
          <w:r>
            <w:tab/>
          </w:r>
          <w:r>
            <w:t xml:space="preserve">18</w:t>
          </w:r>
        </w:p>
        <w:p>
          <w:pPr>
            <w:pStyle w:val="TOC3"/>
            <w:tabs>
              <w:tab w:val="right" w:leader="dot" w:pos="9072"/>
            </w:tabs>
          </w:pPr>
          <w:r>
            <w:t xml:space="preserve">Key Differentiators</w:t>
          </w:r>
          <w:r>
            <w:tab/>
          </w:r>
          <w:r>
            <w:t xml:space="preserve">19</w:t>
          </w:r>
        </w:p>
        <w:p>
          <w:pPr>
            <w:pStyle w:val="TOC2"/>
            <w:tabs>
              <w:tab w:val="right" w:leader="dot" w:pos="9072"/>
            </w:tabs>
          </w:pPr>
          <w:r>
            <w:t xml:space="preserve">Customer References</w:t>
          </w:r>
          <w:r>
            <w:tab/>
          </w:r>
          <w:r>
            <w:t xml:space="preserve">20</w:t>
          </w:r>
        </w:p>
        <w:p>
          <w:pPr>
            <w:pStyle w:val="TOC3"/>
            <w:tabs>
              <w:tab w:val="right" w:leader="dot" w:pos="9072"/>
            </w:tabs>
          </w:pPr>
          <w:r>
            <w:t xml:space="preserve">Summary Table</w:t>
          </w:r>
          <w:r>
            <w:tab/>
          </w:r>
          <w:r>
            <w:t xml:space="preserve">21</w:t>
          </w:r>
        </w:p>
        <w:p>
          <w:pPr>
            <w:pStyle w:val="TOC3"/>
            <w:tabs>
              <w:tab w:val="right" w:leader="dot" w:pos="9072"/>
            </w:tabs>
          </w:pPr>
          <w:r>
            <w:t xml:space="preserve">Relevance Selection Logic</w:t>
          </w:r>
          <w:r>
            <w:tab/>
          </w:r>
          <w:r>
            <w:t xml:space="preserve">22</w:t>
          </w:r>
        </w:p>
        <w:p>
          <w:pPr>
            <w:pStyle w:val="TOC3"/>
            <w:tabs>
              <w:tab w:val="right" w:leader="dot" w:pos="9072"/>
            </w:tabs>
          </w:pPr>
          <w:r>
            <w:t xml:space="preserve">Expanded Reference 1: Standard Chartered Bank — Digital Virtual Exchange</w:t>
          </w:r>
          <w:r>
            <w:tab/>
          </w:r>
          <w:r>
            <w:t xml:space="preserve">23</w:t>
          </w:r>
        </w:p>
        <w:p>
          <w:pPr>
            <w:pStyle w:val="TOC3"/>
            <w:tabs>
              <w:tab w:val="right" w:leader="dot" w:pos="9072"/>
            </w:tabs>
          </w:pPr>
          <w:r>
            <w:t xml:space="preserve">Expanded Reference 2: Reserve Bank of India Innovation Hub — Trade Finance</w:t>
          </w:r>
          <w:r>
            <w:tab/>
          </w:r>
          <w:r>
            <w:t xml:space="preserve">24</w:t>
          </w:r>
        </w:p>
        <w:p>
          <w:pPr>
            <w:pStyle w:val="TOC3"/>
            <w:tabs>
              <w:tab w:val="right" w:leader="dot" w:pos="9072"/>
            </w:tabs>
          </w:pPr>
          <w:r>
            <w:t xml:space="preserve">Expanded Reference 3: Commerzbank — Exchange-Traded Products</w:t>
          </w:r>
          <w:r>
            <w:tab/>
          </w:r>
          <w:r>
            <w:t xml:space="preserve">25</w:t>
          </w:r>
        </w:p>
        <w:p>
          <w:pPr>
            <w:pStyle w:val="TOC3"/>
            <w:tabs>
              <w:tab w:val="right" w:leader="dot" w:pos="9072"/>
            </w:tabs>
          </w:pPr>
          <w:r>
            <w:t xml:space="preserve">Reference Fit Matrix</w:t>
          </w:r>
          <w:r>
            <w:tab/>
          </w:r>
          <w:r>
            <w:t xml:space="preserve">26</w:t>
          </w:r>
        </w:p>
        <w:p>
          <w:pPr>
            <w:pStyle w:val="TOC2"/>
            <w:tabs>
              <w:tab w:val="right" w:leader="dot" w:pos="9072"/>
            </w:tabs>
          </w:pPr>
          <w:r>
            <w:t xml:space="preserve">Understanding Emirates NBD's Programme Objectives</w:t>
          </w:r>
          <w:r>
            <w:tab/>
          </w:r>
          <w:r>
            <w:t xml:space="preserve">27</w:t>
          </w:r>
        </w:p>
        <w:p>
          <w:pPr>
            <w:pStyle w:val="TOC3"/>
            <w:tabs>
              <w:tab w:val="right" w:leader="dot" w:pos="9072"/>
            </w:tabs>
          </w:pPr>
          <w:r>
            <w:t xml:space="preserve">Client Context</w:t>
          </w:r>
          <w:r>
            <w:tab/>
          </w:r>
          <w:r>
            <w:t xml:space="preserve">28</w:t>
          </w:r>
        </w:p>
        <w:p>
          <w:pPr>
            <w:pStyle w:val="TOC3"/>
            <w:tabs>
              <w:tab w:val="right" w:leader="dot" w:pos="9072"/>
            </w:tabs>
          </w:pPr>
          <w:r>
            <w:t xml:space="preserve">Requirement Domains</w:t>
          </w:r>
          <w:r>
            <w:tab/>
          </w:r>
          <w:r>
            <w:t xml:space="preserve">29</w:t>
          </w:r>
        </w:p>
        <w:p>
          <w:pPr>
            <w:pStyle w:val="TOC3"/>
            <w:tabs>
              <w:tab w:val="right" w:leader="dot" w:pos="9072"/>
            </w:tabs>
          </w:pPr>
          <w:r>
            <w:t xml:space="preserve">Key Challenges Identified</w:t>
          </w:r>
          <w:r>
            <w:tab/>
          </w:r>
          <w:r>
            <w:t xml:space="preserve">30</w:t>
          </w:r>
        </w:p>
        <w:p>
          <w:pPr>
            <w:pStyle w:val="TOC3"/>
            <w:tabs>
              <w:tab w:val="right" w:leader="dot" w:pos="9072"/>
            </w:tabs>
          </w:pPr>
          <w:r>
            <w:t xml:space="preserve">Response Principles</w:t>
          </w:r>
          <w:r>
            <w:tab/>
          </w:r>
          <w:r>
            <w:t xml:space="preserve">31</w:t>
          </w:r>
        </w:p>
        <w:p>
          <w:pPr>
            <w:pStyle w:val="TOC2"/>
            <w:tabs>
              <w:tab w:val="right" w:leader="dot" w:pos="9072"/>
            </w:tabs>
          </w:pPr>
          <w:r>
            <w:t xml:space="preserve">Proposed Solution and Functional Capabilities</w:t>
          </w:r>
          <w:r>
            <w:tab/>
          </w:r>
          <w:r>
            <w:t xml:space="preserve">32</w:t>
          </w:r>
        </w:p>
        <w:p>
          <w:pPr>
            <w:pStyle w:val="TOC3"/>
            <w:tabs>
              <w:tab w:val="right" w:leader="dot" w:pos="9072"/>
            </w:tabs>
          </w:pPr>
          <w:r>
            <w:t xml:space="preserve">Solution Overview</w:t>
          </w:r>
          <w:r>
            <w:tab/>
          </w:r>
          <w:r>
            <w:t xml:space="preserve">33</w:t>
          </w:r>
        </w:p>
        <w:p>
          <w:pPr>
            <w:pStyle w:val="TOC3"/>
            <w:tabs>
              <w:tab w:val="right" w:leader="dot" w:pos="9072"/>
            </w:tabs>
          </w:pPr>
          <w:r>
            <w:t xml:space="preserve">Issuance and Asset Configuration</w:t>
          </w:r>
          <w:r>
            <w:tab/>
          </w:r>
          <w:r>
            <w:t xml:space="preserve">34</w:t>
          </w:r>
        </w:p>
        <w:p>
          <w:pPr>
            <w:pStyle w:val="TOC3"/>
            <w:tabs>
              <w:tab w:val="right" w:leader="dot" w:pos="9072"/>
            </w:tabs>
          </w:pPr>
          <w:r>
            <w:t xml:space="preserve">Identity and Eligibility</w:t>
          </w:r>
          <w:r>
            <w:tab/>
          </w:r>
          <w:r>
            <w:t xml:space="preserve">35</w:t>
          </w:r>
        </w:p>
        <w:p>
          <w:pPr>
            <w:pStyle w:val="TOC3"/>
            <w:tabs>
              <w:tab w:val="right" w:leader="dot" w:pos="9072"/>
            </w:tabs>
          </w:pPr>
          <w:r>
            <w:t xml:space="preserve">Compliance Enforcement</w:t>
          </w:r>
          <w:r>
            <w:tab/>
          </w:r>
          <w:r>
            <w:t xml:space="preserve">36</w:t>
          </w:r>
        </w:p>
        <w:p>
          <w:pPr>
            <w:pStyle w:val="TOC3"/>
            <w:tabs>
              <w:tab w:val="right" w:leader="dot" w:pos="9072"/>
            </w:tabs>
          </w:pPr>
          <w:r>
            <w:t xml:space="preserve">Transfer, Settlement, and Cash-Leg Coordination</w:t>
          </w:r>
          <w:r>
            <w:tab/>
          </w:r>
          <w:r>
            <w:t xml:space="preserve">37</w:t>
          </w:r>
        </w:p>
        <w:p>
          <w:pPr>
            <w:pStyle w:val="TOC3"/>
            <w:tabs>
              <w:tab w:val="right" w:leader="dot" w:pos="9072"/>
            </w:tabs>
          </w:pPr>
          <w:r>
            <w:t xml:space="preserve">Lifecycle Servicing and Corporate Actions</w:t>
          </w:r>
          <w:r>
            <w:tab/>
          </w:r>
          <w:r>
            <w:t xml:space="preserve">38</w:t>
          </w:r>
        </w:p>
        <w:p>
          <w:pPr>
            <w:pStyle w:val="TOC3"/>
            <w:tabs>
              <w:tab w:val="right" w:leader="dot" w:pos="9072"/>
            </w:tabs>
          </w:pPr>
          <w:r>
            <w:t xml:space="preserve">Integration and Interoperability</w:t>
          </w:r>
          <w:r>
            <w:tab/>
          </w:r>
          <w:r>
            <w:t xml:space="preserve">39</w:t>
          </w:r>
        </w:p>
        <w:p>
          <w:pPr>
            <w:pStyle w:val="TOC3"/>
            <w:tabs>
              <w:tab w:val="right" w:leader="dot" w:pos="9072"/>
            </w:tabs>
          </w:pPr>
          <w:r>
            <w:t xml:space="preserve">Functional Fit Matrix</w:t>
          </w:r>
          <w:r>
            <w:tab/>
          </w:r>
          <w:r>
            <w:t xml:space="preserve">40</w:t>
          </w:r>
        </w:p>
        <w:p>
          <w:pPr>
            <w:pStyle w:val="TOC2"/>
            <w:tabs>
              <w:tab w:val="right" w:leader="dot" w:pos="9072"/>
            </w:tabs>
          </w:pPr>
          <w:r>
            <w:t xml:space="preserve">Technical Architecture</w:t>
          </w:r>
          <w:r>
            <w:tab/>
          </w:r>
          <w:r>
            <w:t xml:space="preserve">41</w:t>
          </w:r>
        </w:p>
        <w:p>
          <w:pPr>
            <w:pStyle w:val="TOC3"/>
            <w:tabs>
              <w:tab w:val="right" w:leader="dot" w:pos="9072"/>
            </w:tabs>
          </w:pPr>
          <w:r>
            <w:t xml:space="preserve">Architectural Principles</w:t>
          </w:r>
          <w:r>
            <w:tab/>
          </w:r>
          <w:r>
            <w:t xml:space="preserve">42</w:t>
          </w:r>
        </w:p>
        <w:p>
          <w:pPr>
            <w:pStyle w:val="TOC3"/>
            <w:tabs>
              <w:tab w:val="right" w:leader="dot" w:pos="9072"/>
            </w:tabs>
          </w:pPr>
          <w:r>
            <w:t xml:space="preserve">Layered Architecture</w:t>
          </w:r>
          <w:r>
            <w:tab/>
          </w:r>
          <w:r>
            <w:t xml:space="preserve">43</w:t>
          </w:r>
        </w:p>
        <w:p>
          <w:pPr>
            <w:pStyle w:val="TOC3"/>
            <w:tabs>
              <w:tab w:val="right" w:leader="dot" w:pos="9072"/>
            </w:tabs>
          </w:pPr>
          <w:r>
            <w:t xml:space="preserve">Data Architecture</w:t>
          </w:r>
          <w:r>
            <w:tab/>
          </w:r>
          <w:r>
            <w:t xml:space="preserve">44</w:t>
          </w:r>
        </w:p>
        <w:p>
          <w:pPr>
            <w:pStyle w:val="TOC3"/>
            <w:tabs>
              <w:tab w:val="right" w:leader="dot" w:pos="9072"/>
            </w:tabs>
          </w:pPr>
          <w:r>
            <w:t xml:space="preserve">Network and Chain Topology</w:t>
          </w:r>
          <w:r>
            <w:tab/>
          </w:r>
          <w:r>
            <w:t xml:space="preserve">45</w:t>
          </w:r>
        </w:p>
        <w:p>
          <w:pPr>
            <w:pStyle w:val="TOC3"/>
            <w:tabs>
              <w:tab w:val="right" w:leader="dot" w:pos="9072"/>
            </w:tabs>
          </w:pPr>
          <w:r>
            <w:t xml:space="preserve">Multi-Tenancy and Environment Segregation</w:t>
          </w:r>
          <w:r>
            <w:tab/>
          </w:r>
          <w:r>
            <w:t xml:space="preserve">46</w:t>
          </w:r>
        </w:p>
        <w:p>
          <w:pPr>
            <w:pStyle w:val="TOC3"/>
            <w:tabs>
              <w:tab w:val="right" w:leader="dot" w:pos="9072"/>
            </w:tabs>
          </w:pPr>
          <w:r>
            <w:t xml:space="preserve">Operational Architecture</w:t>
          </w:r>
          <w:r>
            <w:tab/>
          </w:r>
          <w:r>
            <w:t xml:space="preserve">47</w:t>
          </w:r>
        </w:p>
        <w:p>
          <w:pPr>
            <w:pStyle w:val="TOC2"/>
            <w:tabs>
              <w:tab w:val="right" w:leader="dot" w:pos="9072"/>
            </w:tabs>
          </w:pPr>
          <w:r>
            <w:t xml:space="preserve">Smart Contract Architecture for Deposits and Trade Finance</w:t>
          </w:r>
          <w:r>
            <w:tab/>
          </w:r>
          <w:r>
            <w:t xml:space="preserve">48</w:t>
          </w:r>
        </w:p>
        <w:p>
          <w:pPr>
            <w:pStyle w:val="TOC3"/>
            <w:tabs>
              <w:tab w:val="right" w:leader="dot" w:pos="9072"/>
            </w:tabs>
          </w:pPr>
          <w:r>
            <w:t xml:space="preserve">SMART Protocol Foundation</w:t>
          </w:r>
          <w:r>
            <w:tab/>
          </w:r>
          <w:r>
            <w:t xml:space="preserve">49</w:t>
          </w:r>
        </w:p>
        <w:p>
          <w:pPr>
            <w:pStyle w:val="TOC3"/>
            <w:tabs>
              <w:tab w:val="right" w:leader="dot" w:pos="9072"/>
            </w:tabs>
          </w:pPr>
          <w:r>
            <w:t xml:space="preserve">Five-Layer On-Chain Architecture</w:t>
          </w:r>
          <w:r>
            <w:tab/>
          </w:r>
          <w:r>
            <w:t xml:space="preserve">50</w:t>
          </w:r>
        </w:p>
        <w:p>
          <w:pPr>
            <w:pStyle w:val="TOC3"/>
            <w:tabs>
              <w:tab w:val="right" w:leader="dot" w:pos="9072"/>
            </w:tabs>
          </w:pPr>
          <w:r>
            <w:t xml:space="preserve">DALPAsset Configuration for Deposits</w:t>
          </w:r>
          <w:r>
            <w:tab/>
          </w:r>
          <w:r>
            <w:t xml:space="preserve">51</w:t>
          </w:r>
        </w:p>
        <w:p>
          <w:pPr>
            <w:pStyle w:val="TOC3"/>
            <w:tabs>
              <w:tab w:val="right" w:leader="dot" w:pos="9072"/>
            </w:tabs>
          </w:pPr>
          <w:r>
            <w:t xml:space="preserve">DALPAsset Configuration for Trade Finance</w:t>
          </w:r>
          <w:r>
            <w:tab/>
          </w:r>
          <w:r>
            <w:t xml:space="preserve">52</w:t>
          </w:r>
        </w:p>
        <w:p>
          <w:pPr>
            <w:pStyle w:val="TOC3"/>
            <w:tabs>
              <w:tab w:val="right" w:leader="dot" w:pos="9072"/>
            </w:tabs>
          </w:pPr>
          <w:r>
            <w:t xml:space="preserve">UUPS Proxy Upgrade Pattern</w:t>
          </w:r>
          <w:r>
            <w:tab/>
          </w:r>
          <w:r>
            <w:t xml:space="preserve">53</w:t>
          </w:r>
        </w:p>
        <w:p>
          <w:pPr>
            <w:pStyle w:val="TOC2"/>
            <w:tabs>
              <w:tab w:val="right" w:leader="dot" w:pos="9072"/>
            </w:tabs>
          </w:pPr>
          <w:r>
            <w:t xml:space="preserve">Identity, Compliance, and Regulatory Controls</w:t>
          </w:r>
          <w:r>
            <w:tab/>
          </w:r>
          <w:r>
            <w:t xml:space="preserve">54</w:t>
          </w:r>
        </w:p>
        <w:p>
          <w:pPr>
            <w:pStyle w:val="TOC3"/>
            <w:tabs>
              <w:tab w:val="right" w:leader="dot" w:pos="9072"/>
            </w:tabs>
          </w:pPr>
          <w:r>
            <w:t xml:space="preserve">Identity Architecture</w:t>
          </w:r>
          <w:r>
            <w:tab/>
          </w:r>
          <w:r>
            <w:t xml:space="preserve">55</w:t>
          </w:r>
        </w:p>
        <w:p>
          <w:pPr>
            <w:pStyle w:val="TOC3"/>
            <w:tabs>
              <w:tab w:val="right" w:leader="dot" w:pos="9072"/>
            </w:tabs>
          </w:pPr>
          <w:r>
            <w:t xml:space="preserve">Compliance Module Library</w:t>
          </w:r>
          <w:r>
            <w:tab/>
          </w:r>
          <w:r>
            <w:t xml:space="preserve">56</w:t>
          </w:r>
        </w:p>
        <w:p>
          <w:pPr>
            <w:pStyle w:val="TOC3"/>
            <w:tabs>
              <w:tab w:val="right" w:leader="dot" w:pos="9072"/>
            </w:tabs>
          </w:pPr>
          <w:r>
            <w:t xml:space="preserve">Regulatory Context: UAE</w:t>
          </w:r>
          <w:r>
            <w:tab/>
          </w:r>
          <w:r>
            <w:t xml:space="preserve">57</w:t>
          </w:r>
        </w:p>
        <w:p>
          <w:pPr>
            <w:pStyle w:val="TOC2"/>
            <w:tabs>
              <w:tab w:val="right" w:leader="dot" w:pos="9072"/>
            </w:tabs>
          </w:pPr>
          <w:r>
            <w:t xml:space="preserve">Settlement, Servicing, and Lifecycle Management</w:t>
          </w:r>
          <w:r>
            <w:tab/>
          </w:r>
          <w:r>
            <w:t xml:space="preserve">58</w:t>
          </w:r>
        </w:p>
        <w:p>
          <w:pPr>
            <w:pStyle w:val="TOC3"/>
            <w:tabs>
              <w:tab w:val="right" w:leader="dot" w:pos="9072"/>
            </w:tabs>
          </w:pPr>
          <w:r>
            <w:t xml:space="preserve">Settlement Architecture</w:t>
          </w:r>
          <w:r>
            <w:tab/>
          </w:r>
          <w:r>
            <w:t xml:space="preserve">59</w:t>
          </w:r>
        </w:p>
        <w:p>
          <w:pPr>
            <w:pStyle w:val="TOC3"/>
            <w:tabs>
              <w:tab w:val="right" w:leader="dot" w:pos="9072"/>
            </w:tabs>
          </w:pPr>
          <w:r>
            <w:t xml:space="preserve">Deposit Lifecycle</w:t>
          </w:r>
          <w:r>
            <w:tab/>
          </w:r>
          <w:r>
            <w:t xml:space="preserve">60</w:t>
          </w:r>
        </w:p>
        <w:p>
          <w:pPr>
            <w:pStyle w:val="TOC3"/>
            <w:tabs>
              <w:tab w:val="right" w:leader="dot" w:pos="9072"/>
            </w:tabs>
          </w:pPr>
          <w:r>
            <w:t xml:space="preserve">Trade Finance Lifecycle</w:t>
          </w:r>
          <w:r>
            <w:tab/>
          </w:r>
          <w:r>
            <w:t xml:space="preserve">61</w:t>
          </w:r>
        </w:p>
        <w:p>
          <w:pPr>
            <w:pStyle w:val="TOC2"/>
            <w:tabs>
              <w:tab w:val="right" w:leader="dot" w:pos="9072"/>
            </w:tabs>
          </w:pPr>
          <w:r>
            <w:t xml:space="preserve">Security, Resilience, and Operational Assurance</w:t>
          </w:r>
          <w:r>
            <w:tab/>
          </w:r>
          <w:r>
            <w:t xml:space="preserve">62</w:t>
          </w:r>
        </w:p>
        <w:p>
          <w:pPr>
            <w:pStyle w:val="TOC3"/>
            <w:tabs>
              <w:tab w:val="right" w:leader="dot" w:pos="9072"/>
            </w:tabs>
          </w:pPr>
          <w:r>
            <w:t xml:space="preserve">Security Model Overview</w:t>
          </w:r>
          <w:r>
            <w:tab/>
          </w:r>
          <w:r>
            <w:t xml:space="preserve">63</w:t>
          </w:r>
        </w:p>
        <w:p>
          <w:pPr>
            <w:pStyle w:val="TOC3"/>
            <w:tabs>
              <w:tab w:val="right" w:leader="dot" w:pos="9072"/>
            </w:tabs>
          </w:pPr>
          <w:r>
            <w:t xml:space="preserve">Authentication</w:t>
          </w:r>
          <w:r>
            <w:tab/>
          </w:r>
          <w:r>
            <w:t xml:space="preserve">64</w:t>
          </w:r>
        </w:p>
        <w:p>
          <w:pPr>
            <w:pStyle w:val="TOC3"/>
            <w:tabs>
              <w:tab w:val="right" w:leader="dot" w:pos="9072"/>
            </w:tabs>
          </w:pPr>
          <w:r>
            <w:t xml:space="preserve">API Key Security</w:t>
          </w:r>
          <w:r>
            <w:tab/>
          </w:r>
          <w:r>
            <w:t xml:space="preserve">65</w:t>
          </w:r>
        </w:p>
        <w:p>
          <w:pPr>
            <w:pStyle w:val="TOC3"/>
            <w:tabs>
              <w:tab w:val="right" w:leader="dot" w:pos="9072"/>
            </w:tabs>
          </w:pPr>
          <w:r>
            <w:t xml:space="preserve">Key Management</w:t>
          </w:r>
          <w:r>
            <w:tab/>
          </w:r>
          <w:r>
            <w:t xml:space="preserve">66</w:t>
          </w:r>
        </w:p>
        <w:p>
          <w:pPr>
            <w:pStyle w:val="TOC3"/>
            <w:tabs>
              <w:tab w:val="right" w:leader="dot" w:pos="9072"/>
            </w:tabs>
          </w:pPr>
          <w:r>
            <w:t xml:space="preserve">Certifications</w:t>
          </w:r>
          <w:r>
            <w:tab/>
          </w:r>
          <w:r>
            <w:t xml:space="preserve">67</w:t>
          </w:r>
        </w:p>
        <w:p>
          <w:pPr>
            <w:pStyle w:val="TOC3"/>
            <w:tabs>
              <w:tab w:val="right" w:leader="dot" w:pos="9072"/>
            </w:tabs>
          </w:pPr>
          <w:r>
            <w:t xml:space="preserve">Data Protection</w:t>
          </w:r>
          <w:r>
            <w:tab/>
          </w:r>
          <w:r>
            <w:t xml:space="preserve">68</w:t>
          </w:r>
        </w:p>
        <w:p>
          <w:pPr>
            <w:pStyle w:val="TOC3"/>
            <w:tabs>
              <w:tab w:val="right" w:leader="dot" w:pos="9072"/>
            </w:tabs>
          </w:pPr>
          <w:r>
            <w:t xml:space="preserve">Availability and DR</w:t>
          </w:r>
          <w:r>
            <w:tab/>
          </w:r>
          <w:r>
            <w:t xml:space="preserve">69</w:t>
          </w:r>
        </w:p>
        <w:p>
          <w:pPr>
            <w:pStyle w:val="TOC3"/>
            <w:tabs>
              <w:tab w:val="right" w:leader="dot" w:pos="9072"/>
            </w:tabs>
          </w:pPr>
          <w:r>
            <w:t xml:space="preserve">Security Responsibility Matrix</w:t>
          </w:r>
          <w:r>
            <w:tab/>
          </w:r>
          <w:r>
            <w:t xml:space="preserve">70</w:t>
          </w:r>
        </w:p>
        <w:p>
          <w:pPr>
            <w:pStyle w:val="TOC2"/>
            <w:tabs>
              <w:tab w:val="right" w:leader="dot" w:pos="9072"/>
            </w:tabs>
          </w:pPr>
          <w:r>
            <w:t xml:space="preserve">Implementation Approach and Delivery Phases</w:t>
          </w:r>
          <w:r>
            <w:tab/>
          </w:r>
          <w:r>
            <w:t xml:space="preserve">71</w:t>
          </w:r>
        </w:p>
        <w:p>
          <w:pPr>
            <w:pStyle w:val="TOC3"/>
            <w:tabs>
              <w:tab w:val="right" w:leader="dot" w:pos="9072"/>
            </w:tabs>
          </w:pPr>
          <w:r>
            <w:t xml:space="preserve">Delivery Overview</w:t>
          </w:r>
          <w:r>
            <w:tab/>
          </w:r>
          <w:r>
            <w:t xml:space="preserve">72</w:t>
          </w:r>
        </w:p>
        <w:p>
          <w:pPr>
            <w:pStyle w:val="TOC3"/>
            <w:tabs>
              <w:tab w:val="right" w:leader="dot" w:pos="9072"/>
            </w:tabs>
          </w:pPr>
          <w:r>
            <w:t xml:space="preserve">Phase 1: Discovery and Requirements (Weeks 1–2)</w:t>
          </w:r>
          <w:r>
            <w:tab/>
          </w:r>
          <w:r>
            <w:t xml:space="preserve">73</w:t>
          </w:r>
        </w:p>
        <w:p>
          <w:pPr>
            <w:pStyle w:val="TOC3"/>
            <w:tabs>
              <w:tab w:val="right" w:leader="dot" w:pos="9072"/>
            </w:tabs>
          </w:pPr>
          <w:r>
            <w:t xml:space="preserve">Phase 2: Foundation and Setup (Weeks 3–5)</w:t>
          </w:r>
          <w:r>
            <w:tab/>
          </w:r>
          <w:r>
            <w:t xml:space="preserve">74</w:t>
          </w:r>
        </w:p>
        <w:p>
          <w:pPr>
            <w:pStyle w:val="TOC3"/>
            <w:tabs>
              <w:tab w:val="right" w:leader="dot" w:pos="9072"/>
            </w:tabs>
          </w:pPr>
          <w:r>
            <w:t xml:space="preserve">Phase 3: Configuration and Compliance (Weeks 6–9)</w:t>
          </w:r>
          <w:r>
            <w:tab/>
          </w:r>
          <w:r>
            <w:t xml:space="preserve">75</w:t>
          </w:r>
        </w:p>
        <w:p>
          <w:pPr>
            <w:pStyle w:val="TOC3"/>
            <w:tabs>
              <w:tab w:val="right" w:leader="dot" w:pos="9072"/>
            </w:tabs>
          </w:pPr>
          <w:r>
            <w:t xml:space="preserve">Phase 4: Integration and Testing (Weeks 10–13)</w:t>
          </w:r>
          <w:r>
            <w:tab/>
          </w:r>
          <w:r>
            <w:t xml:space="preserve">76</w:t>
          </w:r>
        </w:p>
        <w:p>
          <w:pPr>
            <w:pStyle w:val="TOC3"/>
            <w:tabs>
              <w:tab w:val="right" w:leader="dot" w:pos="9072"/>
            </w:tabs>
          </w:pPr>
          <w:r>
            <w:t xml:space="preserve">Phase 5: Go-Live and Hypercare (Weeks 14–19)</w:t>
          </w:r>
          <w:r>
            <w:tab/>
          </w:r>
          <w:r>
            <w:t xml:space="preserve">77</w:t>
          </w:r>
        </w:p>
        <w:p>
          <w:pPr>
            <w:pStyle w:val="TOC3"/>
            <w:tabs>
              <w:tab w:val="right" w:leader="dot" w:pos="9072"/>
            </w:tabs>
          </w:pPr>
          <w:r>
            <w:t xml:space="preserve">Governance and Decision Structure</w:t>
          </w:r>
          <w:r>
            <w:tab/>
          </w:r>
          <w:r>
            <w:t xml:space="preserve">78</w:t>
          </w:r>
        </w:p>
        <w:p>
          <w:pPr>
            <w:pStyle w:val="TOC3"/>
            <w:tabs>
              <w:tab w:val="right" w:leader="dot" w:pos="9072"/>
            </w:tabs>
          </w:pPr>
          <w:r>
            <w:t xml:space="preserve">Resource Model</w:t>
          </w:r>
          <w:r>
            <w:tab/>
          </w:r>
          <w:r>
            <w:t xml:space="preserve">79</w:t>
          </w:r>
        </w:p>
        <w:p>
          <w:pPr>
            <w:pStyle w:val="TOC2"/>
            <w:tabs>
              <w:tab w:val="right" w:leader="dot" w:pos="9072"/>
            </w:tabs>
          </w:pPr>
          <w:r>
            <w:t xml:space="preserve">Deployment Model</w:t>
          </w:r>
          <w:r>
            <w:tab/>
          </w:r>
          <w:r>
            <w:t xml:space="preserve">80</w:t>
          </w:r>
        </w:p>
        <w:p>
          <w:pPr>
            <w:pStyle w:val="TOC3"/>
            <w:tabs>
              <w:tab w:val="right" w:leader="dot" w:pos="9072"/>
            </w:tabs>
          </w:pPr>
          <w:r>
            <w:t xml:space="preserve">Recommended: Dedicated Cloud (UAE-Resident)</w:t>
          </w:r>
          <w:r>
            <w:tab/>
          </w:r>
          <w:r>
            <w:t xml:space="preserve">81</w:t>
          </w:r>
        </w:p>
        <w:p>
          <w:pPr>
            <w:pStyle w:val="TOC3"/>
            <w:tabs>
              <w:tab w:val="right" w:leader="dot" w:pos="9072"/>
            </w:tabs>
          </w:pPr>
          <w:r>
            <w:t xml:space="preserve">Deployment Options Considered</w:t>
          </w:r>
          <w:r>
            <w:tab/>
          </w:r>
          <w:r>
            <w:t xml:space="preserve">82</w:t>
          </w:r>
        </w:p>
        <w:p>
          <w:pPr>
            <w:pStyle w:val="TOC3"/>
            <w:tabs>
              <w:tab w:val="right" w:leader="dot" w:pos="9072"/>
            </w:tabs>
          </w:pPr>
          <w:r>
            <w:t xml:space="preserve">Infrastructure Requirements</w:t>
          </w:r>
          <w:r>
            <w:tab/>
          </w:r>
          <w:r>
            <w:t xml:space="preserve">83</w:t>
          </w:r>
        </w:p>
        <w:p>
          <w:pPr>
            <w:pStyle w:val="TOC3"/>
            <w:tabs>
              <w:tab w:val="right" w:leader="dot" w:pos="9072"/>
            </w:tabs>
          </w:pPr>
          <w:r>
            <w:t xml:space="preserve">Availability and DR</w:t>
          </w:r>
          <w:r>
            <w:tab/>
          </w:r>
          <w:r>
            <w:t xml:space="preserve">84</w:t>
          </w:r>
        </w:p>
        <w:p>
          <w:pPr>
            <w:pStyle w:val="TOC2"/>
            <w:tabs>
              <w:tab w:val="right" w:leader="dot" w:pos="9072"/>
            </w:tabs>
          </w:pPr>
          <w:r>
            <w:t xml:space="preserve">Training and Knowledge Transfer</w:t>
          </w:r>
          <w:r>
            <w:tab/>
          </w:r>
          <w:r>
            <w:t xml:space="preserve">85</w:t>
          </w:r>
        </w:p>
        <w:p>
          <w:pPr>
            <w:pStyle w:val="TOC3"/>
            <w:tabs>
              <w:tab w:val="right" w:leader="dot" w:pos="9072"/>
            </w:tabs>
          </w:pPr>
          <w:r>
            <w:t xml:space="preserve">Training Strategy</w:t>
          </w:r>
          <w:r>
            <w:tab/>
          </w:r>
          <w:r>
            <w:t xml:space="preserve">86</w:t>
          </w:r>
        </w:p>
        <w:p>
          <w:pPr>
            <w:pStyle w:val="TOC3"/>
            <w:tabs>
              <w:tab w:val="right" w:leader="dot" w:pos="9072"/>
            </w:tabs>
          </w:pPr>
          <w:r>
            <w:t xml:space="preserve">Administrator Track</w:t>
          </w:r>
          <w:r>
            <w:tab/>
          </w:r>
          <w:r>
            <w:t xml:space="preserve">87</w:t>
          </w:r>
        </w:p>
        <w:p>
          <w:pPr>
            <w:pStyle w:val="TOC3"/>
            <w:tabs>
              <w:tab w:val="right" w:leader="dot" w:pos="9072"/>
            </w:tabs>
          </w:pPr>
          <w:r>
            <w:t xml:space="preserve">Developer / Integration Track</w:t>
          </w:r>
          <w:r>
            <w:tab/>
          </w:r>
          <w:r>
            <w:t xml:space="preserve">88</w:t>
          </w:r>
        </w:p>
        <w:p>
          <w:pPr>
            <w:pStyle w:val="TOC3"/>
            <w:tabs>
              <w:tab w:val="right" w:leader="dot" w:pos="9072"/>
            </w:tabs>
          </w:pPr>
          <w:r>
            <w:t xml:space="preserve">Operations Track</w:t>
          </w:r>
          <w:r>
            <w:tab/>
          </w:r>
          <w:r>
            <w:t xml:space="preserve">89</w:t>
          </w:r>
        </w:p>
        <w:p>
          <w:pPr>
            <w:pStyle w:val="TOC3"/>
            <w:tabs>
              <w:tab w:val="right" w:leader="dot" w:pos="9072"/>
            </w:tabs>
          </w:pPr>
          <w:r>
            <w:t xml:space="preserve">Knowledge Transfer Method</w:t>
          </w:r>
          <w:r>
            <w:tab/>
          </w:r>
          <w:r>
            <w:t xml:space="preserve">90</w:t>
          </w:r>
        </w:p>
        <w:p>
          <w:pPr>
            <w:pStyle w:val="TOC2"/>
            <w:tabs>
              <w:tab w:val="right" w:leader="dot" w:pos="9072"/>
            </w:tabs>
          </w:pPr>
          <w:r>
            <w:t xml:space="preserve">Support and SLA</w:t>
          </w:r>
          <w:r>
            <w:tab/>
          </w:r>
          <w:r>
            <w:t xml:space="preserve">91</w:t>
          </w:r>
        </w:p>
        <w:p>
          <w:pPr>
            <w:pStyle w:val="TOC3"/>
            <w:tabs>
              <w:tab w:val="right" w:leader="dot" w:pos="9072"/>
            </w:tabs>
          </w:pPr>
          <w:r>
            <w:t xml:space="preserve">Recommended: Premium Support</w:t>
          </w:r>
          <w:r>
            <w:tab/>
          </w:r>
          <w:r>
            <w:t xml:space="preserve">92</w:t>
          </w:r>
        </w:p>
        <w:p>
          <w:pPr>
            <w:pStyle w:val="TOC3"/>
            <w:tabs>
              <w:tab w:val="right" w:leader="dot" w:pos="9072"/>
            </w:tabs>
          </w:pPr>
          <w:r>
            <w:t xml:space="preserve">Severity Definitions</w:t>
          </w:r>
          <w:r>
            <w:tab/>
          </w:r>
          <w:r>
            <w:t xml:space="preserve">93</w:t>
          </w:r>
        </w:p>
        <w:p>
          <w:pPr>
            <w:pStyle w:val="TOC3"/>
            <w:tabs>
              <w:tab w:val="right" w:leader="dot" w:pos="9072"/>
            </w:tabs>
          </w:pPr>
          <w:r>
            <w:t xml:space="preserve">Escalation Path</w:t>
          </w:r>
          <w:r>
            <w:tab/>
          </w:r>
          <w:r>
            <w:t xml:space="preserve">94</w:t>
          </w:r>
        </w:p>
        <w:p>
          <w:pPr>
            <w:pStyle w:val="TOC2"/>
            <w:tabs>
              <w:tab w:val="right" w:leader="dot" w:pos="9072"/>
            </w:tabs>
          </w:pPr>
          <w:r>
            <w:t xml:space="preserve">Risk Management</w:t>
          </w:r>
          <w:r>
            <w:tab/>
          </w:r>
          <w:r>
            <w:t xml:space="preserve">95</w:t>
          </w:r>
        </w:p>
        <w:p>
          <w:pPr>
            <w:pStyle w:val="TOC3"/>
            <w:tabs>
              <w:tab w:val="right" w:leader="dot" w:pos="9072"/>
            </w:tabs>
          </w:pPr>
          <w:r>
            <w:t xml:space="preserve">Risk Management Approach</w:t>
          </w:r>
          <w:r>
            <w:tab/>
          </w:r>
          <w:r>
            <w:t xml:space="preserve">96</w:t>
          </w:r>
        </w:p>
        <w:p>
          <w:pPr>
            <w:pStyle w:val="TOC3"/>
            <w:tabs>
              <w:tab w:val="right" w:leader="dot" w:pos="9072"/>
            </w:tabs>
          </w:pPr>
          <w:r>
            <w:t xml:space="preserve">Risk Register</w:t>
          </w:r>
          <w:r>
            <w:tab/>
          </w:r>
          <w:r>
            <w:t xml:space="preserve">97</w:t>
          </w:r>
        </w:p>
        <w:p>
          <w:pPr>
            <w:pStyle w:val="TOC2"/>
            <w:tabs>
              <w:tab w:val="right" w:leader="dot" w:pos="9072"/>
            </w:tabs>
          </w:pPr>
          <w:r>
            <w:t xml:space="preserve">Current Coverage, Dependencies, and Qualified Gaps</w:t>
          </w:r>
          <w:r>
            <w:tab/>
          </w:r>
          <w:r>
            <w:t xml:space="preserve">98</w:t>
          </w:r>
        </w:p>
        <w:p>
          <w:pPr>
            <w:pStyle w:val="TOC3"/>
            <w:tabs>
              <w:tab w:val="right" w:leader="dot" w:pos="9072"/>
            </w:tabs>
          </w:pPr>
          <w:r>
            <w:t xml:space="preserve">Dependency Register</w:t>
          </w:r>
          <w:r>
            <w:tab/>
          </w:r>
          <w:r>
            <w:t xml:space="preserve">99</w:t>
          </w:r>
        </w:p>
        <w:p>
          <w:pPr>
            <w:pStyle w:val="TOC3"/>
            <w:tabs>
              <w:tab w:val="right" w:leader="dot" w:pos="9072"/>
            </w:tabs>
          </w:pPr>
          <w:r>
            <w:t xml:space="preserve">Qualified Gaps</w:t>
          </w:r>
          <w:r>
            <w:tab/>
          </w:r>
          <w:r>
            <w:t xml:space="preserve">100</w:t>
          </w:r>
        </w:p>
        <w:p>
          <w:pPr>
            <w:pStyle w:val="TOC2"/>
            <w:tabs>
              <w:tab w:val="right" w:leader="dot" w:pos="9072"/>
            </w:tabs>
          </w:pPr>
          <w:r>
            <w:t xml:space="preserve">Compliance Matrix</w:t>
          </w:r>
          <w:r>
            <w:tab/>
          </w:r>
          <w:r>
            <w:t xml:space="preserve">101</w:t>
          </w:r>
        </w:p>
        <w:p>
          <w:pPr>
            <w:pStyle w:val="TOC3"/>
            <w:tabs>
              <w:tab w:val="right" w:leader="dot" w:pos="9072"/>
            </w:tabs>
          </w:pPr>
          <w:r>
            <w:t xml:space="preserve">Status Legend</w:t>
          </w:r>
          <w:r>
            <w:tab/>
          </w:r>
          <w:r>
            <w:t xml:space="preserve">102</w:t>
          </w:r>
        </w:p>
        <w:p>
          <w:pPr>
            <w:pStyle w:val="TOC3"/>
            <w:tabs>
              <w:tab w:val="right" w:leader="dot" w:pos="9072"/>
            </w:tabs>
          </w:pPr>
          <w:r>
            <w:t xml:space="preserve">Detailed Matrix</w:t>
          </w:r>
          <w:r>
            <w:tab/>
          </w:r>
          <w:r>
            <w:t xml:space="preserve">103</w:t>
          </w:r>
        </w:p>
        <w:p>
          <w:pPr>
            <w:pStyle w:val="TOC2"/>
            <w:tabs>
              <w:tab w:val="right" w:leader="dot" w:pos="9072"/>
            </w:tabs>
          </w:pPr>
          <w:r>
            <w:t xml:space="preserve">Detailed Platform Capabilities for Deposits and Trade Finance</w:t>
          </w:r>
          <w:r>
            <w:tab/>
          </w:r>
          <w:r>
            <w:t xml:space="preserve">104</w:t>
          </w:r>
        </w:p>
        <w:p>
          <w:pPr>
            <w:pStyle w:val="TOC3"/>
            <w:tabs>
              <w:tab w:val="right" w:leader="dot" w:pos="9072"/>
            </w:tabs>
          </w:pPr>
          <w:r>
            <w:t xml:space="preserve">Deposit Token Design and Configuration</w:t>
          </w:r>
          <w:r>
            <w:tab/>
          </w:r>
          <w:r>
            <w:t xml:space="preserve">105</w:t>
          </w:r>
        </w:p>
        <w:p>
          <w:pPr>
            <w:pStyle w:val="TOC3"/>
            <w:tabs>
              <w:tab w:val="right" w:leader="dot" w:pos="9072"/>
            </w:tabs>
          </w:pPr>
          <w:r>
            <w:t xml:space="preserve">Trade Finance Instrument Configuration</w:t>
          </w:r>
          <w:r>
            <w:tab/>
          </w:r>
          <w:r>
            <w:t xml:space="preserve">106</w:t>
          </w:r>
        </w:p>
        <w:p>
          <w:pPr>
            <w:pStyle w:val="TOC3"/>
            <w:tabs>
              <w:tab w:val="right" w:leader="dot" w:pos="9072"/>
            </w:tabs>
          </w:pPr>
          <w:r>
            <w:t xml:space="preserve">Factory Pattern and Deterministic Deployment</w:t>
          </w:r>
          <w:r>
            <w:tab/>
          </w:r>
          <w:r>
            <w:t xml:space="preserve">107</w:t>
          </w:r>
        </w:p>
        <w:p>
          <w:pPr>
            <w:pStyle w:val="TOC3"/>
            <w:tabs>
              <w:tab w:val="right" w:leader="dot" w:pos="9072"/>
            </w:tabs>
          </w:pPr>
          <w:r>
            <w:t xml:space="preserve">Administrative Controls</w:t>
          </w:r>
          <w:r>
            <w:tab/>
          </w:r>
          <w:r>
            <w:t xml:space="preserve">108</w:t>
          </w:r>
        </w:p>
        <w:p>
          <w:pPr>
            <w:pStyle w:val="TOC3"/>
            <w:tabs>
              <w:tab w:val="right" w:leader="dot" w:pos="9072"/>
            </w:tabs>
          </w:pPr>
          <w:r>
            <w:t xml:space="preserve">Middleware Architecture Deep Dive</w:t>
          </w:r>
          <w:r>
            <w:tab/>
          </w:r>
          <w:r>
            <w:t xml:space="preserve">109</w:t>
          </w:r>
        </w:p>
        <w:p>
          <w:pPr>
            <w:pStyle w:val="TOC3"/>
            <w:tabs>
              <w:tab w:val="right" w:leader="dot" w:pos="9072"/>
            </w:tabs>
          </w:pPr>
          <w:r>
            <w:t xml:space="preserve">Observability and Monitoring Architecture</w:t>
          </w:r>
          <w:r>
            <w:tab/>
          </w:r>
          <w:r>
            <w:t xml:space="preserve">110</w:t>
          </w:r>
        </w:p>
        <w:p>
          <w:pPr>
            <w:pStyle w:val="TOC3"/>
            <w:tabs>
              <w:tab w:val="right" w:leader="dot" w:pos="9072"/>
            </w:tabs>
          </w:pPr>
          <w:r>
            <w:t xml:space="preserve">Smart Contract Security Deep Dive</w:t>
          </w:r>
          <w:r>
            <w:tab/>
          </w:r>
          <w:r>
            <w:t xml:space="preserve">111</w:t>
          </w:r>
        </w:p>
        <w:p>
          <w:pPr>
            <w:pStyle w:val="TOC3"/>
            <w:tabs>
              <w:tab w:val="right" w:leader="dot" w:pos="9072"/>
            </w:tabs>
          </w:pPr>
          <w:r>
            <w:t xml:space="preserve">Data Architecture for Deposits and Trade Finance</w:t>
          </w:r>
          <w:r>
            <w:tab/>
          </w:r>
          <w:r>
            <w:t xml:space="preserve">112</w:t>
          </w:r>
        </w:p>
        <w:p>
          <w:pPr>
            <w:pStyle w:val="TOC3"/>
            <w:tabs>
              <w:tab w:val="right" w:leader="dot" w:pos="9072"/>
            </w:tabs>
          </w:pPr>
          <w:r>
            <w:t xml:space="preserve">Detailed Compliance Module Behavior</w:t>
          </w:r>
          <w:r>
            <w:tab/>
          </w:r>
          <w:r>
            <w:t xml:space="preserve">113</w:t>
          </w:r>
        </w:p>
        <w:p>
          <w:pPr>
            <w:pStyle w:val="TOC3"/>
            <w:tabs>
              <w:tab w:val="right" w:leader="dot" w:pos="9072"/>
            </w:tabs>
          </w:pPr>
          <w:r>
            <w:t xml:space="preserve">Multi-Jurisdiction Considerations for UAE</w:t>
          </w:r>
          <w:r>
            <w:tab/>
          </w:r>
          <w:r>
            <w:t xml:space="preserve">114</w:t>
          </w:r>
        </w:p>
        <w:p>
          <w:pPr>
            <w:pStyle w:val="TOC3"/>
            <w:tabs>
              <w:tab w:val="right" w:leader="dot" w:pos="9072"/>
            </w:tabs>
          </w:pPr>
          <w:r>
            <w:t xml:space="preserve">API Surface Detail</w:t>
          </w:r>
          <w:r>
            <w:tab/>
          </w:r>
          <w:r>
            <w:t xml:space="preserve">115</w:t>
          </w:r>
        </w:p>
        <w:p>
          <w:pPr>
            <w:pStyle w:val="TOC3"/>
            <w:tabs>
              <w:tab w:val="right" w:leader="dot" w:pos="9072"/>
            </w:tabs>
          </w:pPr>
          <w:r>
            <w:t xml:space="preserve">Detailed Implementation Phase Activities</w:t>
          </w:r>
          <w:r>
            <w:tab/>
          </w:r>
          <w:r>
            <w:t xml:space="preserve">116</w:t>
          </w:r>
        </w:p>
        <w:p>
          <w:pPr>
            <w:pStyle w:val="TOC2"/>
            <w:tabs>
              <w:tab w:val="right" w:leader="dot" w:pos="9072"/>
            </w:tabs>
          </w:pPr>
          <w:r>
            <w:t xml:space="preserve">Appendices</w:t>
          </w:r>
          <w:r>
            <w:tab/>
          </w:r>
          <w:r>
            <w:t xml:space="preserve">117</w:t>
          </w:r>
        </w:p>
        <w:p>
          <w:pPr>
            <w:pStyle w:val="TOC3"/>
            <w:tabs>
              <w:tab w:val="right" w:leader="dot" w:pos="9072"/>
            </w:tabs>
          </w:pPr>
          <w:r>
            <w:t xml:space="preserve">Wallet Verification and Step-Up Authentication</w:t>
          </w:r>
          <w:r>
            <w:tab/>
          </w:r>
          <w:r>
            <w:t xml:space="preserve">118</w:t>
          </w:r>
        </w:p>
        <w:p>
          <w:pPr>
            <w:pStyle w:val="TOC3"/>
            <w:tabs>
              <w:tab w:val="right" w:leader="dot" w:pos="9072"/>
            </w:tabs>
          </w:pPr>
          <w:r>
            <w:t xml:space="preserve">On-Chain Access Control Deep Dive</w:t>
          </w:r>
          <w:r>
            <w:tab/>
          </w:r>
          <w:r>
            <w:t xml:space="preserve">119</w:t>
          </w:r>
        </w:p>
        <w:p>
          <w:pPr>
            <w:pStyle w:val="TOC3"/>
            <w:tabs>
              <w:tab w:val="right" w:leader="dot" w:pos="9072"/>
            </w:tabs>
          </w:pPr>
          <w:r>
            <w:t xml:space="preserve">Deposit Servicing Detailed Workflows</w:t>
          </w:r>
          <w:r>
            <w:tab/>
          </w:r>
          <w:r>
            <w:t xml:space="preserve">120</w:t>
          </w:r>
        </w:p>
        <w:p>
          <w:pPr>
            <w:pStyle w:val="TOC3"/>
            <w:tabs>
              <w:tab w:val="right" w:leader="dot" w:pos="9072"/>
            </w:tabs>
          </w:pPr>
          <w:r>
            <w:t xml:space="preserve">Trade Finance Workflow Orchestration Deep Dive</w:t>
          </w:r>
          <w:r>
            <w:tab/>
          </w:r>
          <w:r>
            <w:t xml:space="preserve">121</w:t>
          </w:r>
        </w:p>
        <w:p>
          <w:pPr>
            <w:pStyle w:val="TOC3"/>
            <w:tabs>
              <w:tab w:val="right" w:leader="dot" w:pos="9072"/>
            </w:tabs>
          </w:pPr>
          <w:r>
            <w:t xml:space="preserve">Appendix: Detailed Deployment Architecture</w:t>
          </w:r>
          <w:r>
            <w:tab/>
          </w:r>
          <w:r>
            <w:t xml:space="preserve">122</w:t>
          </w:r>
        </w:p>
        <w:p>
          <w:pPr>
            <w:pStyle w:val="TOC4"/>
            <w:tabs>
              <w:tab w:val="right" w:leader="dot" w:pos="9072"/>
            </w:tabs>
          </w:pPr>
          <w:r>
            <w:t xml:space="preserve">Infrastructure Topology for Emirates NBD</w:t>
          </w:r>
          <w:r>
            <w:tab/>
          </w:r>
          <w:r>
            <w:t xml:space="preserve">123</w:t>
          </w:r>
        </w:p>
        <w:p>
          <w:pPr>
            <w:pStyle w:val="TOC4"/>
            <w:tabs>
              <w:tab w:val="right" w:leader="dot" w:pos="9072"/>
            </w:tabs>
          </w:pPr>
          <w:r>
            <w:t xml:space="preserve">Disaster Recovery Architecture</w:t>
          </w:r>
          <w:r>
            <w:tab/>
          </w:r>
          <w:r>
            <w:t xml:space="preserve">124</w:t>
          </w:r>
        </w:p>
        <w:p>
          <w:pPr>
            <w:pStyle w:val="TOC4"/>
            <w:tabs>
              <w:tab w:val="right" w:leader="dot" w:pos="9072"/>
            </w:tabs>
          </w:pPr>
          <w:r>
            <w:t xml:space="preserve">Capacity Planning</w:t>
          </w:r>
          <w:r>
            <w:tab/>
          </w:r>
          <w:r>
            <w:t xml:space="preserve">125</w:t>
          </w:r>
        </w:p>
        <w:p>
          <w:pPr>
            <w:pStyle w:val="TOC3"/>
            <w:tabs>
              <w:tab w:val="right" w:leader="dot" w:pos="9072"/>
            </w:tabs>
          </w:pPr>
          <w:r>
            <w:t xml:space="preserve">Appendix: Detailed Training Programme</w:t>
          </w:r>
          <w:r>
            <w:tab/>
          </w:r>
          <w:r>
            <w:t xml:space="preserve">126</w:t>
          </w:r>
        </w:p>
        <w:p>
          <w:pPr>
            <w:pStyle w:val="TOC4"/>
            <w:tabs>
              <w:tab w:val="right" w:leader="dot" w:pos="9072"/>
            </w:tabs>
          </w:pPr>
          <w:r>
            <w:t xml:space="preserve">Administrator Track (3 Days)</w:t>
          </w:r>
          <w:r>
            <w:tab/>
          </w:r>
          <w:r>
            <w:t xml:space="preserve">127</w:t>
          </w:r>
        </w:p>
        <w:p>
          <w:pPr>
            <w:pStyle w:val="TOC4"/>
            <w:tabs>
              <w:tab w:val="right" w:leader="dot" w:pos="9072"/>
            </w:tabs>
          </w:pPr>
          <w:r>
            <w:t xml:space="preserve">Developer / Integration Track (3 Days)</w:t>
          </w:r>
          <w:r>
            <w:tab/>
          </w:r>
          <w:r>
            <w:t xml:space="preserve">128</w:t>
          </w:r>
        </w:p>
        <w:p>
          <w:pPr>
            <w:pStyle w:val="TOC4"/>
            <w:tabs>
              <w:tab w:val="right" w:leader="dot" w:pos="9072"/>
            </w:tabs>
          </w:pPr>
          <w:r>
            <w:t xml:space="preserve">Operations Track (2 Days)</w:t>
          </w:r>
          <w:r>
            <w:tab/>
          </w:r>
          <w:r>
            <w:t xml:space="preserve">129</w:t>
          </w:r>
        </w:p>
        <w:p>
          <w:pPr>
            <w:pStyle w:val="TOC4"/>
            <w:tabs>
              <w:tab w:val="right" w:leader="dot" w:pos="9072"/>
            </w:tabs>
          </w:pPr>
          <w:r>
            <w:t xml:space="preserve">Knowledge Transfer Outcomes</w:t>
          </w:r>
          <w:r>
            <w:tab/>
          </w:r>
          <w:r>
            <w:t xml:space="preserve">130</w:t>
          </w:r>
        </w:p>
        <w:p>
          <w:pPr>
            <w:pStyle w:val="TOC3"/>
            <w:tabs>
              <w:tab w:val="right" w:leader="dot" w:pos="9072"/>
            </w:tabs>
          </w:pPr>
          <w:r>
            <w:t xml:space="preserve">Appendix: Extended Risk Analysis</w:t>
          </w:r>
          <w:r>
            <w:tab/>
          </w:r>
          <w:r>
            <w:t xml:space="preserve">131</w:t>
          </w:r>
        </w:p>
        <w:p>
          <w:pPr>
            <w:pStyle w:val="TOC4"/>
            <w:tabs>
              <w:tab w:val="right" w:leader="dot" w:pos="9072"/>
            </w:tabs>
          </w:pPr>
          <w:r>
            <w:t xml:space="preserve">Risk Assessment Methodology</w:t>
          </w:r>
          <w:r>
            <w:tab/>
          </w:r>
          <w:r>
            <w:t xml:space="preserve">132</w:t>
          </w:r>
        </w:p>
        <w:p>
          <w:pPr>
            <w:pStyle w:val="TOC4"/>
            <w:tabs>
              <w:tab w:val="right" w:leader="dot" w:pos="9072"/>
            </w:tabs>
          </w:pPr>
          <w:r>
            <w:t xml:space="preserve">Extended Risk Register</w:t>
          </w:r>
          <w:r>
            <w:tab/>
          </w:r>
          <w:r>
            <w:t xml:space="preserve">133</w:t>
          </w:r>
        </w:p>
        <w:p>
          <w:pPr>
            <w:pStyle w:val="TOC4"/>
            <w:tabs>
              <w:tab w:val="right" w:leader="dot" w:pos="9072"/>
            </w:tabs>
          </w:pPr>
          <w:r>
            <w:t xml:space="preserve">Risk Monitoring and Governance</w:t>
          </w:r>
          <w:r>
            <w:tab/>
          </w:r>
          <w:r>
            <w:t xml:space="preserve">134</w:t>
          </w:r>
        </w:p>
        <w:p>
          <w:pPr>
            <w:pStyle w:val="TOC3"/>
            <w:tabs>
              <w:tab w:val="right" w:leader="dot" w:pos="9072"/>
            </w:tabs>
          </w:pPr>
          <w:r>
            <w:t xml:space="preserve">Appendix: Competitive Positioning</w:t>
          </w:r>
          <w:r>
            <w:tab/>
          </w:r>
          <w:r>
            <w:t xml:space="preserve">135</w:t>
          </w:r>
        </w:p>
        <w:p>
          <w:pPr>
            <w:pStyle w:val="TOC3"/>
            <w:tabs>
              <w:tab w:val="right" w:leader="dot" w:pos="9072"/>
            </w:tabs>
          </w:pPr>
          <w:r>
            <w:t xml:space="preserve">Appendix A: Glossary</w:t>
          </w:r>
          <w:r>
            <w:tab/>
          </w:r>
          <w:r>
            <w:t xml:space="preserve">136</w:t>
          </w:r>
        </w:p>
        <w:p>
          <w:pPr>
            <w:pStyle w:val="TOC3"/>
            <w:tabs>
              <w:tab w:val="right" w:leader="dot" w:pos="9072"/>
            </w:tabs>
          </w:pPr>
          <w:r>
            <w:t xml:space="preserve">Appendix B: Support Tier Comparison</w:t>
          </w:r>
          <w:r>
            <w:tab/>
          </w:r>
          <w:r>
            <w:t xml:space="preserve">137</w:t>
          </w:r>
        </w:p>
        <w:p>
          <w:pPr>
            <w:pStyle w:val="TOC3"/>
            <w:tabs>
              <w:tab w:val="right" w:leader="dot" w:pos="9072"/>
            </w:tabs>
          </w:pPr>
          <w:r>
            <w:t xml:space="preserve">Appendix C: Reconciliation Architecture</w:t>
          </w:r>
          <w:r>
            <w:tab/>
          </w:r>
          <w:r>
            <w:t xml:space="preserve">138</w:t>
          </w:r>
        </w:p>
        <w:p>
          <w:pPr>
            <w:pStyle w:val="TOC3"/>
            <w:tabs>
              <w:tab w:val="right" w:leader="dot" w:pos="9072"/>
            </w:tabs>
          </w:pPr>
          <w:r>
            <w:t xml:space="preserve">Appendix D: Performance Benchmarks</w:t>
          </w:r>
          <w:r>
            <w:tab/>
          </w:r>
          <w:r>
            <w:t xml:space="preserve">139</w:t>
          </w:r>
        </w:p>
        <w:p>
          <w:pPr>
            <w:pStyle w:val="TOC3"/>
            <w:tabs>
              <w:tab w:val="right" w:leader="dot" w:pos="9072"/>
            </w:tabs>
          </w:pPr>
          <w:r>
            <w:t xml:space="preserve">Appendix E: Standards Compliance Reference</w:t>
          </w:r>
          <w:r>
            <w:tab/>
          </w:r>
          <w:r>
            <w:t xml:space="preserve">140</w:t>
          </w:r>
        </w:p>
        <w:p>
          <w:pPr>
            <w:pStyle w:val="TOC3"/>
            <w:tabs>
              <w:tab w:val="right" w:leader="dot" w:pos="9072"/>
            </w:tabs>
          </w:pPr>
          <w:r>
            <w:t xml:space="preserve">Appendix F: Document Map</w:t>
          </w:r>
          <w:r>
            <w:tab/>
          </w:r>
          <w:r>
            <w:t xml:space="preserve">141</w:t>
          </w:r>
        </w:p>
        <w:p>
          <w:pPr>
            <w:pStyle w:val="TOC3"/>
            <w:tabs>
              <w:tab w:val="right" w:leader="dot" w:pos="9072"/>
            </w:tabs>
          </w:pPr>
          <w:r>
            <w:t xml:space="preserve">Appendix C: Certification Summary</w:t>
          </w:r>
          <w:r>
            <w:tab/>
          </w:r>
          <w:r>
            <w:t xml:space="preserve">142</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07"/>
        <w:gridCol w:w="706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Technical Proposal — Tokenized Deposits and Trade Finance Liquidity Rails</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Emirates NBD</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EMIRATES-NBD-RFP-TOKENIZED-DEPOSITS-TRADE-FINANCE-202603</w:t>
            </w:r>
          </w:p>
        </w:tc>
      </w:tr>
      <w:tr>
        <w:trPr>
          <w:trHeight w:val="425" w:hRule="atLeast"/>
        </w:trPr>
        <w:tc>
          <w:tcPr>
            <w:tcW w:type="dxa" w:w="4873"/>
            <w:vAlign w:val="center"/>
          </w:tcPr>
          <w:p>
            <w:pPr>
              <w:spacing w:line="276" w:lineRule="auto" w:before="0" w:after="0"/>
            </w:pPr>
            <w:r/>
            <w:r>
              <w:rPr>
                <w:rFonts w:ascii="Figtree" w:hAnsi="Figtree"/>
                <w:b w:val="0"/>
                <w:i w:val="0"/>
                <w:sz w:val="20"/>
              </w:rPr>
              <w:t>Primary contact</w:t>
            </w:r>
          </w:p>
        </w:tc>
        <w:tc>
          <w:tcPr>
            <w:tcW w:type="dxa" w:w="4873"/>
            <w:vAlign w:val="center"/>
          </w:tcPr>
          <w:p>
            <w:pPr>
              <w:spacing w:line="276" w:lineRule="auto" w:before="0" w:after="0"/>
            </w:pPr>
            <w:r/>
            <w:r>
              <w:rPr>
                <w:rFonts w:ascii="Figtree" w:hAnsi="Figtree"/>
                <w:b w:val="0"/>
                <w:i w:val="0"/>
                <w:sz w:val="20"/>
              </w:rPr>
              <w:t>Adam Popat, CEO</w:t>
            </w:r>
          </w:p>
        </w:tc>
      </w:tr>
    </w:tbl>
    <w:p>
      <w:pPr>
        <w:spacing w:before="0" w:after="0" w:line="120" w:lineRule="exact"/>
      </w:pPr>
    </w:p>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About SettleMint</w:t>
      </w:r>
    </w:p>
    <w:p>
      <w:pPr>
        <w:pStyle w:val="ListParagraph"/>
        <w:numPr>
          <w:ilvl w:val="0"/>
          <w:numId w:val="4"/>
        </w:numPr>
      </w:pPr>
      <w:r>
        <w:rPr>
          <w:rFonts w:ascii="Figtree" w:hAnsi="Figtree"/>
          <w:b w:val="0"/>
          <w:i w:val="0"/>
          <w:sz w:val="22"/>
        </w:rPr>
        <w:t>About DALP</w:t>
      </w:r>
    </w:p>
    <w:p>
      <w:pPr>
        <w:pStyle w:val="ListParagraph"/>
        <w:numPr>
          <w:ilvl w:val="0"/>
          <w:numId w:val="4"/>
        </w:numPr>
      </w:pPr>
      <w:r>
        <w:rPr>
          <w:rFonts w:ascii="Figtree" w:hAnsi="Figtree"/>
          <w:b w:val="0"/>
          <w:i w:val="0"/>
          <w:sz w:val="22"/>
        </w:rPr>
        <w:t>Understanding Emirates NBD's Programme Objectives</w:t>
      </w:r>
    </w:p>
    <w:p>
      <w:pPr>
        <w:pStyle w:val="ListParagraph"/>
        <w:numPr>
          <w:ilvl w:val="0"/>
          <w:numId w:val="4"/>
        </w:numPr>
      </w:pPr>
      <w:r>
        <w:rPr>
          <w:rFonts w:ascii="Figtree" w:hAnsi="Figtree"/>
          <w:b w:val="0"/>
          <w:i w:val="0"/>
          <w:sz w:val="22"/>
        </w:rPr>
        <w:t>Customer References</w:t>
      </w:r>
    </w:p>
    <w:p>
      <w:pPr>
        <w:pStyle w:val="ListParagraph"/>
        <w:numPr>
          <w:ilvl w:val="0"/>
          <w:numId w:val="4"/>
        </w:numPr>
      </w:pPr>
      <w:r>
        <w:rPr>
          <w:rFonts w:ascii="Figtree" w:hAnsi="Figtree"/>
          <w:b w:val="0"/>
          <w:i w:val="0"/>
          <w:sz w:val="22"/>
        </w:rPr>
        <w:t>Proposed Solution and Functional Capabilities</w:t>
      </w:r>
    </w:p>
    <w:p>
      <w:pPr>
        <w:pStyle w:val="ListParagraph"/>
        <w:numPr>
          <w:ilvl w:val="0"/>
          <w:numId w:val="4"/>
        </w:numPr>
      </w:pPr>
      <w:r>
        <w:rPr>
          <w:rFonts w:ascii="Figtree" w:hAnsi="Figtree"/>
          <w:b w:val="0"/>
          <w:i w:val="0"/>
          <w:sz w:val="22"/>
        </w:rPr>
        <w:t>Technical Architecture</w:t>
      </w:r>
    </w:p>
    <w:p>
      <w:pPr>
        <w:pStyle w:val="ListParagraph"/>
        <w:numPr>
          <w:ilvl w:val="0"/>
          <w:numId w:val="4"/>
        </w:numPr>
      </w:pPr>
      <w:r>
        <w:rPr>
          <w:rFonts w:ascii="Figtree" w:hAnsi="Figtree"/>
          <w:b w:val="0"/>
          <w:i w:val="0"/>
          <w:sz w:val="22"/>
        </w:rPr>
        <w:t>Smart Contract Architecture for Deposits and Trade Finance</w:t>
      </w:r>
    </w:p>
    <w:p>
      <w:pPr>
        <w:pStyle w:val="ListParagraph"/>
        <w:numPr>
          <w:ilvl w:val="0"/>
          <w:numId w:val="4"/>
        </w:numPr>
      </w:pPr>
      <w:r>
        <w:rPr>
          <w:rFonts w:ascii="Figtree" w:hAnsi="Figtree"/>
          <w:b w:val="0"/>
          <w:i w:val="0"/>
          <w:sz w:val="22"/>
        </w:rPr>
        <w:t>Identity, Compliance, and Regulatory Controls</w:t>
      </w:r>
    </w:p>
    <w:p>
      <w:pPr>
        <w:pStyle w:val="ListParagraph"/>
        <w:numPr>
          <w:ilvl w:val="0"/>
          <w:numId w:val="4"/>
        </w:numPr>
      </w:pPr>
      <w:r>
        <w:rPr>
          <w:rFonts w:ascii="Figtree" w:hAnsi="Figtree"/>
          <w:b w:val="0"/>
          <w:i w:val="0"/>
          <w:sz w:val="22"/>
        </w:rPr>
        <w:t>Settlement, Servicing, and Lifecycle Management</w:t>
      </w:r>
    </w:p>
    <w:p>
      <w:pPr>
        <w:pStyle w:val="ListParagraph"/>
        <w:numPr>
          <w:ilvl w:val="0"/>
          <w:numId w:val="4"/>
        </w:numPr>
      </w:pPr>
      <w:r>
        <w:rPr>
          <w:rFonts w:ascii="Figtree" w:hAnsi="Figtree"/>
          <w:b w:val="0"/>
          <w:i w:val="0"/>
          <w:sz w:val="22"/>
        </w:rPr>
        <w:t>Integration Architecture</w:t>
      </w:r>
    </w:p>
    <w:p>
      <w:pPr>
        <w:pStyle w:val="ListParagraph"/>
        <w:numPr>
          <w:ilvl w:val="0"/>
          <w:numId w:val="4"/>
        </w:numPr>
      </w:pPr>
      <w:r>
        <w:rPr>
          <w:rFonts w:ascii="Figtree" w:hAnsi="Figtree"/>
          <w:b w:val="0"/>
          <w:i w:val="0"/>
          <w:sz w:val="22"/>
        </w:rPr>
        <w:t>Security, Resilience, and Operational Assurance</w:t>
      </w:r>
    </w:p>
    <w:p>
      <w:pPr>
        <w:pStyle w:val="ListParagraph"/>
        <w:numPr>
          <w:ilvl w:val="0"/>
          <w:numId w:val="4"/>
        </w:numPr>
      </w:pPr>
      <w:r>
        <w:rPr>
          <w:rFonts w:ascii="Figtree" w:hAnsi="Figtree"/>
          <w:b w:val="0"/>
          <w:i w:val="0"/>
          <w:sz w:val="22"/>
        </w:rPr>
        <w:t>Implementation Approach and Delivery Phases</w:t>
      </w:r>
    </w:p>
    <w:p>
      <w:pPr>
        <w:pStyle w:val="ListParagraph"/>
        <w:numPr>
          <w:ilvl w:val="0"/>
          <w:numId w:val="4"/>
        </w:numPr>
      </w:pPr>
      <w:r>
        <w:rPr>
          <w:rFonts w:ascii="Figtree" w:hAnsi="Figtree"/>
          <w:b w:val="0"/>
          <w:i w:val="0"/>
          <w:sz w:val="22"/>
        </w:rPr>
        <w:t>Deployment Model</w:t>
      </w:r>
    </w:p>
    <w:p>
      <w:pPr>
        <w:pStyle w:val="ListParagraph"/>
        <w:numPr>
          <w:ilvl w:val="0"/>
          <w:numId w:val="4"/>
        </w:numPr>
      </w:pPr>
      <w:r>
        <w:rPr>
          <w:rFonts w:ascii="Figtree" w:hAnsi="Figtree"/>
          <w:b w:val="0"/>
          <w:i w:val="0"/>
          <w:sz w:val="22"/>
        </w:rPr>
        <w:t>Training and Knowledge Transfer</w:t>
      </w:r>
    </w:p>
    <w:p>
      <w:pPr>
        <w:pStyle w:val="ListParagraph"/>
        <w:numPr>
          <w:ilvl w:val="0"/>
          <w:numId w:val="4"/>
        </w:numPr>
      </w:pPr>
      <w:r>
        <w:rPr>
          <w:rFonts w:ascii="Figtree" w:hAnsi="Figtree"/>
          <w:b w:val="0"/>
          <w:i w:val="0"/>
          <w:sz w:val="22"/>
        </w:rPr>
        <w:t>Support and SLA</w:t>
      </w:r>
    </w:p>
    <w:p>
      <w:pPr>
        <w:pStyle w:val="ListParagraph"/>
        <w:numPr>
          <w:ilvl w:val="0"/>
          <w:numId w:val="4"/>
        </w:numPr>
      </w:pPr>
      <w:r>
        <w:rPr>
          <w:rFonts w:ascii="Figtree" w:hAnsi="Figtree"/>
          <w:b w:val="0"/>
          <w:i w:val="0"/>
          <w:sz w:val="22"/>
        </w:rPr>
        <w:t>Risk Management</w:t>
      </w:r>
    </w:p>
    <w:p>
      <w:pPr>
        <w:pStyle w:val="ListParagraph"/>
        <w:numPr>
          <w:ilvl w:val="0"/>
          <w:numId w:val="4"/>
        </w:numPr>
      </w:pPr>
      <w:r>
        <w:rPr>
          <w:rFonts w:ascii="Figtree" w:hAnsi="Figtree"/>
          <w:b w:val="0"/>
          <w:i w:val="0"/>
          <w:sz w:val="22"/>
        </w:rPr>
        <w:t>Current Coverage, Dependencies, and Qualified Gaps</w:t>
      </w:r>
    </w:p>
    <w:p>
      <w:pPr>
        <w:pStyle w:val="ListParagraph"/>
        <w:numPr>
          <w:ilvl w:val="0"/>
          <w:numId w:val="4"/>
        </w:numPr>
      </w:pPr>
      <w:r>
        <w:rPr>
          <w:rFonts w:ascii="Figtree" w:hAnsi="Figtree"/>
          <w:b w:val="0"/>
          <w:i w:val="0"/>
          <w:sz w:val="22"/>
        </w:rPr>
        <w:t>Compliance Matrix</w:t>
      </w:r>
    </w:p>
    <w:p>
      <w:pPr>
        <w:pStyle w:val="ListParagraph"/>
        <w:numPr>
          <w:ilvl w:val="0"/>
          <w:numId w:val="4"/>
        </w:numPr>
      </w:pPr>
      <w:r>
        <w:rPr>
          <w:rFonts w:ascii="Figtree" w:hAnsi="Figtree"/>
          <w:b w:val="0"/>
          <w:i w:val="0"/>
          <w:sz w:val="22"/>
        </w:rPr>
        <w:t>Appendices</w:t>
      </w:r>
    </w:p>
    <w:p>
      <w:r>
        <w:br w:type="page"/>
      </w:r>
    </w:p>
    <w:p>
      <w:pPr>
        <w:pStyle w:val="H2"/>
        <w:numPr>
          <w:ilvl w:val="1"/>
          <w:numId w:val="1"/>
        </w:numPr>
      </w:pPr>
      <w:r>
        <w:t>Executive Summary</w:t>
      </w:r>
    </w:p>
    <w:p>
      <w:r>
        <w:rPr>
          <w:rFonts w:ascii="Figtree" w:hAnsi="Figtree"/>
          <w:b w:val="0"/>
          <w:i w:val="0"/>
          <w:sz w:val="22"/>
        </w:rPr>
        <w:t>Emirates NBD has identified tokenized deposits and trade finance liquidity rails as a business-critical capability requiring production-grade discipline — not innovation theater, but a platform and implementation model that operates within the bank's control environment, integrates with existing enterprise systems, and sustains growth in volumes, products, and regulatory scrutiny without fundamental rework.</w:t>
      </w:r>
    </w:p>
    <w:p>
      <w:r>
        <w:rPr>
          <w:rFonts w:ascii="Figtree" w:hAnsi="Figtree"/>
          <w:b w:val="0"/>
          <w:i w:val="0"/>
          <w:sz w:val="22"/>
        </w:rPr>
        <w:t>SettleMint's Digital Asset Lifecycle Platform (DALP) addresses this requirement directly. DALP provides production-ready infrastructure for designing, issuing, servicing, and retiring tokenized financial instruments with compliance enforcement, identity verification, and governance controls embedded at the smart contract level rather than bolted on as application-layer overlays.</w:t>
      </w:r>
    </w:p>
    <w:p>
      <w:r>
        <w:rPr>
          <w:rFonts w:ascii="Figtree" w:hAnsi="Figtree"/>
          <w:b/>
          <w:i w:val="0"/>
          <w:sz w:val="22"/>
        </w:rPr>
        <w:t>Why DALP fits Emirates NBD's requirements:</w:t>
      </w:r>
    </w:p>
    <w:p>
      <w:pPr>
        <w:pStyle w:val="ListParagraph"/>
        <w:numPr>
          <w:ilvl w:val="0"/>
          <w:numId w:val="4"/>
        </w:numPr>
      </w:pPr>
      <w:r>
        <w:rPr>
          <w:rFonts w:ascii="Figtree" w:hAnsi="Figtree"/>
          <w:b/>
          <w:i w:val="0"/>
          <w:sz w:val="22"/>
        </w:rPr>
        <w:t>Production-proven tokenized deposits.</w:t>
      </w:r>
      <w:r>
        <w:rPr>
          <w:rFonts w:ascii="Figtree" w:hAnsi="Figtree"/>
          <w:b w:val="0"/>
          <w:i w:val="0"/>
          <w:sz w:val="22"/>
        </w:rPr>
        <w:t xml:space="preserve"> DALP's configurable token architecture supports tokenized bank deposits as a native asset class, with denomination linking, atomic delivery-versus-payment settlement, and full lifecycle servicing — coupon distribution, maturity redemption, corporate actions — through platform configuration rather than custom smart contract development. The compliance engine enforces eligibility checks, investor accreditation, and transfer restrictions at the contract level, ensuring that deposit and trade finance governance rules travel with the token throughout its lifecycle.</w:t>
      </w:r>
    </w:p>
    <w:p>
      <w:pPr>
        <w:pStyle w:val="ListParagraph"/>
        <w:numPr>
          <w:ilvl w:val="0"/>
          <w:numId w:val="4"/>
        </w:numPr>
      </w:pPr>
      <w:r>
        <w:rPr>
          <w:rFonts w:ascii="Figtree" w:hAnsi="Figtree"/>
          <w:b/>
          <w:i w:val="0"/>
          <w:sz w:val="22"/>
        </w:rPr>
        <w:t>Institutional-scale production track record.</w:t>
      </w:r>
      <w:r>
        <w:rPr>
          <w:rFonts w:ascii="Figtree" w:hAnsi="Figtree"/>
          <w:b w:val="0"/>
          <w:i w:val="0"/>
          <w:sz w:val="22"/>
        </w:rPr>
        <w:t xml:space="preserve"> DALP processes digital assets across production deployments with regulated institutions including Standard Chartered Bank (Digital Virtual Exchange across Asia, Africa, and the Middle East), Commerzbank (exchange-traded products on Boerse Stuttgart with median settlement latency of 2.3 seconds and P99 at 4.1 seconds), OCBC Bank (security token engine for securitization), State Bank of India (CBDC infrastructure), and the Islamic Development Bank (subsidy distribution across 57 member countries). These are not pilot exercises — they are production systems processing real assets on real balance sheets.</w:t>
      </w:r>
    </w:p>
    <w:p>
      <w:pPr>
        <w:pStyle w:val="ListParagraph"/>
        <w:numPr>
          <w:ilvl w:val="0"/>
          <w:numId w:val="4"/>
        </w:numPr>
      </w:pPr>
      <w:r>
        <w:rPr>
          <w:rFonts w:ascii="Figtree" w:hAnsi="Figtree"/>
          <w:b/>
          <w:i w:val="0"/>
          <w:sz w:val="22"/>
        </w:rPr>
        <w:t>Enterprise integration, not isolation.</w:t>
      </w:r>
      <w:r>
        <w:rPr>
          <w:rFonts w:ascii="Figtree" w:hAnsi="Figtree"/>
          <w:b w:val="0"/>
          <w:i w:val="0"/>
          <w:sz w:val="22"/>
        </w:rPr>
        <w:t xml:space="preserve"> DALP connects to identity services, core banking ledgers, sanctions and AML tooling, SWIFT messaging infrastructure, trade finance document management systems, reporting environments, and observability stacks through a comprehensive API surface (REST API v2 with OpenAPI 3.1, GraphQL via subgraph, event webhooks, TypeScript SDK, CLI with 301 commands across 26 command groups). The platform does not create an isolated digital-asset island — it sits inside Emirates NBD's institutional plumbing with defined integration boundaries and reconciliation points.</w:t>
      </w:r>
    </w:p>
    <w:p>
      <w:pPr>
        <w:pStyle w:val="ListParagraph"/>
        <w:numPr>
          <w:ilvl w:val="0"/>
          <w:numId w:val="4"/>
        </w:numPr>
      </w:pPr>
      <w:r>
        <w:rPr>
          <w:rFonts w:ascii="Figtree" w:hAnsi="Figtree"/>
          <w:b/>
          <w:i w:val="0"/>
          <w:sz w:val="22"/>
        </w:rPr>
        <w:t>Control integrity from day one.</w:t>
      </w:r>
      <w:r>
        <w:rPr>
          <w:rFonts w:ascii="Figtree" w:hAnsi="Figtree"/>
          <w:b w:val="0"/>
          <w:i w:val="0"/>
          <w:sz w:val="22"/>
        </w:rPr>
        <w:t xml:space="preserve"> Every operation — issuance, transfer, trade milestone, distribution — produces a complete audit trail with initiator identity, policy checks applied, approval chain, and resulting state. Role-based access control with maker-checker workflows, segregation of duties, and multi-signature governance are native to the platform. Emirates NBD's compliance officers, operations teams, and internal audit can reconstruct any state at any point.</w:t>
      </w:r>
    </w:p>
    <w:p>
      <w:pPr>
        <w:pStyle w:val="ListParagraph"/>
        <w:numPr>
          <w:ilvl w:val="0"/>
          <w:numId w:val="4"/>
        </w:numPr>
      </w:pPr>
      <w:r>
        <w:rPr>
          <w:rFonts w:ascii="Figtree" w:hAnsi="Figtree"/>
          <w:b/>
          <w:i w:val="0"/>
          <w:sz w:val="22"/>
        </w:rPr>
        <w:t>Trade finance workflow orchestration.</w:t>
      </w:r>
      <w:r>
        <w:rPr>
          <w:rFonts w:ascii="Figtree" w:hAnsi="Figtree"/>
          <w:b w:val="0"/>
          <w:i w:val="0"/>
          <w:sz w:val="22"/>
        </w:rPr>
        <w:t xml:space="preserve"> DALP's durable execution engine handles multi-step trade finance workflows — document presentation, milestone verification, counterparty approvals, limit checks, and liquidity release — with deterministic completion guarantees. Each workflow step produces auditable evidence, and failure at any point triggers defined recovery paths rather than silent data loss.</w:t>
      </w:r>
    </w:p>
    <w:p>
      <w:r>
        <w:rPr>
          <w:rFonts w:ascii="Figtree" w:hAnsi="Figtree"/>
          <w:b w:val="0"/>
          <w:i w:val="0"/>
          <w:sz w:val="22"/>
        </w:rPr>
        <w:t>The proposed implementation follows SettleMint's phase-gated methodology: 19 weeks from kickoff to hypercare completion, with five delivery phases, formal gate reviews, and clearly defined client responsibilities at each stage. The first production asset class — tokenized deposits — can be live within 13 weeks of kickoff, with trade finance liquidity rails following in a subsequent configuration cycle.</w:t>
      </w:r>
    </w:p>
    <w:p>
      <w:r>
        <w:rPr>
          <w:rFonts w:ascii="Figtree" w:hAnsi="Figtree"/>
          <w:b w:val="0"/>
          <w:i w:val="0"/>
          <w:sz w:val="22"/>
        </w:rPr>
        <w:t>This proposal responds to every requirement in the RFP with explicit status, evidence references, and honest qualification of gaps. Where a capability is partial or planned, the gap, mitigation, and timeline are stated directly. SettleMint's position is that operational honesty earns more trust than an over-optimistic response — and we believe Emirates NBD's evaluation team shares that view.</w:t>
      </w:r>
    </w:p>
    <w:p>
      <w:pPr>
        <w:jc w:val="center"/>
      </w:pPr>
      <w:r>
        <w:drawing>
          <wp:inline xmlns:a="http://schemas.openxmlformats.org/drawingml/2006/main" xmlns:pic="http://schemas.openxmlformats.org/drawingml/2006/picture">
            <wp:extent cx="5486400" cy="1854459"/>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1854459"/>
                    </a:xfrm>
                    <a:prstGeom prst="rect"/>
                  </pic:spPr>
                </pic:pic>
              </a:graphicData>
            </a:graphic>
          </wp:inline>
        </w:drawing>
      </w:r>
    </w:p>
    <w:p>
      <w:r>
        <w:br w:type="page"/>
      </w:r>
    </w:p>
    <w:p>
      <w:pPr>
        <w:pStyle w:val="H2"/>
        <w:numPr>
          <w:ilvl w:val="1"/>
          <w:numId w:val="1"/>
        </w:numPr>
      </w:pPr>
      <w:r>
        <w:t>About SettleMint</w:t>
      </w:r>
    </w:p>
    <w:p>
      <w:pPr>
        <w:pStyle w:val="H3"/>
        <w:numPr>
          <w:ilvl w:val="2"/>
          <w:numId w:val="1"/>
        </w:numPr>
      </w:pPr>
      <w:r>
        <w:t>Company Overview</w:t>
      </w:r>
    </w:p>
    <w:p>
      <w:r>
        <w:rPr>
          <w:rFonts w:ascii="Figtree" w:hAnsi="Figtree"/>
          <w:b w:val="0"/>
          <w:i w:val="0"/>
          <w:sz w:val="22"/>
        </w:rPr>
        <w:t>SettleMint is the production-grade digital asset lifecycle management company for regulated financial markets and sovereign use cases. Founded in 2016 and headquartered in Leuven, Belgium, SettleMint provides the governance and orchestration layer between existing core financial systems and multiple blockchain networks, delivering the infrastructure required to build, deploy, and operate compliant digital asset solutions in production.</w:t>
      </w:r>
    </w:p>
    <w:p>
      <w:r>
        <w:rPr>
          <w:rFonts w:ascii="Figtree" w:hAnsi="Figtree"/>
          <w:b w:val="0"/>
          <w:i w:val="0"/>
          <w:sz w:val="22"/>
        </w:rPr>
        <w:t>SettleMint's mission is to bridge the gap between digital asset ambitions and production-grade execution — enabling financial institutions, market infrastructure providers, and sovereign entities to move real-world value on-chain with a compliant, secure, production-grade platform.</w:t>
      </w:r>
    </w:p>
    <w:p>
      <w:pPr>
        <w:pStyle w:val="H3"/>
        <w:numPr>
          <w:ilvl w:val="2"/>
          <w:numId w:val="1"/>
        </w:numPr>
      </w:pPr>
      <w:r>
        <w:t>History and Market Position</w:t>
      </w:r>
    </w:p>
    <w:p>
      <w:r>
        <w:rPr>
          <w:rFonts w:ascii="Figtree" w:hAnsi="Figtree"/>
          <w:b w:val="0"/>
          <w:i w:val="0"/>
          <w:sz w:val="22"/>
        </w:rPr>
        <w:t>SettleMint has been building enterprise blockchain infrastructure since 2016, with 10 years of continuous operation and 7+ years of continuous production deployments at regulated banks in Asia and Europe. Key milestones include:</w:t>
      </w:r>
    </w:p>
    <w:p>
      <w:pPr>
        <w:pStyle w:val="ListParagraph"/>
        <w:numPr>
          <w:ilvl w:val="0"/>
          <w:numId w:val="4"/>
        </w:numPr>
      </w:pPr>
      <w:r>
        <w:rPr>
          <w:rFonts w:ascii="Figtree" w:hAnsi="Figtree"/>
          <w:b/>
          <w:i w:val="0"/>
          <w:sz w:val="22"/>
        </w:rPr>
        <w:t>2016:</w:t>
      </w:r>
      <w:r>
        <w:rPr>
          <w:rFonts w:ascii="Figtree" w:hAnsi="Figtree"/>
          <w:b w:val="0"/>
          <w:i w:val="0"/>
          <w:sz w:val="22"/>
        </w:rPr>
        <w:t xml:space="preserve"> Founded in Leuven, Belgium, with a focus on enterprise blockchain infrastructure</w:t>
      </w:r>
    </w:p>
    <w:p>
      <w:pPr>
        <w:pStyle w:val="ListParagraph"/>
        <w:numPr>
          <w:ilvl w:val="0"/>
          <w:numId w:val="4"/>
        </w:numPr>
      </w:pPr>
      <w:r>
        <w:rPr>
          <w:rFonts w:ascii="Figtree" w:hAnsi="Figtree"/>
          <w:b/>
          <w:i w:val="0"/>
          <w:sz w:val="22"/>
        </w:rPr>
        <w:t>Early production deployments:</w:t>
      </w:r>
      <w:r>
        <w:rPr>
          <w:rFonts w:ascii="Figtree" w:hAnsi="Figtree"/>
          <w:b w:val="0"/>
          <w:i w:val="0"/>
          <w:sz w:val="22"/>
        </w:rPr>
        <w:t xml:space="preserve"> First customer programs with tier-1 and tier-2 financial institutions</w:t>
      </w:r>
    </w:p>
    <w:p>
      <w:pPr>
        <w:pStyle w:val="ListParagraph"/>
        <w:numPr>
          <w:ilvl w:val="0"/>
          <w:numId w:val="4"/>
        </w:numPr>
      </w:pPr>
      <w:r>
        <w:rPr>
          <w:rFonts w:ascii="Figtree" w:hAnsi="Figtree"/>
          <w:b/>
          <w:i w:val="0"/>
          <w:sz w:val="22"/>
        </w:rPr>
        <w:t>Platform evolution:</w:t>
      </w:r>
      <w:r>
        <w:rPr>
          <w:rFonts w:ascii="Figtree" w:hAnsi="Figtree"/>
          <w:b w:val="0"/>
          <w:i w:val="0"/>
          <w:sz w:val="22"/>
        </w:rPr>
        <w:t xml:space="preserve"> Development of DALP (Digital Asset Lifecycle Platform), consolidating years of production experience</w:t>
      </w:r>
    </w:p>
    <w:p>
      <w:pPr>
        <w:pStyle w:val="ListParagraph"/>
        <w:numPr>
          <w:ilvl w:val="0"/>
          <w:numId w:val="4"/>
        </w:numPr>
      </w:pPr>
      <w:r>
        <w:rPr>
          <w:rFonts w:ascii="Figtree" w:hAnsi="Figtree"/>
          <w:b/>
          <w:i w:val="0"/>
          <w:sz w:val="22"/>
        </w:rPr>
        <w:t>Geographic expansion:</w:t>
      </w:r>
      <w:r>
        <w:rPr>
          <w:rFonts w:ascii="Figtree" w:hAnsi="Figtree"/>
          <w:b w:val="0"/>
          <w:i w:val="0"/>
          <w:sz w:val="22"/>
        </w:rPr>
        <w:t xml:space="preserve"> Operations across Europe, the Middle East (including active sovereign programs in the Gulf region), and Asia-Pacific (including production deployments in Japan and Singapore)</w:t>
      </w:r>
    </w:p>
    <w:p>
      <w:pPr>
        <w:pStyle w:val="ListParagraph"/>
        <w:numPr>
          <w:ilvl w:val="0"/>
          <w:numId w:val="4"/>
        </w:numPr>
      </w:pPr>
      <w:r>
        <w:rPr>
          <w:rFonts w:ascii="Figtree" w:hAnsi="Figtree"/>
          <w:b/>
          <w:i w:val="0"/>
          <w:sz w:val="22"/>
        </w:rPr>
        <w:t>Sovereign-scale programs:</w:t>
      </w:r>
      <w:r>
        <w:rPr>
          <w:rFonts w:ascii="Figtree" w:hAnsi="Figtree"/>
          <w:b w:val="0"/>
          <w:i w:val="0"/>
          <w:sz w:val="22"/>
        </w:rPr>
        <w:t xml:space="preserve"> National-scale tokenization initiatives including real estate registries and sovereign capital markets infrastructure</w:t>
      </w:r>
    </w:p>
    <w:p>
      <w:pPr>
        <w:pStyle w:val="ListParagraph"/>
        <w:numPr>
          <w:ilvl w:val="0"/>
          <w:numId w:val="4"/>
        </w:numPr>
      </w:pPr>
      <w:r>
        <w:rPr>
          <w:rFonts w:ascii="Figtree" w:hAnsi="Figtree"/>
          <w:b/>
          <w:i w:val="0"/>
          <w:sz w:val="22"/>
        </w:rPr>
        <w:t>Series A financing:</w:t>
      </w:r>
      <w:r>
        <w:rPr>
          <w:rFonts w:ascii="Figtree" w:hAnsi="Figtree"/>
          <w:b w:val="0"/>
          <w:i w:val="0"/>
          <w:sz w:val="22"/>
        </w:rPr>
        <w:t xml:space="preserve"> Backed by leading investors in Europe and the Middle East</w:t>
      </w:r>
    </w:p>
    <w:p>
      <w:pPr>
        <w:pStyle w:val="H3"/>
        <w:numPr>
          <w:ilvl w:val="2"/>
          <w:numId w:val="1"/>
        </w:numPr>
      </w:pPr>
      <w:r>
        <w:t>Production Credentials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77"/>
        <w:gridCol w:w="629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Credential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4873"/>
            <w:vAlign w:val="center"/>
          </w:tcPr>
          <w:p>
            <w:pPr>
              <w:spacing w:line="276" w:lineRule="auto" w:before="0" w:after="0"/>
            </w:pPr>
            <w:r/>
            <w:r>
              <w:rPr>
                <w:rFonts w:ascii="Figtree" w:hAnsi="Figtree"/>
                <w:b w:val="0"/>
                <w:i w:val="0"/>
                <w:sz w:val="20"/>
              </w:rPr>
              <w:t>Continuous operation</w:t>
            </w:r>
          </w:p>
        </w:tc>
        <w:tc>
          <w:tcPr>
            <w:tcW w:type="dxa" w:w="4873"/>
            <w:vAlign w:val="center"/>
          </w:tcPr>
          <w:p>
            <w:pPr>
              <w:spacing w:line="276" w:lineRule="auto" w:before="0" w:after="0"/>
            </w:pPr>
            <w:r/>
            <w:r>
              <w:rPr>
                <w:rFonts w:ascii="Figtree" w:hAnsi="Figtree"/>
                <w:b w:val="0"/>
                <w:i w:val="0"/>
                <w:sz w:val="20"/>
              </w:rPr>
              <w:t>Since 2016, 10 years</w:t>
            </w:r>
          </w:p>
        </w:tc>
      </w:tr>
      <w:tr>
        <w:trPr>
          <w:trHeight w:val="425" w:hRule="atLeast"/>
        </w:trPr>
        <w:tc>
          <w:tcPr>
            <w:tcW w:type="dxa" w:w="4873"/>
            <w:vAlign w:val="center"/>
          </w:tcPr>
          <w:p>
            <w:pPr>
              <w:spacing w:line="276" w:lineRule="auto" w:before="0" w:after="0"/>
            </w:pPr>
            <w:r/>
            <w:r>
              <w:rPr>
                <w:rFonts w:ascii="Figtree" w:hAnsi="Figtree"/>
                <w:b w:val="0"/>
                <w:i w:val="0"/>
                <w:sz w:val="20"/>
              </w:rPr>
              <w:t>Production deployments</w:t>
            </w:r>
          </w:p>
        </w:tc>
        <w:tc>
          <w:tcPr>
            <w:tcW w:type="dxa" w:w="4873"/>
            <w:vAlign w:val="center"/>
          </w:tcPr>
          <w:p>
            <w:pPr>
              <w:spacing w:line="276" w:lineRule="auto" w:before="0" w:after="0"/>
            </w:pPr>
            <w:r/>
            <w:r>
              <w:rPr>
                <w:rFonts w:ascii="Figtree" w:hAnsi="Figtree"/>
                <w:b w:val="0"/>
                <w:i w:val="0"/>
                <w:sz w:val="20"/>
              </w:rPr>
              <w:t>7+ years with regulated banks</w:t>
            </w:r>
          </w:p>
        </w:tc>
      </w:tr>
      <w:tr>
        <w:trPr>
          <w:trHeight w:val="425" w:hRule="atLeast"/>
        </w:trPr>
        <w:tc>
          <w:tcPr>
            <w:tcW w:type="dxa" w:w="4873"/>
            <w:vAlign w:val="center"/>
          </w:tcPr>
          <w:p>
            <w:pPr>
              <w:spacing w:line="276" w:lineRule="auto" w:before="0" w:after="0"/>
            </w:pPr>
            <w:r/>
            <w:r>
              <w:rPr>
                <w:rFonts w:ascii="Figtree" w:hAnsi="Figtree"/>
                <w:b w:val="0"/>
                <w:i w:val="0"/>
                <w:sz w:val="20"/>
              </w:rPr>
              <w:t>Asset classes in production</w:t>
            </w:r>
          </w:p>
        </w:tc>
        <w:tc>
          <w:tcPr>
            <w:tcW w:type="dxa" w:w="4873"/>
            <w:vAlign w:val="center"/>
          </w:tcPr>
          <w:p>
            <w:pPr>
              <w:spacing w:line="276" w:lineRule="auto" w:before="0" w:after="0"/>
            </w:pPr>
            <w:r/>
            <w:r>
              <w:rPr>
                <w:rFonts w:ascii="Figtree" w:hAnsi="Figtree"/>
                <w:b w:val="0"/>
                <w:i w:val="0"/>
                <w:sz w:val="20"/>
              </w:rPr>
              <w:t>Bonds, equities, deposits, stablecoins, real estate, funds, precious metals</w:t>
            </w:r>
          </w:p>
        </w:tc>
      </w:tr>
      <w:tr>
        <w:trPr>
          <w:trHeight w:val="425" w:hRule="atLeast"/>
        </w:trPr>
        <w:tc>
          <w:tcPr>
            <w:tcW w:type="dxa" w:w="4873"/>
            <w:vAlign w:val="center"/>
          </w:tcPr>
          <w:p>
            <w:pPr>
              <w:spacing w:line="276" w:lineRule="auto" w:before="0" w:after="0"/>
            </w:pPr>
            <w:r/>
            <w:r>
              <w:rPr>
                <w:rFonts w:ascii="Figtree" w:hAnsi="Figtree"/>
                <w:b w:val="0"/>
                <w:i w:val="0"/>
                <w:sz w:val="20"/>
              </w:rPr>
              <w:t>Geographic coverage</w:t>
            </w:r>
          </w:p>
        </w:tc>
        <w:tc>
          <w:tcPr>
            <w:tcW w:type="dxa" w:w="4873"/>
            <w:vAlign w:val="center"/>
          </w:tcPr>
          <w:p>
            <w:pPr>
              <w:spacing w:line="276" w:lineRule="auto" w:before="0" w:after="0"/>
            </w:pPr>
            <w:r/>
            <w:r>
              <w:rPr>
                <w:rFonts w:ascii="Figtree" w:hAnsi="Figtree"/>
                <w:b w:val="0"/>
                <w:i w:val="0"/>
                <w:sz w:val="20"/>
              </w:rPr>
              <w:t>Europe, Middle East, Asia-Pacific</w:t>
            </w:r>
          </w:p>
        </w:tc>
      </w:tr>
      <w:tr>
        <w:trPr>
          <w:trHeight w:val="425" w:hRule="atLeast"/>
        </w:trPr>
        <w:tc>
          <w:tcPr>
            <w:tcW w:type="dxa" w:w="4873"/>
            <w:vAlign w:val="center"/>
          </w:tcPr>
          <w:p>
            <w:pPr>
              <w:spacing w:line="276" w:lineRule="auto" w:before="0" w:after="0"/>
            </w:pPr>
            <w:r/>
            <w:r>
              <w:rPr>
                <w:rFonts w:ascii="Figtree" w:hAnsi="Figtree"/>
                <w:b w:val="0"/>
                <w:i w:val="0"/>
                <w:sz w:val="20"/>
              </w:rPr>
              <w:t>Sovereign programs</w:t>
            </w:r>
          </w:p>
        </w:tc>
        <w:tc>
          <w:tcPr>
            <w:tcW w:type="dxa" w:w="4873"/>
            <w:vAlign w:val="center"/>
          </w:tcPr>
          <w:p>
            <w:pPr>
              <w:spacing w:line="276" w:lineRule="auto" w:before="0" w:after="0"/>
            </w:pPr>
            <w:r/>
            <w:r>
              <w:rPr>
                <w:rFonts w:ascii="Figtree" w:hAnsi="Figtree"/>
                <w:b w:val="0"/>
                <w:i w:val="0"/>
                <w:sz w:val="20"/>
              </w:rPr>
              <w:t>Saudi Arabia RER (country-scale real estate), SBI e-Rupee CBDC</w:t>
            </w:r>
          </w:p>
        </w:tc>
      </w:tr>
      <w:tr>
        <w:trPr>
          <w:trHeight w:val="425" w:hRule="atLeast"/>
        </w:trPr>
        <w:tc>
          <w:tcPr>
            <w:tcW w:type="dxa" w:w="4873"/>
            <w:vAlign w:val="center"/>
          </w:tcPr>
          <w:p>
            <w:pPr>
              <w:spacing w:line="276" w:lineRule="auto" w:before="0" w:after="0"/>
            </w:pPr>
            <w:r/>
            <w:r>
              <w:rPr>
                <w:rFonts w:ascii="Figtree" w:hAnsi="Figtree"/>
                <w:b w:val="0"/>
                <w:i w:val="0"/>
                <w:sz w:val="20"/>
              </w:rPr>
              <w:t>Certifications</w:t>
            </w:r>
          </w:p>
        </w:tc>
        <w:tc>
          <w:tcPr>
            <w:tcW w:type="dxa" w:w="4873"/>
            <w:vAlign w:val="center"/>
          </w:tcPr>
          <w:p>
            <w:pPr>
              <w:spacing w:line="276" w:lineRule="auto" w:before="0" w:after="0"/>
            </w:pPr>
            <w:r/>
            <w:r>
              <w:rPr>
                <w:rFonts w:ascii="Figtree" w:hAnsi="Figtree"/>
                <w:b w:val="0"/>
                <w:i w:val="0"/>
                <w:sz w:val="20"/>
              </w:rPr>
              <w:t>ISO 27001, SOC 2 Type II</w:t>
            </w:r>
          </w:p>
        </w:tc>
      </w:tr>
    </w:tbl>
    <w:p>
      <w:pPr>
        <w:spacing w:before="0" w:after="0" w:line="120" w:lineRule="exact"/>
      </w:pPr>
    </w:p>
    <w:p>
      <w:pPr>
        <w:pStyle w:val="H3"/>
        <w:numPr>
          <w:ilvl w:val="2"/>
          <w:numId w:val="1"/>
        </w:numPr>
      </w:pPr>
      <w:r>
        <w:t>Regulatory Readiness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42"/>
        <w:gridCol w:w="572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Jurisdiction/Framework</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4873"/>
            <w:vAlign w:val="center"/>
          </w:tcPr>
          <w:p>
            <w:pPr>
              <w:spacing w:line="276" w:lineRule="auto" w:before="0" w:after="0"/>
            </w:pPr>
            <w:r/>
            <w:r>
              <w:rPr>
                <w:rFonts w:ascii="Figtree" w:hAnsi="Figtree"/>
                <w:b w:val="0"/>
                <w:i w:val="0"/>
                <w:sz w:val="20"/>
              </w:rPr>
              <w:t>EU MiCA / MiFID II / CSDR</w:t>
            </w:r>
          </w:p>
        </w:tc>
        <w:tc>
          <w:tcPr>
            <w:tcW w:type="dxa" w:w="4873"/>
            <w:vAlign w:val="center"/>
          </w:tcPr>
          <w:p>
            <w:pPr>
              <w:spacing w:line="276" w:lineRule="auto" w:before="0" w:after="0"/>
            </w:pPr>
            <w:r/>
            <w:r>
              <w:rPr>
                <w:rFonts w:ascii="Figtree" w:hAnsi="Figtree"/>
                <w:b w:val="0"/>
                <w:i w:val="0"/>
                <w:sz w:val="20"/>
              </w:rPr>
              <w:t>Active deployments (Commerzbank ETP, KBC Securities)</w:t>
            </w:r>
          </w:p>
        </w:tc>
      </w:tr>
      <w:tr>
        <w:trPr>
          <w:trHeight w:val="425" w:hRule="atLeast"/>
        </w:trPr>
        <w:tc>
          <w:tcPr>
            <w:tcW w:type="dxa" w:w="4873"/>
            <w:vAlign w:val="center"/>
          </w:tcPr>
          <w:p>
            <w:pPr>
              <w:spacing w:line="276" w:lineRule="auto" w:before="0" w:after="0"/>
            </w:pPr>
            <w:r/>
            <w:r>
              <w:rPr>
                <w:rFonts w:ascii="Figtree" w:hAnsi="Figtree"/>
                <w:b w:val="0"/>
                <w:i w:val="0"/>
                <w:sz w:val="20"/>
              </w:rPr>
              <w:t>UAE DFSA / ADGM FSMR / CBUAE</w:t>
            </w:r>
          </w:p>
        </w:tc>
        <w:tc>
          <w:tcPr>
            <w:tcW w:type="dxa" w:w="4873"/>
            <w:vAlign w:val="center"/>
          </w:tcPr>
          <w:p>
            <w:pPr>
              <w:spacing w:line="276" w:lineRule="auto" w:before="0" w:after="0"/>
            </w:pPr>
            <w:r/>
            <w:r>
              <w:rPr>
                <w:rFonts w:ascii="Figtree" w:hAnsi="Figtree"/>
                <w:b w:val="0"/>
                <w:i w:val="0"/>
                <w:sz w:val="20"/>
              </w:rPr>
              <w:t>Active programs (ADI Finstreet, Saudi RER adjacency)</w:t>
            </w:r>
          </w:p>
        </w:tc>
      </w:tr>
      <w:tr>
        <w:trPr>
          <w:trHeight w:val="425" w:hRule="atLeast"/>
        </w:trPr>
        <w:tc>
          <w:tcPr>
            <w:tcW w:type="dxa" w:w="4873"/>
            <w:vAlign w:val="center"/>
          </w:tcPr>
          <w:p>
            <w:pPr>
              <w:spacing w:line="276" w:lineRule="auto" w:before="0" w:after="0"/>
            </w:pPr>
            <w:r/>
            <w:r>
              <w:rPr>
                <w:rFonts w:ascii="Figtree" w:hAnsi="Figtree"/>
                <w:b w:val="0"/>
                <w:i w:val="0"/>
                <w:sz w:val="20"/>
              </w:rPr>
              <w:t>MAS (Singapore)</w:t>
            </w:r>
          </w:p>
        </w:tc>
        <w:tc>
          <w:tcPr>
            <w:tcW w:type="dxa" w:w="4873"/>
            <w:vAlign w:val="center"/>
          </w:tcPr>
          <w:p>
            <w:pPr>
              <w:spacing w:line="276" w:lineRule="auto" w:before="0" w:after="0"/>
            </w:pPr>
            <w:r/>
            <w:r>
              <w:rPr>
                <w:rFonts w:ascii="Figtree" w:hAnsi="Figtree"/>
                <w:b w:val="0"/>
                <w:i w:val="0"/>
                <w:sz w:val="20"/>
              </w:rPr>
              <w:t>Production (OCBC, Maybank Project Photon)</w:t>
            </w:r>
          </w:p>
        </w:tc>
      </w:tr>
      <w:tr>
        <w:trPr>
          <w:trHeight w:val="425" w:hRule="atLeast"/>
        </w:trPr>
        <w:tc>
          <w:tcPr>
            <w:tcW w:type="dxa" w:w="4873"/>
            <w:vAlign w:val="center"/>
          </w:tcPr>
          <w:p>
            <w:pPr>
              <w:spacing w:line="276" w:lineRule="auto" w:before="0" w:after="0"/>
            </w:pPr>
            <w:r/>
            <w:r>
              <w:rPr>
                <w:rFonts w:ascii="Figtree" w:hAnsi="Figtree"/>
                <w:b w:val="0"/>
                <w:i w:val="0"/>
                <w:sz w:val="20"/>
              </w:rPr>
              <w:t>JFSA (Japan)</w:t>
            </w:r>
          </w:p>
        </w:tc>
        <w:tc>
          <w:tcPr>
            <w:tcW w:type="dxa" w:w="4873"/>
            <w:vAlign w:val="center"/>
          </w:tcPr>
          <w:p>
            <w:pPr>
              <w:spacing w:line="276" w:lineRule="auto" w:before="0" w:after="0"/>
            </w:pPr>
            <w:r/>
            <w:r>
              <w:rPr>
                <w:rFonts w:ascii="Figtree" w:hAnsi="Figtree"/>
                <w:b w:val="0"/>
                <w:i w:val="0"/>
                <w:sz w:val="20"/>
              </w:rPr>
              <w:t>Production (Sony Bank, Mizuho)</w:t>
            </w:r>
          </w:p>
        </w:tc>
      </w:tr>
      <w:tr>
        <w:trPr>
          <w:trHeight w:val="425" w:hRule="atLeast"/>
        </w:trPr>
        <w:tc>
          <w:tcPr>
            <w:tcW w:type="dxa" w:w="4873"/>
            <w:vAlign w:val="center"/>
          </w:tcPr>
          <w:p>
            <w:pPr>
              <w:spacing w:line="276" w:lineRule="auto" w:before="0" w:after="0"/>
            </w:pPr>
            <w:r/>
            <w:r>
              <w:rPr>
                <w:rFonts w:ascii="Figtree" w:hAnsi="Figtree"/>
                <w:b w:val="0"/>
                <w:i w:val="0"/>
                <w:sz w:val="20"/>
              </w:rPr>
              <w:t>RBI (India)</w:t>
            </w:r>
          </w:p>
        </w:tc>
        <w:tc>
          <w:tcPr>
            <w:tcW w:type="dxa" w:w="4873"/>
            <w:vAlign w:val="center"/>
          </w:tcPr>
          <w:p>
            <w:pPr>
              <w:spacing w:line="276" w:lineRule="auto" w:before="0" w:after="0"/>
            </w:pPr>
            <w:r/>
            <w:r>
              <w:rPr>
                <w:rFonts w:ascii="Figtree" w:hAnsi="Figtree"/>
                <w:b w:val="0"/>
                <w:i w:val="0"/>
                <w:sz w:val="20"/>
              </w:rPr>
              <w:t>Production (SBI CBDC, RBI Innovation Hub)</w:t>
            </w:r>
          </w:p>
        </w:tc>
      </w:tr>
    </w:tbl>
    <w:p>
      <w:pPr>
        <w:spacing w:before="0" w:after="0" w:line="120" w:lineRule="exact"/>
      </w:pPr>
    </w:p>
    <w:p>
      <w:pPr>
        <w:pStyle w:val="H3"/>
        <w:numPr>
          <w:ilvl w:val="2"/>
          <w:numId w:val="1"/>
        </w:numPr>
      </w:pPr>
      <w:r>
        <w:t>Team and Delivery Capability</w:t>
      </w:r>
    </w:p>
    <w:p>
      <w:r>
        <w:rPr>
          <w:rFonts w:ascii="Figtree" w:hAnsi="Figtree"/>
          <w:b w:val="0"/>
          <w:i w:val="0"/>
          <w:sz w:val="22"/>
        </w:rPr>
        <w:t>SettleMint operates with an engineering-heavy organization. The DALP Core Engineering team — four senior engineers — handles all platform development: smart contract architecture, backend services, API layer, compliance engine, settlement workflows, and infrastructure automation. This small team size is a deliberate design choice enabling rapid iteration, architectural coherence, and deep ownership. An AI-native engineering workflow acts as a force multiplier, allowing the team to operate at higher effective capacity without proportional headcount growth.</w:t>
      </w:r>
    </w:p>
    <w:p>
      <w:r>
        <w:rPr>
          <w:rFonts w:ascii="Figtree" w:hAnsi="Figtree"/>
          <w:b w:val="0"/>
          <w:i w:val="0"/>
          <w:sz w:val="22"/>
        </w:rPr>
        <w:t>The leadership team combines deep technical expertise, financial domain knowledge, and enterprise delivery experience:</w:t>
      </w:r>
    </w:p>
    <w:p>
      <w:pPr>
        <w:pStyle w:val="ListParagraph"/>
        <w:numPr>
          <w:ilvl w:val="0"/>
          <w:numId w:val="4"/>
        </w:numPr>
      </w:pPr>
      <w:r>
        <w:rPr>
          <w:rFonts w:ascii="Figtree" w:hAnsi="Figtree"/>
          <w:b/>
          <w:i w:val="0"/>
          <w:sz w:val="22"/>
        </w:rPr>
        <w:t>Adam Popat, CEO:</w:t>
      </w:r>
      <w:r>
        <w:rPr>
          <w:rFonts w:ascii="Figtree" w:hAnsi="Figtree"/>
          <w:b w:val="0"/>
          <w:i w:val="0"/>
          <w:sz w:val="22"/>
        </w:rPr>
        <w:t xml:space="preserve"> Finance, digital assets, M&amp;A, institutional business development — background spanning Standard Chartered, SC Ventures, and capital markets</w:t>
      </w:r>
    </w:p>
    <w:p>
      <w:pPr>
        <w:pStyle w:val="ListParagraph"/>
        <w:numPr>
          <w:ilvl w:val="0"/>
          <w:numId w:val="4"/>
        </w:numPr>
      </w:pPr>
      <w:r>
        <w:rPr>
          <w:rFonts w:ascii="Figtree" w:hAnsi="Figtree"/>
          <w:b/>
          <w:i w:val="0"/>
          <w:sz w:val="22"/>
        </w:rPr>
        <w:t>Matthew Van Niekerk, Co-founder and President:</w:t>
      </w:r>
      <w:r>
        <w:rPr>
          <w:rFonts w:ascii="Figtree" w:hAnsi="Figtree"/>
          <w:b w:val="0"/>
          <w:i w:val="0"/>
          <w:sz w:val="22"/>
        </w:rPr>
        <w:t xml:space="preserve"> Company strategy, investor relations, and market expansion</w:t>
      </w:r>
    </w:p>
    <w:p>
      <w:pPr>
        <w:pStyle w:val="ListParagraph"/>
        <w:numPr>
          <w:ilvl w:val="0"/>
          <w:numId w:val="4"/>
        </w:numPr>
      </w:pPr>
      <w:r>
        <w:rPr>
          <w:rFonts w:ascii="Figtree" w:hAnsi="Figtree"/>
          <w:b/>
          <w:i w:val="0"/>
          <w:sz w:val="22"/>
        </w:rPr>
        <w:t>Roderik van der Veer, Co-founder and CTO:</w:t>
      </w:r>
      <w:r>
        <w:rPr>
          <w:rFonts w:ascii="Figtree" w:hAnsi="Figtree"/>
          <w:b w:val="0"/>
          <w:i w:val="0"/>
          <w:sz w:val="22"/>
        </w:rPr>
        <w:t xml:space="preserve"> Technology strategy, platform architecture, and engineering execution</w:t>
      </w:r>
    </w:p>
    <w:p>
      <w:pPr>
        <w:pStyle w:val="H3"/>
        <w:numPr>
          <w:ilvl w:val="2"/>
          <w:numId w:val="1"/>
        </w:numPr>
      </w:pPr>
      <w:r>
        <w:t>Ecosystem and Partnerships</w:t>
      </w:r>
    </w:p>
    <w:p>
      <w:r>
        <w:rPr>
          <w:rFonts w:ascii="Figtree" w:hAnsi="Figtree"/>
          <w:b w:val="0"/>
          <w:i w:val="0"/>
          <w:sz w:val="22"/>
        </w:rPr>
        <w:t>SettleMint maintains partnerships across custody providers (DFNS, Fireblocks), blockchain infrastructure (Hyperledger Besu, public EVM networks), and system integration channels across Europe, the Middle East, and Asia-Pacific. The bring-your-own-custodian and bring-your-own-chain architecture means Emirates NBD retains choice over infrastructure vendors without platform lock-in.</w:t>
      </w:r>
    </w:p>
    <w:p>
      <w:pPr>
        <w:pStyle w:val="H3"/>
        <w:numPr>
          <w:ilvl w:val="2"/>
          <w:numId w:val="1"/>
        </w:numPr>
      </w:pPr>
      <w:r>
        <w:t>Relevance to Emirates NBD</w:t>
      </w:r>
    </w:p>
    <w:p>
      <w:r>
        <w:rPr>
          <w:rFonts w:ascii="Figtree" w:hAnsi="Figtree"/>
          <w:b w:val="0"/>
          <w:i w:val="0"/>
          <w:sz w:val="22"/>
        </w:rPr>
        <w:t>SettleMint's credentials map directly to Emirates NBD's evaluation concerns:</w:t>
      </w:r>
    </w:p>
    <w:p>
      <w:pPr>
        <w:pStyle w:val="ListParagraph"/>
        <w:numPr>
          <w:ilvl w:val="0"/>
          <w:numId w:val="4"/>
        </w:numPr>
      </w:pPr>
      <w:r>
        <w:rPr>
          <w:rFonts w:ascii="Figtree" w:hAnsi="Figtree"/>
          <w:b/>
          <w:i w:val="0"/>
          <w:sz w:val="22"/>
        </w:rPr>
        <w:t>UAE market presence:</w:t>
      </w:r>
      <w:r>
        <w:rPr>
          <w:rFonts w:ascii="Figtree" w:hAnsi="Figtree"/>
          <w:b w:val="0"/>
          <w:i w:val="0"/>
          <w:sz w:val="22"/>
        </w:rPr>
        <w:t xml:space="preserve"> Active programs in the Gulf region, including the Saudi Arabia RER sovereign program and ADI Finstreet equity tokenization on ADI mainnet</w:t>
      </w:r>
    </w:p>
    <w:p>
      <w:pPr>
        <w:pStyle w:val="ListParagraph"/>
        <w:numPr>
          <w:ilvl w:val="0"/>
          <w:numId w:val="4"/>
        </w:numPr>
      </w:pPr>
      <w:r>
        <w:rPr>
          <w:rFonts w:ascii="Figtree" w:hAnsi="Figtree"/>
          <w:b/>
          <w:i w:val="0"/>
          <w:sz w:val="22"/>
        </w:rPr>
        <w:t>Tier-1 bank deployments:</w:t>
      </w:r>
      <w:r>
        <w:rPr>
          <w:rFonts w:ascii="Figtree" w:hAnsi="Figtree"/>
          <w:b w:val="0"/>
          <w:i w:val="0"/>
          <w:sz w:val="22"/>
        </w:rPr>
        <w:t xml:space="preserve"> Standard Chartered, Commerzbank, OCBC, SBI — institutions with comparable regulatory and operational complexity</w:t>
      </w:r>
    </w:p>
    <w:p>
      <w:pPr>
        <w:pStyle w:val="ListParagraph"/>
        <w:numPr>
          <w:ilvl w:val="0"/>
          <w:numId w:val="4"/>
        </w:numPr>
      </w:pPr>
      <w:r>
        <w:rPr>
          <w:rFonts w:ascii="Figtree" w:hAnsi="Figtree"/>
          <w:b/>
          <w:i w:val="0"/>
          <w:sz w:val="22"/>
        </w:rPr>
        <w:t>Trade finance experience:</w:t>
      </w:r>
      <w:r>
        <w:rPr>
          <w:rFonts w:ascii="Figtree" w:hAnsi="Figtree"/>
          <w:b w:val="0"/>
          <w:i w:val="0"/>
          <w:sz w:val="22"/>
        </w:rPr>
        <w:t xml:space="preserve"> Reserve Bank of India Innovation Hub — multi-bank, multi-node, multi-cloud blockchain for fraud-proof trade finance workflows</w:t>
      </w:r>
    </w:p>
    <w:p>
      <w:pPr>
        <w:pStyle w:val="ListParagraph"/>
        <w:numPr>
          <w:ilvl w:val="0"/>
          <w:numId w:val="4"/>
        </w:numPr>
      </w:pPr>
      <w:r>
        <w:rPr>
          <w:rFonts w:ascii="Figtree" w:hAnsi="Figtree"/>
          <w:b/>
          <w:i w:val="0"/>
          <w:sz w:val="22"/>
        </w:rPr>
        <w:t>Deposit and cash-equivalent expertise:</w:t>
      </w:r>
      <w:r>
        <w:rPr>
          <w:rFonts w:ascii="Figtree" w:hAnsi="Figtree"/>
          <w:b w:val="0"/>
          <w:i w:val="0"/>
          <w:sz w:val="22"/>
        </w:rPr>
        <w:t xml:space="preserve"> Sony Bank stablecoin issuance, KBC Securities crowdfunding with fiat-backed stable token</w:t>
      </w:r>
    </w:p>
    <w:p>
      <w:r>
        <w:br w:type="page"/>
      </w:r>
    </w:p>
    <w:p>
      <w:pPr>
        <w:pStyle w:val="H2"/>
        <w:numPr>
          <w:ilvl w:val="1"/>
          <w:numId w:val="1"/>
        </w:numPr>
      </w:pPr>
      <w:r>
        <w:t>About DALP</w:t>
      </w:r>
    </w:p>
    <w:p>
      <w:pPr>
        <w:pStyle w:val="H3"/>
        <w:numPr>
          <w:ilvl w:val="2"/>
          <w:numId w:val="1"/>
        </w:numPr>
      </w:pPr>
      <w:r>
        <w:t>Platform Overview</w:t>
      </w:r>
    </w:p>
    <w:p>
      <w:r>
        <w:rPr>
          <w:rFonts w:ascii="Figtree" w:hAnsi="Figtree"/>
          <w:b w:val="0"/>
          <w:i w:val="0"/>
          <w:sz w:val="22"/>
        </w:rPr>
        <w:t>DALP (Digital Asset Lifecycle Platform) is the infrastructure layer that institutions need to design, launch, and operate digital assets at production scale. It is a platform, not a consulting engagement — institutions configure and operate it themselves, using the same software that powers production deployments across Europe, the Middle East, and Asia Pacific.</w:t>
      </w:r>
    </w:p>
    <w:p>
      <w:r>
        <w:rPr>
          <w:rFonts w:ascii="Figtree" w:hAnsi="Figtree"/>
          <w:b w:val="0"/>
          <w:i w:val="0"/>
          <w:sz w:val="22"/>
        </w:rPr>
        <w:t>DALP positions itself as a lifecycle platform and control plane. Where traditional approaches require assembling separate solutions for token issuance, compliance checking, custody integration, settlement, and servicing, DALP provides all five capabilities in a single governed platform with consistent identity, compliance, and audit infrastructure across the entire asset lifecycle.</w:t>
      </w:r>
    </w:p>
    <w:p>
      <w:pPr>
        <w:pStyle w:val="H3"/>
        <w:numPr>
          <w:ilvl w:val="2"/>
          <w:numId w:val="1"/>
        </w:numPr>
      </w:pPr>
      <w:r>
        <w:t>Core Lifecycle Pillars</w:t>
      </w:r>
    </w:p>
    <w:p>
      <w:pPr>
        <w:jc w:val="center"/>
      </w:pPr>
      <w:r>
        <w:drawing>
          <wp:inline xmlns:a="http://schemas.openxmlformats.org/drawingml/2006/main" xmlns:pic="http://schemas.openxmlformats.org/drawingml/2006/picture">
            <wp:extent cx="2667000" cy="8153400"/>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2667000" cy="8153400"/>
                    </a:xfrm>
                    <a:prstGeom prst="rect"/>
                  </pic:spPr>
                </pic:pic>
              </a:graphicData>
            </a:graphic>
          </wp:inline>
        </w:drawing>
      </w:r>
    </w:p>
    <w:p>
      <w:r>
        <w:rPr>
          <w:rFonts w:ascii="Figtree" w:hAnsi="Figtree"/>
          <w:b/>
          <w:i w:val="0"/>
          <w:sz w:val="22"/>
        </w:rPr>
        <w:t>Issuance.</w:t>
      </w:r>
      <w:r>
        <w:rPr>
          <w:rFonts w:ascii="Figtree" w:hAnsi="Figtree"/>
          <w:b w:val="0"/>
          <w:i w:val="0"/>
          <w:sz w:val="22"/>
        </w:rPr>
        <w:t xml:space="preserve"> DALP's Asset Designer enables the configuration of tokenized deposits and trade finance instruments through a guided wizard, without custom smart contract development. DALPAsset — a unified, audited token contract built on ERC-3643 (T-REX) — supports runtime attachment of compliance modules and token features. A tokenized deposit can be configured with denomination asset linking (for atomic DvP), maturity parameters, yield schedules, and compliance rules in a single configuration session.</w:t>
      </w:r>
    </w:p>
    <w:p>
      <w:r>
        <w:rPr>
          <w:rFonts w:ascii="Figtree" w:hAnsi="Figtree"/>
          <w:b/>
          <w:i w:val="0"/>
          <w:sz w:val="22"/>
        </w:rPr>
        <w:t>Compliance.</w:t>
      </w:r>
      <w:r>
        <w:rPr>
          <w:rFonts w:ascii="Figtree" w:hAnsi="Figtree"/>
          <w:b w:val="0"/>
          <w:i w:val="0"/>
          <w:sz w:val="22"/>
        </w:rPr>
        <w:t xml:space="preserve"> The compliance engine enforces transfer and supply rules at the smart contract level — before execution, not after review. Eighteen module types are available, including identity verification, country restrictions, investor count limits, transfer approvals, timelock enforcement, and collateral requirements. Modules evaluate in sequence with fail-closed logic: a single module veto blocks the transfer. All module configurations are auditable and changeable at runtime without redeploying the token contract.</w:t>
      </w:r>
    </w:p>
    <w:p>
      <w:r>
        <w:rPr>
          <w:rFonts w:ascii="Figtree" w:hAnsi="Figtree"/>
          <w:b/>
          <w:i w:val="0"/>
          <w:sz w:val="22"/>
        </w:rPr>
        <w:t>Custody.</w:t>
      </w:r>
      <w:r>
        <w:rPr>
          <w:rFonts w:ascii="Figtree" w:hAnsi="Figtree"/>
          <w:b w:val="0"/>
          <w:i w:val="0"/>
          <w:sz w:val="22"/>
        </w:rPr>
        <w:t xml:space="preserve"> Key Guardian provides tiered key management with bring-your-own-custodian integration. DFNS and Fireblocks are supported as custody providers, with maker-checker workflows and HSM/secret manager options. Wallet verification serves as step-up authentication for all blockchain write operations — even with a valid session, no on-chain transaction executes without the user proving control of their wallet.</w:t>
      </w:r>
    </w:p>
    <w:p>
      <w:r>
        <w:rPr>
          <w:rFonts w:ascii="Figtree" w:hAnsi="Figtree"/>
          <w:b/>
          <w:i w:val="0"/>
          <w:sz w:val="22"/>
        </w:rPr>
        <w:t>Settlement.</w:t>
      </w:r>
      <w:r>
        <w:rPr>
          <w:rFonts w:ascii="Figtree" w:hAnsi="Figtree"/>
          <w:b w:val="0"/>
          <w:i w:val="0"/>
          <w:sz w:val="22"/>
        </w:rPr>
        <w:t xml:space="preserve"> The XvP (Exchange versus Payment) settlement addon provides atomic delivery-versus-payment settlement. Both legs of a trade — token delivery and payment — execute in a single atomic transaction, eliminating counterparty risk. Settlement finality is deterministic (under the IBFT consensus mechanism used in permissioned deployments), meaning there is no confirmation-depth waiting or probabilistic settlement.</w:t>
      </w:r>
    </w:p>
    <w:p>
      <w:r>
        <w:rPr>
          <w:rFonts w:ascii="Figtree" w:hAnsi="Figtree"/>
          <w:b/>
          <w:i w:val="0"/>
          <w:sz w:val="22"/>
        </w:rPr>
        <w:t>Servicing.</w:t>
      </w:r>
      <w:r>
        <w:rPr>
          <w:rFonts w:ascii="Figtree" w:hAnsi="Figtree"/>
          <w:b w:val="0"/>
          <w:i w:val="0"/>
          <w:sz w:val="22"/>
        </w:rPr>
        <w:t xml:space="preserve"> Lifecycle servicing covers yield distribution (fixed treasury yield, AUM fees), maturity and redemption workflows, corporate actions, and operational events. All servicing operations flow through the same compliance engine, maintaining governance integrity throughout the asset's life.</w:t>
      </w:r>
    </w:p>
    <w:p>
      <w:pPr>
        <w:pStyle w:val="H3"/>
        <w:numPr>
          <w:ilvl w:val="2"/>
          <w:numId w:val="1"/>
        </w:numPr>
      </w:pPr>
      <w:r>
        <w:t>Platform Foundations</w:t>
      </w:r>
    </w:p>
    <w:p>
      <w:r>
        <w:rPr>
          <w:rFonts w:ascii="Figtree" w:hAnsi="Figtree"/>
          <w:b/>
          <w:i w:val="0"/>
          <w:sz w:val="22"/>
        </w:rPr>
        <w:t>Identity and Access.</w:t>
      </w:r>
      <w:r>
        <w:rPr>
          <w:rFonts w:ascii="Figtree" w:hAnsi="Figtree"/>
          <w:b w:val="0"/>
          <w:i w:val="0"/>
          <w:sz w:val="22"/>
        </w:rPr>
        <w:t xml:space="preserve"> OnchainID (ERC-734/735) provides on-chain identity management with verifiable KYC/AML claims. Role-based access control enforces segregation of duties with nine granular permission levels. Maker-checker workflows are native, not bolted on.</w:t>
      </w:r>
    </w:p>
    <w:p>
      <w:r>
        <w:rPr>
          <w:rFonts w:ascii="Figtree" w:hAnsi="Figtree"/>
          <w:b/>
          <w:i w:val="0"/>
          <w:sz w:val="22"/>
        </w:rPr>
        <w:t>Integration and Interoperability.</w:t>
      </w:r>
      <w:r>
        <w:rPr>
          <w:rFonts w:ascii="Figtree" w:hAnsi="Figtree"/>
          <w:b w:val="0"/>
          <w:i w:val="0"/>
          <w:sz w:val="22"/>
        </w:rPr>
        <w:t xml:space="preserve"> DAPI (Durable API Service) provides a unified API layer — REST API v2 with OpenAPI 3.1, GraphQL via subgraph, event webhooks, TypeScript SDK, CLI (301 commands, 26 command groups). Server-sent event streaming enables real-time integration with downstream systems.</w:t>
      </w:r>
    </w:p>
    <w:p>
      <w:r>
        <w:rPr>
          <w:rFonts w:ascii="Figtree" w:hAnsi="Figtree"/>
          <w:b/>
          <w:i w:val="0"/>
          <w:sz w:val="22"/>
        </w:rPr>
        <w:t>Observability and Operations.</w:t>
      </w:r>
      <w:r>
        <w:rPr>
          <w:rFonts w:ascii="Figtree" w:hAnsi="Figtree"/>
          <w:b w:val="0"/>
          <w:i w:val="0"/>
          <w:sz w:val="22"/>
        </w:rPr>
        <w:t xml:space="preserve"> Grafana-based dashboards provide real-time monitoring across platform health, blockchain state, transaction throughput, and compliance events. Automated alerting, log aggregation, and distributed tracing support operational readiness for production environments.</w:t>
      </w:r>
    </w:p>
    <w:p>
      <w:pPr>
        <w:pStyle w:val="H3"/>
        <w:numPr>
          <w:ilvl w:val="2"/>
          <w:numId w:val="1"/>
        </w:numPr>
      </w:pPr>
      <w:r>
        <w:t>Supported Asset Classes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96"/>
        <w:gridCol w:w="2525"/>
        <w:gridCol w:w="505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Asset Class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Asset Types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Emirates NBD Relevance</w:t>
            </w:r>
          </w:p>
        </w:tc>
      </w:tr>
      <w:tr>
        <w:trPr>
          <w:trHeight w:val="425" w:hRule="atLeast"/>
        </w:trPr>
        <w:tc>
          <w:tcPr>
            <w:tcW w:type="dxa" w:w="3249"/>
            <w:vAlign w:val="center"/>
          </w:tcPr>
          <w:p>
            <w:pPr>
              <w:spacing w:line="276" w:lineRule="auto" w:before="0" w:after="0"/>
            </w:pPr>
            <w:r/>
            <w:r>
              <w:rPr>
                <w:rFonts w:ascii="Figtree" w:hAnsi="Figtree"/>
                <w:b w:val="0"/>
                <w:i w:val="0"/>
                <w:sz w:val="20"/>
              </w:rPr>
              <w:t>Fixed Income</w:t>
            </w:r>
          </w:p>
        </w:tc>
        <w:tc>
          <w:tcPr>
            <w:tcW w:type="dxa" w:w="3249"/>
            <w:vAlign w:val="center"/>
          </w:tcPr>
          <w:p>
            <w:pPr>
              <w:spacing w:line="276" w:lineRule="auto" w:before="0" w:after="0"/>
            </w:pPr>
            <w:r/>
            <w:r>
              <w:rPr>
                <w:rFonts w:ascii="Figtree" w:hAnsi="Figtree"/>
                <w:b w:val="0"/>
                <w:i w:val="0"/>
                <w:sz w:val="20"/>
              </w:rPr>
              <w:t>Bond</w:t>
            </w:r>
          </w:p>
        </w:tc>
        <w:tc>
          <w:tcPr>
            <w:tcW w:type="dxa" w:w="3249"/>
            <w:vAlign w:val="center"/>
          </w:tcPr>
          <w:p>
            <w:pPr>
              <w:spacing w:line="276" w:lineRule="auto" w:before="0" w:after="0"/>
            </w:pPr>
            <w:r/>
            <w:r>
              <w:rPr>
                <w:rFonts w:ascii="Figtree" w:hAnsi="Figtree"/>
                <w:b w:val="0"/>
                <w:i w:val="0"/>
                <w:sz w:val="20"/>
              </w:rPr>
              <w:t>Corporate bonds, government bonds, structured notes</w:t>
            </w:r>
          </w:p>
        </w:tc>
      </w:tr>
      <w:tr>
        <w:trPr>
          <w:trHeight w:val="425" w:hRule="atLeast"/>
        </w:trPr>
        <w:tc>
          <w:tcPr>
            <w:tcW w:type="dxa" w:w="3249"/>
            <w:vAlign w:val="center"/>
          </w:tcPr>
          <w:p>
            <w:pPr>
              <w:spacing w:line="276" w:lineRule="auto" w:before="0" w:after="0"/>
            </w:pPr>
            <w:r/>
            <w:r>
              <w:rPr>
                <w:rFonts w:ascii="Figtree" w:hAnsi="Figtree"/>
                <w:b w:val="0"/>
                <w:i w:val="0"/>
                <w:sz w:val="20"/>
              </w:rPr>
              <w:t>Flexible Income</w:t>
            </w:r>
          </w:p>
        </w:tc>
        <w:tc>
          <w:tcPr>
            <w:tcW w:type="dxa" w:w="3249"/>
            <w:vAlign w:val="center"/>
          </w:tcPr>
          <w:p>
            <w:pPr>
              <w:spacing w:line="276" w:lineRule="auto" w:before="0" w:after="0"/>
            </w:pPr>
            <w:r/>
            <w:r>
              <w:rPr>
                <w:rFonts w:ascii="Figtree" w:hAnsi="Figtree"/>
                <w:b w:val="0"/>
                <w:i w:val="0"/>
                <w:sz w:val="20"/>
              </w:rPr>
              <w:t>Equity, Fund</w:t>
            </w:r>
          </w:p>
        </w:tc>
        <w:tc>
          <w:tcPr>
            <w:tcW w:type="dxa" w:w="3249"/>
            <w:vAlign w:val="center"/>
          </w:tcPr>
          <w:p>
            <w:pPr>
              <w:spacing w:line="276" w:lineRule="auto" w:before="0" w:after="0"/>
            </w:pPr>
            <w:r/>
            <w:r>
              <w:rPr>
                <w:rFonts w:ascii="Figtree" w:hAnsi="Figtree"/>
                <w:b w:val="0"/>
                <w:i w:val="0"/>
                <w:sz w:val="20"/>
              </w:rPr>
              <w:t>Investment fund units, structured products</w:t>
            </w:r>
          </w:p>
        </w:tc>
      </w:tr>
      <w:tr>
        <w:trPr>
          <w:trHeight w:val="425" w:hRule="atLeast"/>
        </w:trPr>
        <w:tc>
          <w:tcPr>
            <w:tcW w:type="dxa" w:w="3249"/>
            <w:vAlign w:val="center"/>
          </w:tcPr>
          <w:p>
            <w:pPr>
              <w:spacing w:line="276" w:lineRule="auto" w:before="0" w:after="0"/>
            </w:pPr>
            <w:r/>
            <w:r>
              <w:rPr>
                <w:rFonts w:ascii="Figtree" w:hAnsi="Figtree"/>
                <w:b w:val="0"/>
                <w:i w:val="0"/>
                <w:sz w:val="20"/>
              </w:rPr>
              <w:t>Cash Equivalent</w:t>
            </w:r>
          </w:p>
        </w:tc>
        <w:tc>
          <w:tcPr>
            <w:tcW w:type="dxa" w:w="3249"/>
            <w:vAlign w:val="center"/>
          </w:tcPr>
          <w:p>
            <w:pPr>
              <w:spacing w:line="276" w:lineRule="auto" w:before="0" w:after="0"/>
            </w:pPr>
            <w:r/>
            <w:r>
              <w:rPr>
                <w:rFonts w:ascii="Figtree" w:hAnsi="Figtree"/>
                <w:b w:val="0"/>
                <w:i w:val="0"/>
                <w:sz w:val="20"/>
              </w:rPr>
              <w:t>Stablecoin, Deposit</w:t>
            </w:r>
          </w:p>
        </w:tc>
        <w:tc>
          <w:tcPr>
            <w:tcW w:type="dxa" w:w="3249"/>
            <w:vAlign w:val="center"/>
          </w:tcPr>
          <w:p>
            <w:pPr>
              <w:spacing w:line="276" w:lineRule="auto" w:before="0" w:after="0"/>
            </w:pPr>
            <w:r/>
            <w:r>
              <w:rPr>
                <w:rFonts w:ascii="Figtree" w:hAnsi="Figtree"/>
                <w:b/>
                <w:i w:val="0"/>
                <w:sz w:val="20"/>
              </w:rPr>
              <w:t>Tokenized bank deposits</w:t>
            </w:r>
            <w:r>
              <w:rPr>
                <w:rFonts w:ascii="Figtree" w:hAnsi="Figtree"/>
                <w:b w:val="0"/>
                <w:i w:val="0"/>
                <w:sz w:val="20"/>
              </w:rPr>
              <w:t xml:space="preserve"> — primary scope</w:t>
            </w:r>
          </w:p>
        </w:tc>
      </w:tr>
      <w:tr>
        <w:trPr>
          <w:trHeight w:val="425" w:hRule="atLeast"/>
        </w:trPr>
        <w:tc>
          <w:tcPr>
            <w:tcW w:type="dxa" w:w="3249"/>
            <w:vAlign w:val="center"/>
          </w:tcPr>
          <w:p>
            <w:pPr>
              <w:spacing w:line="276" w:lineRule="auto" w:before="0" w:after="0"/>
            </w:pPr>
            <w:r/>
            <w:r>
              <w:rPr>
                <w:rFonts w:ascii="Figtree" w:hAnsi="Figtree"/>
                <w:b w:val="0"/>
                <w:i w:val="0"/>
                <w:sz w:val="20"/>
              </w:rPr>
              <w:t>Real World Asset</w:t>
            </w:r>
          </w:p>
        </w:tc>
        <w:tc>
          <w:tcPr>
            <w:tcW w:type="dxa" w:w="3249"/>
            <w:vAlign w:val="center"/>
          </w:tcPr>
          <w:p>
            <w:pPr>
              <w:spacing w:line="276" w:lineRule="auto" w:before="0" w:after="0"/>
            </w:pPr>
            <w:r/>
            <w:r>
              <w:rPr>
                <w:rFonts w:ascii="Figtree" w:hAnsi="Figtree"/>
                <w:b w:val="0"/>
                <w:i w:val="0"/>
                <w:sz w:val="20"/>
              </w:rPr>
              <w:t>Real Estate, Precious Metal</w:t>
            </w:r>
          </w:p>
        </w:tc>
        <w:tc>
          <w:tcPr>
            <w:tcW w:type="dxa" w:w="3249"/>
            <w:vAlign w:val="center"/>
          </w:tcPr>
          <w:p>
            <w:pPr>
              <w:spacing w:line="276" w:lineRule="auto" w:before="0" w:after="0"/>
            </w:pPr>
            <w:r/>
            <w:r>
              <w:rPr>
                <w:rFonts w:ascii="Figtree" w:hAnsi="Figtree"/>
                <w:b w:val="0"/>
                <w:i w:val="0"/>
                <w:sz w:val="20"/>
              </w:rPr>
              <w:t>Collateral tokenization for trade finance</w:t>
            </w:r>
          </w:p>
        </w:tc>
      </w:tr>
      <w:tr>
        <w:trPr>
          <w:trHeight w:val="425" w:hRule="atLeast"/>
        </w:trPr>
        <w:tc>
          <w:tcPr>
            <w:tcW w:type="dxa" w:w="3249"/>
            <w:vAlign w:val="center"/>
          </w:tcPr>
          <w:p>
            <w:pPr>
              <w:spacing w:line="276" w:lineRule="auto" w:before="0" w:after="0"/>
            </w:pPr>
            <w:r/>
            <w:r>
              <w:rPr>
                <w:rFonts w:ascii="Figtree" w:hAnsi="Figtree"/>
                <w:b w:val="0"/>
                <w:i w:val="0"/>
                <w:sz w:val="20"/>
              </w:rPr>
              <w:t>Configurable</w:t>
            </w:r>
          </w:p>
        </w:tc>
        <w:tc>
          <w:tcPr>
            <w:tcW w:type="dxa" w:w="3249"/>
            <w:vAlign w:val="center"/>
          </w:tcPr>
          <w:p>
            <w:pPr>
              <w:spacing w:line="276" w:lineRule="auto" w:before="0" w:after="0"/>
            </w:pPr>
            <w:r/>
            <w:r>
              <w:rPr>
                <w:rFonts w:ascii="Figtree" w:hAnsi="Figtree"/>
                <w:b w:val="0"/>
                <w:i w:val="0"/>
                <w:sz w:val="20"/>
              </w:rPr>
              <w:t>DALPAsset</w:t>
            </w:r>
          </w:p>
        </w:tc>
        <w:tc>
          <w:tcPr>
            <w:tcW w:type="dxa" w:w="3249"/>
            <w:vAlign w:val="center"/>
          </w:tcPr>
          <w:p>
            <w:pPr>
              <w:spacing w:line="276" w:lineRule="auto" w:before="0" w:after="0"/>
            </w:pPr>
            <w:r/>
            <w:r>
              <w:rPr>
                <w:rFonts w:ascii="Figtree" w:hAnsi="Figtree"/>
                <w:b/>
                <w:i w:val="0"/>
                <w:sz w:val="20"/>
              </w:rPr>
              <w:t>Trade finance instruments</w:t>
            </w:r>
            <w:r>
              <w:rPr>
                <w:rFonts w:ascii="Figtree" w:hAnsi="Figtree"/>
                <w:b w:val="0"/>
                <w:i w:val="0"/>
                <w:sz w:val="20"/>
              </w:rPr>
              <w:t xml:space="preserve"> — configurable lifecycle</w:t>
            </w:r>
          </w:p>
        </w:tc>
      </w:tr>
    </w:tbl>
    <w:p>
      <w:pPr>
        <w:spacing w:before="0" w:after="0" w:line="120" w:lineRule="exact"/>
      </w:pPr>
    </w:p>
    <w:p>
      <w:pPr>
        <w:pStyle w:val="H3"/>
        <w:numPr>
          <w:ilvl w:val="2"/>
          <w:numId w:val="1"/>
        </w:numPr>
      </w:pPr>
      <w:r>
        <w:t>Standards and Protocols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68"/>
        <w:gridCol w:w="640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Standard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ERC-3643 (T-REX)</w:t>
            </w:r>
          </w:p>
        </w:tc>
        <w:tc>
          <w:tcPr>
            <w:tcW w:type="dxa" w:w="4873"/>
            <w:vAlign w:val="center"/>
          </w:tcPr>
          <w:p>
            <w:pPr>
              <w:spacing w:line="276" w:lineRule="auto" w:before="0" w:after="0"/>
            </w:pPr>
            <w:r/>
            <w:r>
              <w:rPr>
                <w:rFonts w:ascii="Figtree" w:hAnsi="Figtree"/>
                <w:b w:val="0"/>
                <w:i w:val="0"/>
                <w:sz w:val="20"/>
              </w:rPr>
              <w:t>Core token framework — SMART Protocol</w:t>
            </w:r>
          </w:p>
        </w:tc>
      </w:tr>
      <w:tr>
        <w:trPr>
          <w:trHeight w:val="425" w:hRule="atLeast"/>
        </w:trPr>
        <w:tc>
          <w:tcPr>
            <w:tcW w:type="dxa" w:w="4873"/>
            <w:vAlign w:val="center"/>
          </w:tcPr>
          <w:p>
            <w:pPr>
              <w:spacing w:line="276" w:lineRule="auto" w:before="0" w:after="0"/>
            </w:pPr>
            <w:r/>
            <w:r>
              <w:rPr>
                <w:rFonts w:ascii="Figtree" w:hAnsi="Figtree"/>
                <w:b w:val="0"/>
                <w:i w:val="0"/>
                <w:sz w:val="20"/>
              </w:rPr>
              <w:t>ERC-734/735</w:t>
            </w:r>
          </w:p>
        </w:tc>
        <w:tc>
          <w:tcPr>
            <w:tcW w:type="dxa" w:w="4873"/>
            <w:vAlign w:val="center"/>
          </w:tcPr>
          <w:p>
            <w:pPr>
              <w:spacing w:line="276" w:lineRule="auto" w:before="0" w:after="0"/>
            </w:pPr>
            <w:r/>
            <w:r>
              <w:rPr>
                <w:rFonts w:ascii="Figtree" w:hAnsi="Figtree"/>
                <w:b w:val="0"/>
                <w:i w:val="0"/>
                <w:sz w:val="20"/>
              </w:rPr>
              <w:t>OnchainID identity management</w:t>
            </w:r>
          </w:p>
        </w:tc>
      </w:tr>
      <w:tr>
        <w:trPr>
          <w:trHeight w:val="425" w:hRule="atLeast"/>
        </w:trPr>
        <w:tc>
          <w:tcPr>
            <w:tcW w:type="dxa" w:w="4873"/>
            <w:vAlign w:val="center"/>
          </w:tcPr>
          <w:p>
            <w:pPr>
              <w:spacing w:line="276" w:lineRule="auto" w:before="0" w:after="0"/>
            </w:pPr>
            <w:r/>
            <w:r>
              <w:rPr>
                <w:rFonts w:ascii="Figtree" w:hAnsi="Figtree"/>
                <w:b w:val="0"/>
                <w:i w:val="0"/>
                <w:sz w:val="20"/>
              </w:rPr>
              <w:t>ERC-20</w:t>
            </w:r>
          </w:p>
        </w:tc>
        <w:tc>
          <w:tcPr>
            <w:tcW w:type="dxa" w:w="4873"/>
            <w:vAlign w:val="center"/>
          </w:tcPr>
          <w:p>
            <w:pPr>
              <w:spacing w:line="276" w:lineRule="auto" w:before="0" w:after="0"/>
            </w:pPr>
            <w:r/>
            <w:r>
              <w:rPr>
                <w:rFonts w:ascii="Figtree" w:hAnsi="Figtree"/>
                <w:b w:val="0"/>
                <w:i w:val="0"/>
                <w:sz w:val="20"/>
              </w:rPr>
              <w:t>Backward-compatible token interface</w:t>
            </w:r>
          </w:p>
        </w:tc>
      </w:tr>
      <w:tr>
        <w:trPr>
          <w:trHeight w:val="425" w:hRule="atLeast"/>
        </w:trPr>
        <w:tc>
          <w:tcPr>
            <w:tcW w:type="dxa" w:w="4873"/>
            <w:vAlign w:val="center"/>
          </w:tcPr>
          <w:p>
            <w:pPr>
              <w:spacing w:line="276" w:lineRule="auto" w:before="0" w:after="0"/>
            </w:pPr>
            <w:r/>
            <w:r>
              <w:rPr>
                <w:rFonts w:ascii="Figtree" w:hAnsi="Figtree"/>
                <w:b w:val="0"/>
                <w:i w:val="0"/>
                <w:sz w:val="20"/>
              </w:rPr>
              <w:t>ERC-5805</w:t>
            </w:r>
          </w:p>
        </w:tc>
        <w:tc>
          <w:tcPr>
            <w:tcW w:type="dxa" w:w="4873"/>
            <w:vAlign w:val="center"/>
          </w:tcPr>
          <w:p>
            <w:pPr>
              <w:spacing w:line="276" w:lineRule="auto" w:before="0" w:after="0"/>
            </w:pPr>
            <w:r/>
            <w:r>
              <w:rPr>
                <w:rFonts w:ascii="Figtree" w:hAnsi="Figtree"/>
                <w:b w:val="0"/>
                <w:i w:val="0"/>
                <w:sz w:val="20"/>
              </w:rPr>
              <w:t>Voting power and governance snapshots</w:t>
            </w:r>
          </w:p>
        </w:tc>
      </w:tr>
      <w:tr>
        <w:trPr>
          <w:trHeight w:val="425" w:hRule="atLeast"/>
        </w:trPr>
        <w:tc>
          <w:tcPr>
            <w:tcW w:type="dxa" w:w="4873"/>
            <w:vAlign w:val="center"/>
          </w:tcPr>
          <w:p>
            <w:pPr>
              <w:spacing w:line="276" w:lineRule="auto" w:before="0" w:after="0"/>
            </w:pPr>
            <w:r/>
            <w:r>
              <w:rPr>
                <w:rFonts w:ascii="Figtree" w:hAnsi="Figtree"/>
                <w:b w:val="0"/>
                <w:i w:val="0"/>
                <w:sz w:val="20"/>
              </w:rPr>
              <w:t>EIP-2612</w:t>
            </w:r>
          </w:p>
        </w:tc>
        <w:tc>
          <w:tcPr>
            <w:tcW w:type="dxa" w:w="4873"/>
            <w:vAlign w:val="center"/>
          </w:tcPr>
          <w:p>
            <w:pPr>
              <w:spacing w:line="276" w:lineRule="auto" w:before="0" w:after="0"/>
            </w:pPr>
            <w:r/>
            <w:r>
              <w:rPr>
                <w:rFonts w:ascii="Figtree" w:hAnsi="Figtree"/>
                <w:b w:val="0"/>
                <w:i w:val="0"/>
                <w:sz w:val="20"/>
              </w:rPr>
              <w:t>Permit (gasless approvals)</w:t>
            </w:r>
          </w:p>
        </w:tc>
      </w:tr>
      <w:tr>
        <w:trPr>
          <w:trHeight w:val="425" w:hRule="atLeast"/>
        </w:trPr>
        <w:tc>
          <w:tcPr>
            <w:tcW w:type="dxa" w:w="4873"/>
            <w:vAlign w:val="center"/>
          </w:tcPr>
          <w:p>
            <w:pPr>
              <w:spacing w:line="276" w:lineRule="auto" w:before="0" w:after="0"/>
            </w:pPr>
            <w:r/>
            <w:r>
              <w:rPr>
                <w:rFonts w:ascii="Figtree" w:hAnsi="Figtree"/>
                <w:b w:val="0"/>
                <w:i w:val="0"/>
                <w:sz w:val="20"/>
              </w:rPr>
              <w:t>OpenAPI 3.1</w:t>
            </w:r>
          </w:p>
        </w:tc>
        <w:tc>
          <w:tcPr>
            <w:tcW w:type="dxa" w:w="4873"/>
            <w:vAlign w:val="center"/>
          </w:tcPr>
          <w:p>
            <w:pPr>
              <w:spacing w:line="276" w:lineRule="auto" w:before="0" w:after="0"/>
            </w:pPr>
            <w:r/>
            <w:r>
              <w:rPr>
                <w:rFonts w:ascii="Figtree" w:hAnsi="Figtree"/>
                <w:b w:val="0"/>
                <w:i w:val="0"/>
                <w:sz w:val="20"/>
              </w:rPr>
              <w:t>REST API documentation</w:t>
            </w:r>
          </w:p>
        </w:tc>
      </w:tr>
      <w:tr>
        <w:trPr>
          <w:trHeight w:val="425" w:hRule="atLeast"/>
        </w:trPr>
        <w:tc>
          <w:tcPr>
            <w:tcW w:type="dxa" w:w="4873"/>
            <w:vAlign w:val="center"/>
          </w:tcPr>
          <w:p>
            <w:pPr>
              <w:spacing w:line="276" w:lineRule="auto" w:before="0" w:after="0"/>
            </w:pPr>
            <w:r/>
            <w:r>
              <w:rPr>
                <w:rFonts w:ascii="Figtree" w:hAnsi="Figtree"/>
                <w:b w:val="0"/>
                <w:i w:val="0"/>
                <w:sz w:val="20"/>
              </w:rPr>
              <w:t>ISO 20022</w:t>
            </w:r>
          </w:p>
        </w:tc>
        <w:tc>
          <w:tcPr>
            <w:tcW w:type="dxa" w:w="4873"/>
            <w:vAlign w:val="center"/>
          </w:tcPr>
          <w:p>
            <w:pPr>
              <w:spacing w:line="276" w:lineRule="auto" w:before="0" w:after="0"/>
            </w:pPr>
            <w:r/>
            <w:r>
              <w:rPr>
                <w:rFonts w:ascii="Figtree" w:hAnsi="Figtree"/>
                <w:b w:val="0"/>
                <w:i w:val="0"/>
                <w:sz w:val="20"/>
              </w:rPr>
              <w:t>Payment message compatibility (middleware layer)</w:t>
            </w:r>
          </w:p>
        </w:tc>
      </w:tr>
    </w:tbl>
    <w:p>
      <w:pPr>
        <w:spacing w:before="0" w:after="0" w:line="120" w:lineRule="exact"/>
      </w:pPr>
    </w:p>
    <w:p>
      <w:pPr>
        <w:pStyle w:val="H3"/>
        <w:numPr>
          <w:ilvl w:val="2"/>
          <w:numId w:val="1"/>
        </w:numPr>
      </w:pPr>
      <w:r>
        <w:t>Key Differentiators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82"/>
        <w:gridCol w:w="3936"/>
        <w:gridCol w:w="325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Differentiator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Approach</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Typical Alternative</w:t>
            </w:r>
          </w:p>
        </w:tc>
      </w:tr>
      <w:tr>
        <w:trPr>
          <w:trHeight w:val="425" w:hRule="atLeast"/>
        </w:trPr>
        <w:tc>
          <w:tcPr>
            <w:tcW w:type="dxa" w:w="3249"/>
            <w:vAlign w:val="center"/>
          </w:tcPr>
          <w:p>
            <w:pPr>
              <w:spacing w:line="276" w:lineRule="auto" w:before="0" w:after="0"/>
            </w:pPr>
            <w:r/>
            <w:r>
              <w:rPr>
                <w:rFonts w:ascii="Figtree" w:hAnsi="Figtree"/>
                <w:b w:val="0"/>
                <w:i w:val="0"/>
                <w:sz w:val="20"/>
              </w:rPr>
              <w:t>Compliance enforcement</w:t>
            </w:r>
          </w:p>
        </w:tc>
        <w:tc>
          <w:tcPr>
            <w:tcW w:type="dxa" w:w="3249"/>
            <w:vAlign w:val="center"/>
          </w:tcPr>
          <w:p>
            <w:pPr>
              <w:spacing w:line="276" w:lineRule="auto" w:before="0" w:after="0"/>
            </w:pPr>
            <w:r/>
            <w:r>
              <w:rPr>
                <w:rFonts w:ascii="Figtree" w:hAnsi="Figtree"/>
                <w:b w:val="0"/>
                <w:i w:val="0"/>
                <w:sz w:val="20"/>
              </w:rPr>
              <w:t>On-chain, ex-ante, modular</w:t>
            </w:r>
          </w:p>
        </w:tc>
        <w:tc>
          <w:tcPr>
            <w:tcW w:type="dxa" w:w="3249"/>
            <w:vAlign w:val="center"/>
          </w:tcPr>
          <w:p>
            <w:pPr>
              <w:spacing w:line="276" w:lineRule="auto" w:before="0" w:after="0"/>
            </w:pPr>
            <w:r/>
            <w:r>
              <w:rPr>
                <w:rFonts w:ascii="Figtree" w:hAnsi="Figtree"/>
                <w:b w:val="0"/>
                <w:i w:val="0"/>
                <w:sz w:val="20"/>
              </w:rPr>
              <w:t>Off-chain, post-trade, custom</w:t>
            </w:r>
          </w:p>
        </w:tc>
      </w:tr>
      <w:tr>
        <w:trPr>
          <w:trHeight w:val="425" w:hRule="atLeast"/>
        </w:trPr>
        <w:tc>
          <w:tcPr>
            <w:tcW w:type="dxa" w:w="3249"/>
            <w:vAlign w:val="center"/>
          </w:tcPr>
          <w:p>
            <w:pPr>
              <w:spacing w:line="276" w:lineRule="auto" w:before="0" w:after="0"/>
            </w:pPr>
            <w:r/>
            <w:r>
              <w:rPr>
                <w:rFonts w:ascii="Figtree" w:hAnsi="Figtree"/>
                <w:b w:val="0"/>
                <w:i w:val="0"/>
                <w:sz w:val="20"/>
              </w:rPr>
              <w:t>Token architecture</w:t>
            </w:r>
          </w:p>
        </w:tc>
        <w:tc>
          <w:tcPr>
            <w:tcW w:type="dxa" w:w="3249"/>
            <w:vAlign w:val="center"/>
          </w:tcPr>
          <w:p>
            <w:pPr>
              <w:spacing w:line="276" w:lineRule="auto" w:before="0" w:after="0"/>
            </w:pPr>
            <w:r/>
            <w:r>
              <w:rPr>
                <w:rFonts w:ascii="Figtree" w:hAnsi="Figtree"/>
                <w:b w:val="0"/>
                <w:i w:val="0"/>
                <w:sz w:val="20"/>
              </w:rPr>
              <w:t>Configurable at runtime (DALPAsset)</w:t>
            </w:r>
          </w:p>
        </w:tc>
        <w:tc>
          <w:tcPr>
            <w:tcW w:type="dxa" w:w="3249"/>
            <w:vAlign w:val="center"/>
          </w:tcPr>
          <w:p>
            <w:pPr>
              <w:spacing w:line="276" w:lineRule="auto" w:before="0" w:after="0"/>
            </w:pPr>
            <w:r/>
            <w:r>
              <w:rPr>
                <w:rFonts w:ascii="Figtree" w:hAnsi="Figtree"/>
                <w:b w:val="0"/>
                <w:i w:val="0"/>
                <w:sz w:val="20"/>
              </w:rPr>
              <w:t>Fixed at deployment, re-audit required</w:t>
            </w:r>
          </w:p>
        </w:tc>
      </w:tr>
      <w:tr>
        <w:trPr>
          <w:trHeight w:val="425" w:hRule="atLeast"/>
        </w:trPr>
        <w:tc>
          <w:tcPr>
            <w:tcW w:type="dxa" w:w="3249"/>
            <w:vAlign w:val="center"/>
          </w:tcPr>
          <w:p>
            <w:pPr>
              <w:spacing w:line="276" w:lineRule="auto" w:before="0" w:after="0"/>
            </w:pPr>
            <w:r/>
            <w:r>
              <w:rPr>
                <w:rFonts w:ascii="Figtree" w:hAnsi="Figtree"/>
                <w:b w:val="0"/>
                <w:i w:val="0"/>
                <w:sz w:val="20"/>
              </w:rPr>
              <w:t>Custody model</w:t>
            </w:r>
          </w:p>
        </w:tc>
        <w:tc>
          <w:tcPr>
            <w:tcW w:type="dxa" w:w="3249"/>
            <w:vAlign w:val="center"/>
          </w:tcPr>
          <w:p>
            <w:pPr>
              <w:spacing w:line="276" w:lineRule="auto" w:before="0" w:after="0"/>
            </w:pPr>
            <w:r/>
            <w:r>
              <w:rPr>
                <w:rFonts w:ascii="Figtree" w:hAnsi="Figtree"/>
                <w:b w:val="0"/>
                <w:i w:val="0"/>
                <w:sz w:val="20"/>
              </w:rPr>
              <w:t>Bring-your-own (DFNS, Fireblocks)</w:t>
            </w:r>
          </w:p>
        </w:tc>
        <w:tc>
          <w:tcPr>
            <w:tcW w:type="dxa" w:w="3249"/>
            <w:vAlign w:val="center"/>
          </w:tcPr>
          <w:p>
            <w:pPr>
              <w:spacing w:line="276" w:lineRule="auto" w:before="0" w:after="0"/>
            </w:pPr>
            <w:r/>
            <w:r>
              <w:rPr>
                <w:rFonts w:ascii="Figtree" w:hAnsi="Figtree"/>
                <w:b w:val="0"/>
                <w:i w:val="0"/>
                <w:sz w:val="20"/>
              </w:rPr>
              <w:t>Single vendor lock-in</w:t>
            </w:r>
          </w:p>
        </w:tc>
      </w:tr>
      <w:tr>
        <w:trPr>
          <w:trHeight w:val="425" w:hRule="atLeast"/>
        </w:trPr>
        <w:tc>
          <w:tcPr>
            <w:tcW w:type="dxa" w:w="3249"/>
            <w:vAlign w:val="center"/>
          </w:tcPr>
          <w:p>
            <w:pPr>
              <w:spacing w:line="276" w:lineRule="auto" w:before="0" w:after="0"/>
            </w:pPr>
            <w:r/>
            <w:r>
              <w:rPr>
                <w:rFonts w:ascii="Figtree" w:hAnsi="Figtree"/>
                <w:b w:val="0"/>
                <w:i w:val="0"/>
                <w:sz w:val="20"/>
              </w:rPr>
              <w:t>Settlement</w:t>
            </w:r>
          </w:p>
        </w:tc>
        <w:tc>
          <w:tcPr>
            <w:tcW w:type="dxa" w:w="3249"/>
            <w:vAlign w:val="center"/>
          </w:tcPr>
          <w:p>
            <w:pPr>
              <w:spacing w:line="276" w:lineRule="auto" w:before="0" w:after="0"/>
            </w:pPr>
            <w:r/>
            <w:r>
              <w:rPr>
                <w:rFonts w:ascii="Figtree" w:hAnsi="Figtree"/>
                <w:b w:val="0"/>
                <w:i w:val="0"/>
                <w:sz w:val="20"/>
              </w:rPr>
              <w:t>Atomic DvP via XvP addon</w:t>
            </w:r>
          </w:p>
        </w:tc>
        <w:tc>
          <w:tcPr>
            <w:tcW w:type="dxa" w:w="3249"/>
            <w:vAlign w:val="center"/>
          </w:tcPr>
          <w:p>
            <w:pPr>
              <w:spacing w:line="276" w:lineRule="auto" w:before="0" w:after="0"/>
            </w:pPr>
            <w:r/>
            <w:r>
              <w:rPr>
                <w:rFonts w:ascii="Figtree" w:hAnsi="Figtree"/>
                <w:b w:val="0"/>
                <w:i w:val="0"/>
                <w:sz w:val="20"/>
              </w:rPr>
              <w:t>Multi-step with counterparty risk</w:t>
            </w:r>
          </w:p>
        </w:tc>
      </w:tr>
      <w:tr>
        <w:trPr>
          <w:trHeight w:val="425" w:hRule="atLeast"/>
        </w:trPr>
        <w:tc>
          <w:tcPr>
            <w:tcW w:type="dxa" w:w="3249"/>
            <w:vAlign w:val="center"/>
          </w:tcPr>
          <w:p>
            <w:pPr>
              <w:spacing w:line="276" w:lineRule="auto" w:before="0" w:after="0"/>
            </w:pPr>
            <w:r/>
            <w:r>
              <w:rPr>
                <w:rFonts w:ascii="Figtree" w:hAnsi="Figtree"/>
                <w:b w:val="0"/>
                <w:i w:val="0"/>
                <w:sz w:val="20"/>
              </w:rPr>
              <w:t>Licensing</w:t>
            </w:r>
          </w:p>
        </w:tc>
        <w:tc>
          <w:tcPr>
            <w:tcW w:type="dxa" w:w="3249"/>
            <w:vAlign w:val="center"/>
          </w:tcPr>
          <w:p>
            <w:pPr>
              <w:spacing w:line="276" w:lineRule="auto" w:before="0" w:after="0"/>
            </w:pPr>
            <w:r/>
            <w:r>
              <w:rPr>
                <w:rFonts w:ascii="Figtree" w:hAnsi="Figtree"/>
                <w:b w:val="0"/>
                <w:i w:val="0"/>
                <w:sz w:val="20"/>
              </w:rPr>
              <w:t>Platform subscription, no per-transaction fees</w:t>
            </w:r>
          </w:p>
        </w:tc>
        <w:tc>
          <w:tcPr>
            <w:tcW w:type="dxa" w:w="3249"/>
            <w:vAlign w:val="center"/>
          </w:tcPr>
          <w:p>
            <w:pPr>
              <w:spacing w:line="276" w:lineRule="auto" w:before="0" w:after="0"/>
            </w:pPr>
            <w:r/>
            <w:r>
              <w:rPr>
                <w:rFonts w:ascii="Figtree" w:hAnsi="Figtree"/>
                <w:b w:val="0"/>
                <w:i w:val="0"/>
                <w:sz w:val="20"/>
              </w:rPr>
              <w:t>Per-transaction or per-token pricing</w:t>
            </w:r>
          </w:p>
        </w:tc>
      </w:tr>
    </w:tbl>
    <w:p>
      <w:pPr>
        <w:spacing w:before="0" w:after="0" w:line="120" w:lineRule="exact"/>
      </w:pPr>
    </w:p>
    <w:p>
      <w:r>
        <w:br w:type="page"/>
      </w:r>
    </w:p>
    <w:p>
      <w:pPr>
        <w:pStyle w:val="H2"/>
        <w:numPr>
          <w:ilvl w:val="1"/>
          <w:numId w:val="1"/>
        </w:numPr>
      </w:pPr>
      <w:r>
        <w:t>Customer References</w:t>
      </w:r>
    </w:p>
    <w:p>
      <w:pPr>
        <w:pStyle w:val="H3"/>
        <w:numPr>
          <w:ilvl w:val="2"/>
          <w:numId w:val="1"/>
        </w:numPr>
      </w:pPr>
      <w:r>
        <w:t>Summary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55"/>
        <w:gridCol w:w="1755"/>
        <w:gridCol w:w="1170"/>
        <w:gridCol w:w="1243"/>
        <w:gridCol w:w="3145"/>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Asset Class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Relevance to Emirates NBD</w:t>
            </w:r>
          </w:p>
        </w:tc>
      </w:tr>
      <w:tr>
        <w:trPr>
          <w:trHeight w:val="425" w:hRule="atLeast"/>
        </w:trPr>
        <w:tc>
          <w:tcPr>
            <w:tcW w:type="dxa" w:w="1949"/>
            <w:vAlign w:val="center"/>
          </w:tcPr>
          <w:p>
            <w:pPr>
              <w:spacing w:line="276" w:lineRule="auto" w:before="0" w:after="0"/>
            </w:pPr>
            <w:r/>
            <w:r>
              <w:rPr>
                <w:rFonts w:ascii="Figtree" w:hAnsi="Figtree"/>
                <w:b w:val="0"/>
                <w:i w:val="0"/>
                <w:sz w:val="20"/>
              </w:rPr>
              <w:t>Standard Chartered Bank</w:t>
            </w:r>
          </w:p>
        </w:tc>
        <w:tc>
          <w:tcPr>
            <w:tcW w:type="dxa" w:w="1949"/>
            <w:vAlign w:val="center"/>
          </w:tcPr>
          <w:p>
            <w:pPr>
              <w:spacing w:line="276" w:lineRule="auto" w:before="0" w:after="0"/>
            </w:pPr>
            <w:r/>
            <w:r>
              <w:rPr>
                <w:rFonts w:ascii="Figtree" w:hAnsi="Figtree"/>
                <w:b w:val="0"/>
                <w:i w:val="0"/>
                <w:sz w:val="20"/>
              </w:rPr>
              <w:t>Digital Virtual Exchange</w:t>
            </w:r>
          </w:p>
        </w:tc>
        <w:tc>
          <w:tcPr>
            <w:tcW w:type="dxa" w:w="1949"/>
            <w:vAlign w:val="center"/>
          </w:tcPr>
          <w:p>
            <w:pPr>
              <w:spacing w:line="276" w:lineRule="auto" w:before="0" w:after="0"/>
            </w:pPr>
            <w:r/>
            <w:r>
              <w:rPr>
                <w:rFonts w:ascii="Figtree" w:hAnsi="Figtree"/>
                <w:b w:val="0"/>
                <w:i w:val="0"/>
                <w:sz w:val="20"/>
              </w:rPr>
              <w:t>Asia, Africa, ME</w:t>
            </w:r>
          </w:p>
        </w:tc>
        <w:tc>
          <w:tcPr>
            <w:tcW w:type="dxa" w:w="1949"/>
            <w:vAlign w:val="center"/>
          </w:tcPr>
          <w:p>
            <w:pPr>
              <w:spacing w:line="276" w:lineRule="auto" w:before="0" w:after="0"/>
            </w:pPr>
            <w:r/>
            <w:r>
              <w:rPr>
                <w:rFonts w:ascii="Figtree" w:hAnsi="Figtree"/>
                <w:b w:val="0"/>
                <w:i w:val="0"/>
                <w:sz w:val="20"/>
              </w:rPr>
              <w:t>Securities</w:t>
            </w:r>
          </w:p>
        </w:tc>
        <w:tc>
          <w:tcPr>
            <w:tcW w:type="dxa" w:w="1949"/>
            <w:vAlign w:val="center"/>
          </w:tcPr>
          <w:p>
            <w:pPr>
              <w:spacing w:line="276" w:lineRule="auto" w:before="0" w:after="0"/>
            </w:pPr>
            <w:r/>
            <w:r>
              <w:rPr>
                <w:rFonts w:ascii="Figtree" w:hAnsi="Figtree"/>
                <w:b w:val="0"/>
                <w:i w:val="0"/>
                <w:sz w:val="20"/>
              </w:rPr>
              <w:t>Multi-region institutional trading</w:t>
            </w:r>
          </w:p>
        </w:tc>
      </w:tr>
      <w:tr>
        <w:trPr>
          <w:trHeight w:val="425" w:hRule="atLeast"/>
        </w:trPr>
        <w:tc>
          <w:tcPr>
            <w:tcW w:type="dxa" w:w="1949"/>
            <w:vAlign w:val="center"/>
          </w:tcPr>
          <w:p>
            <w:pPr>
              <w:spacing w:line="276" w:lineRule="auto" w:before="0" w:after="0"/>
            </w:pPr>
            <w:r/>
            <w:r>
              <w:rPr>
                <w:rFonts w:ascii="Figtree" w:hAnsi="Figtree"/>
                <w:b w:val="0"/>
                <w:i w:val="0"/>
                <w:sz w:val="20"/>
              </w:rPr>
              <w:t>Commerzbank</w:t>
            </w:r>
          </w:p>
        </w:tc>
        <w:tc>
          <w:tcPr>
            <w:tcW w:type="dxa" w:w="1949"/>
            <w:vAlign w:val="center"/>
          </w:tcPr>
          <w:p>
            <w:pPr>
              <w:spacing w:line="276" w:lineRule="auto" w:before="0" w:after="0"/>
            </w:pPr>
            <w:r/>
            <w:r>
              <w:rPr>
                <w:rFonts w:ascii="Figtree" w:hAnsi="Figtree"/>
                <w:b w:val="0"/>
                <w:i w:val="0"/>
                <w:sz w:val="20"/>
              </w:rPr>
              <w:t>Exchange-Traded Products</w:t>
            </w:r>
          </w:p>
        </w:tc>
        <w:tc>
          <w:tcPr>
            <w:tcW w:type="dxa" w:w="1949"/>
            <w:vAlign w:val="center"/>
          </w:tcPr>
          <w:p>
            <w:pPr>
              <w:spacing w:line="276" w:lineRule="auto" w:before="0" w:after="0"/>
            </w:pPr>
            <w:r/>
            <w:r>
              <w:rPr>
                <w:rFonts w:ascii="Figtree" w:hAnsi="Figtree"/>
                <w:b w:val="0"/>
                <w:i w:val="0"/>
                <w:sz w:val="20"/>
              </w:rPr>
              <w:t>Europe (Germany)</w:t>
            </w:r>
          </w:p>
        </w:tc>
        <w:tc>
          <w:tcPr>
            <w:tcW w:type="dxa" w:w="1949"/>
            <w:vAlign w:val="center"/>
          </w:tcPr>
          <w:p>
            <w:pPr>
              <w:spacing w:line="276" w:lineRule="auto" w:before="0" w:after="0"/>
            </w:pPr>
            <w:r/>
            <w:r>
              <w:rPr>
                <w:rFonts w:ascii="Figtree" w:hAnsi="Figtree"/>
                <w:b w:val="0"/>
                <w:i w:val="0"/>
                <w:sz w:val="20"/>
              </w:rPr>
              <w:t>ETPs</w:t>
            </w:r>
          </w:p>
        </w:tc>
        <w:tc>
          <w:tcPr>
            <w:tcW w:type="dxa" w:w="1949"/>
            <w:vAlign w:val="center"/>
          </w:tcPr>
          <w:p>
            <w:pPr>
              <w:spacing w:line="276" w:lineRule="auto" w:before="0" w:after="0"/>
            </w:pPr>
            <w:r/>
            <w:r>
              <w:rPr>
                <w:rFonts w:ascii="Figtree" w:hAnsi="Figtree"/>
                <w:b w:val="0"/>
                <w:i w:val="0"/>
                <w:sz w:val="20"/>
              </w:rPr>
              <w:t>Regulated exchange listing, &lt;10s settlement</w:t>
            </w:r>
          </w:p>
        </w:tc>
      </w:tr>
      <w:tr>
        <w:trPr>
          <w:trHeight w:val="425" w:hRule="atLeast"/>
        </w:trPr>
        <w:tc>
          <w:tcPr>
            <w:tcW w:type="dxa" w:w="1949"/>
            <w:vAlign w:val="center"/>
          </w:tcPr>
          <w:p>
            <w:pPr>
              <w:spacing w:line="276" w:lineRule="auto" w:before="0" w:after="0"/>
            </w:pPr>
            <w:r/>
            <w:r>
              <w:rPr>
                <w:rFonts w:ascii="Figtree" w:hAnsi="Figtree"/>
                <w:b w:val="0"/>
                <w:i w:val="0"/>
                <w:sz w:val="20"/>
              </w:rPr>
              <w:t>OCBC Bank</w:t>
            </w:r>
          </w:p>
        </w:tc>
        <w:tc>
          <w:tcPr>
            <w:tcW w:type="dxa" w:w="1949"/>
            <w:vAlign w:val="center"/>
          </w:tcPr>
          <w:p>
            <w:pPr>
              <w:spacing w:line="276" w:lineRule="auto" w:before="0" w:after="0"/>
            </w:pPr>
            <w:r/>
            <w:r>
              <w:rPr>
                <w:rFonts w:ascii="Figtree" w:hAnsi="Figtree"/>
                <w:b w:val="0"/>
                <w:i w:val="0"/>
                <w:sz w:val="20"/>
              </w:rPr>
              <w:t>Security Token Engine</w:t>
            </w:r>
          </w:p>
        </w:tc>
        <w:tc>
          <w:tcPr>
            <w:tcW w:type="dxa" w:w="1949"/>
            <w:vAlign w:val="center"/>
          </w:tcPr>
          <w:p>
            <w:pPr>
              <w:spacing w:line="276" w:lineRule="auto" w:before="0" w:after="0"/>
            </w:pPr>
            <w:r/>
            <w:r>
              <w:rPr>
                <w:rFonts w:ascii="Figtree" w:hAnsi="Figtree"/>
                <w:b w:val="0"/>
                <w:i w:val="0"/>
                <w:sz w:val="20"/>
              </w:rPr>
              <w:t>Singapore</w:t>
            </w:r>
          </w:p>
        </w:tc>
        <w:tc>
          <w:tcPr>
            <w:tcW w:type="dxa" w:w="1949"/>
            <w:vAlign w:val="center"/>
          </w:tcPr>
          <w:p>
            <w:pPr>
              <w:spacing w:line="276" w:lineRule="auto" w:before="0" w:after="0"/>
            </w:pPr>
            <w:r/>
            <w:r>
              <w:rPr>
                <w:rFonts w:ascii="Figtree" w:hAnsi="Figtree"/>
                <w:b w:val="0"/>
                <w:i w:val="0"/>
                <w:sz w:val="20"/>
              </w:rPr>
              <w:t>Securities, SPVs</w:t>
            </w:r>
          </w:p>
        </w:tc>
        <w:tc>
          <w:tcPr>
            <w:tcW w:type="dxa" w:w="1949"/>
            <w:vAlign w:val="center"/>
          </w:tcPr>
          <w:p>
            <w:pPr>
              <w:spacing w:line="276" w:lineRule="auto" w:before="0" w:after="0"/>
            </w:pPr>
            <w:r/>
            <w:r>
              <w:rPr>
                <w:rFonts w:ascii="Figtree" w:hAnsi="Figtree"/>
                <w:b w:val="0"/>
                <w:i w:val="0"/>
                <w:sz w:val="20"/>
              </w:rPr>
              <w:t>Bank-grade tokenization</w:t>
            </w:r>
          </w:p>
        </w:tc>
      </w:tr>
      <w:tr>
        <w:trPr>
          <w:trHeight w:val="425" w:hRule="atLeast"/>
        </w:trPr>
        <w:tc>
          <w:tcPr>
            <w:tcW w:type="dxa" w:w="1949"/>
            <w:vAlign w:val="center"/>
          </w:tcPr>
          <w:p>
            <w:pPr>
              <w:spacing w:line="276" w:lineRule="auto" w:before="0" w:after="0"/>
            </w:pPr>
            <w:r/>
            <w:r>
              <w:rPr>
                <w:rFonts w:ascii="Figtree" w:hAnsi="Figtree"/>
                <w:b w:val="0"/>
                <w:i w:val="0"/>
                <w:sz w:val="20"/>
              </w:rPr>
              <w:t>State Bank of India</w:t>
            </w:r>
          </w:p>
        </w:tc>
        <w:tc>
          <w:tcPr>
            <w:tcW w:type="dxa" w:w="1949"/>
            <w:vAlign w:val="center"/>
          </w:tcPr>
          <w:p>
            <w:pPr>
              <w:spacing w:line="276" w:lineRule="auto" w:before="0" w:after="0"/>
            </w:pPr>
            <w:r/>
            <w:r>
              <w:rPr>
                <w:rFonts w:ascii="Figtree" w:hAnsi="Figtree"/>
                <w:b w:val="0"/>
                <w:i w:val="0"/>
                <w:sz w:val="20"/>
              </w:rPr>
              <w:t>CBDC Infrastructure</w:t>
            </w:r>
          </w:p>
        </w:tc>
        <w:tc>
          <w:tcPr>
            <w:tcW w:type="dxa" w:w="1949"/>
            <w:vAlign w:val="center"/>
          </w:tcPr>
          <w:p>
            <w:pPr>
              <w:spacing w:line="276" w:lineRule="auto" w:before="0" w:after="0"/>
            </w:pPr>
            <w:r/>
            <w:r>
              <w:rPr>
                <w:rFonts w:ascii="Figtree" w:hAnsi="Figtree"/>
                <w:b w:val="0"/>
                <w:i w:val="0"/>
                <w:sz w:val="20"/>
              </w:rPr>
              <w:t>India</w:t>
            </w:r>
          </w:p>
        </w:tc>
        <w:tc>
          <w:tcPr>
            <w:tcW w:type="dxa" w:w="1949"/>
            <w:vAlign w:val="center"/>
          </w:tcPr>
          <w:p>
            <w:pPr>
              <w:spacing w:line="276" w:lineRule="auto" w:before="0" w:after="0"/>
            </w:pPr>
            <w:r/>
            <w:r>
              <w:rPr>
                <w:rFonts w:ascii="Figtree" w:hAnsi="Figtree"/>
                <w:b w:val="0"/>
                <w:i w:val="0"/>
                <w:sz w:val="20"/>
              </w:rPr>
              <w:t>Digital currency</w:t>
            </w:r>
          </w:p>
        </w:tc>
        <w:tc>
          <w:tcPr>
            <w:tcW w:type="dxa" w:w="1949"/>
            <w:vAlign w:val="center"/>
          </w:tcPr>
          <w:p>
            <w:pPr>
              <w:spacing w:line="276" w:lineRule="auto" w:before="0" w:after="0"/>
            </w:pPr>
            <w:r/>
            <w:r>
              <w:rPr>
                <w:rFonts w:ascii="Figtree" w:hAnsi="Figtree"/>
                <w:b w:val="0"/>
                <w:i w:val="0"/>
                <w:sz w:val="20"/>
              </w:rPr>
              <w:t>National-scale payment rails</w:t>
            </w:r>
          </w:p>
        </w:tc>
      </w:tr>
      <w:tr>
        <w:trPr>
          <w:trHeight w:val="425" w:hRule="atLeast"/>
        </w:trPr>
        <w:tc>
          <w:tcPr>
            <w:tcW w:type="dxa" w:w="1949"/>
            <w:vAlign w:val="center"/>
          </w:tcPr>
          <w:p>
            <w:pPr>
              <w:spacing w:line="276" w:lineRule="auto" w:before="0" w:after="0"/>
            </w:pPr>
            <w:r/>
            <w:r>
              <w:rPr>
                <w:rFonts w:ascii="Figtree" w:hAnsi="Figtree"/>
                <w:b w:val="0"/>
                <w:i w:val="0"/>
                <w:sz w:val="20"/>
              </w:rPr>
              <w:t>Reserve Bank of India</w:t>
            </w:r>
          </w:p>
        </w:tc>
        <w:tc>
          <w:tcPr>
            <w:tcW w:type="dxa" w:w="1949"/>
            <w:vAlign w:val="center"/>
          </w:tcPr>
          <w:p>
            <w:pPr>
              <w:spacing w:line="276" w:lineRule="auto" w:before="0" w:after="0"/>
            </w:pPr>
            <w:r/>
            <w:r>
              <w:rPr>
                <w:rFonts w:ascii="Figtree" w:hAnsi="Figtree"/>
                <w:b w:val="0"/>
                <w:i w:val="0"/>
                <w:sz w:val="20"/>
              </w:rPr>
              <w:t>Trade Finance Blockchain</w:t>
            </w:r>
          </w:p>
        </w:tc>
        <w:tc>
          <w:tcPr>
            <w:tcW w:type="dxa" w:w="1949"/>
            <w:vAlign w:val="center"/>
          </w:tcPr>
          <w:p>
            <w:pPr>
              <w:spacing w:line="276" w:lineRule="auto" w:before="0" w:after="0"/>
            </w:pPr>
            <w:r/>
            <w:r>
              <w:rPr>
                <w:rFonts w:ascii="Figtree" w:hAnsi="Figtree"/>
                <w:b w:val="0"/>
                <w:i w:val="0"/>
                <w:sz w:val="20"/>
              </w:rPr>
              <w:t>India</w:t>
            </w:r>
          </w:p>
        </w:tc>
        <w:tc>
          <w:tcPr>
            <w:tcW w:type="dxa" w:w="1949"/>
            <w:vAlign w:val="center"/>
          </w:tcPr>
          <w:p>
            <w:pPr>
              <w:spacing w:line="276" w:lineRule="auto" w:before="0" w:after="0"/>
            </w:pPr>
            <w:r/>
            <w:r>
              <w:rPr>
                <w:rFonts w:ascii="Figtree" w:hAnsi="Figtree"/>
                <w:b w:val="0"/>
                <w:i w:val="0"/>
                <w:sz w:val="20"/>
              </w:rPr>
              <w:t>Trade finance</w:t>
            </w:r>
          </w:p>
        </w:tc>
        <w:tc>
          <w:tcPr>
            <w:tcW w:type="dxa" w:w="1949"/>
            <w:vAlign w:val="center"/>
          </w:tcPr>
          <w:p>
            <w:pPr>
              <w:spacing w:line="276" w:lineRule="auto" w:before="0" w:after="0"/>
            </w:pPr>
            <w:r/>
            <w:r>
              <w:rPr>
                <w:rFonts w:ascii="Figtree" w:hAnsi="Figtree"/>
                <w:b w:val="0"/>
                <w:i w:val="0"/>
                <w:sz w:val="20"/>
              </w:rPr>
              <w:t>Multi-bank trade workflows</w:t>
            </w:r>
          </w:p>
        </w:tc>
      </w:tr>
      <w:tr>
        <w:trPr>
          <w:trHeight w:val="425" w:hRule="atLeast"/>
        </w:trPr>
        <w:tc>
          <w:tcPr>
            <w:tcW w:type="dxa" w:w="1949"/>
            <w:vAlign w:val="center"/>
          </w:tcPr>
          <w:p>
            <w:pPr>
              <w:spacing w:line="276" w:lineRule="auto" w:before="0" w:after="0"/>
            </w:pPr>
            <w:r/>
            <w:r>
              <w:rPr>
                <w:rFonts w:ascii="Figtree" w:hAnsi="Figtree"/>
                <w:b w:val="0"/>
                <w:i w:val="0"/>
                <w:sz w:val="20"/>
              </w:rPr>
              <w:t>Islamic Development Bank</w:t>
            </w:r>
          </w:p>
        </w:tc>
        <w:tc>
          <w:tcPr>
            <w:tcW w:type="dxa" w:w="1949"/>
            <w:vAlign w:val="center"/>
          </w:tcPr>
          <w:p>
            <w:pPr>
              <w:spacing w:line="276" w:lineRule="auto" w:before="0" w:after="0"/>
            </w:pPr>
            <w:r/>
            <w:r>
              <w:rPr>
                <w:rFonts w:ascii="Figtree" w:hAnsi="Figtree"/>
                <w:b w:val="0"/>
                <w:i w:val="0"/>
                <w:sz w:val="20"/>
              </w:rPr>
              <w:t>Subsidy Distribution</w:t>
            </w:r>
          </w:p>
        </w:tc>
        <w:tc>
          <w:tcPr>
            <w:tcW w:type="dxa" w:w="1949"/>
            <w:vAlign w:val="center"/>
          </w:tcPr>
          <w:p>
            <w:pPr>
              <w:spacing w:line="276" w:lineRule="auto" w:before="0" w:after="0"/>
            </w:pPr>
            <w:r/>
            <w:r>
              <w:rPr>
                <w:rFonts w:ascii="Figtree" w:hAnsi="Figtree"/>
                <w:b w:val="0"/>
                <w:i w:val="0"/>
                <w:sz w:val="20"/>
              </w:rPr>
              <w:t>57 countries</w:t>
            </w:r>
          </w:p>
        </w:tc>
        <w:tc>
          <w:tcPr>
            <w:tcW w:type="dxa" w:w="1949"/>
            <w:vAlign w:val="center"/>
          </w:tcPr>
          <w:p>
            <w:pPr>
              <w:spacing w:line="276" w:lineRule="auto" w:before="0" w:after="0"/>
            </w:pPr>
            <w:r/>
            <w:r>
              <w:rPr>
                <w:rFonts w:ascii="Figtree" w:hAnsi="Figtree"/>
                <w:b w:val="0"/>
                <w:i w:val="0"/>
                <w:sz w:val="20"/>
              </w:rPr>
              <w:t>Subsidy tokens</w:t>
            </w:r>
          </w:p>
        </w:tc>
        <w:tc>
          <w:tcPr>
            <w:tcW w:type="dxa" w:w="1949"/>
            <w:vAlign w:val="center"/>
          </w:tcPr>
          <w:p>
            <w:pPr>
              <w:spacing w:line="276" w:lineRule="auto" w:before="0" w:after="0"/>
            </w:pPr>
            <w:r/>
            <w:r>
              <w:rPr>
                <w:rFonts w:ascii="Figtree" w:hAnsi="Figtree"/>
                <w:b w:val="0"/>
                <w:i w:val="0"/>
                <w:sz w:val="20"/>
              </w:rPr>
              <w:t>Sovereign-scale, Sharia-compliant</w:t>
            </w:r>
          </w:p>
        </w:tc>
      </w:tr>
      <w:tr>
        <w:trPr>
          <w:trHeight w:val="425" w:hRule="atLeast"/>
        </w:trPr>
        <w:tc>
          <w:tcPr>
            <w:tcW w:type="dxa" w:w="1949"/>
            <w:vAlign w:val="center"/>
          </w:tcPr>
          <w:p>
            <w:pPr>
              <w:spacing w:line="276" w:lineRule="auto" w:before="0" w:after="0"/>
            </w:pPr>
            <w:r/>
            <w:r>
              <w:rPr>
                <w:rFonts w:ascii="Figtree" w:hAnsi="Figtree"/>
                <w:b w:val="0"/>
                <w:i w:val="0"/>
                <w:sz w:val="20"/>
              </w:rPr>
              <w:t>Sony Bank</w:t>
            </w:r>
          </w:p>
        </w:tc>
        <w:tc>
          <w:tcPr>
            <w:tcW w:type="dxa" w:w="1949"/>
            <w:vAlign w:val="center"/>
          </w:tcPr>
          <w:p>
            <w:pPr>
              <w:spacing w:line="276" w:lineRule="auto" w:before="0" w:after="0"/>
            </w:pPr>
            <w:r/>
            <w:r>
              <w:rPr>
                <w:rFonts w:ascii="Figtree" w:hAnsi="Figtree"/>
                <w:b w:val="0"/>
                <w:i w:val="0"/>
                <w:sz w:val="20"/>
              </w:rPr>
              <w:t>Stablecoin Issuance</w:t>
            </w:r>
          </w:p>
        </w:tc>
        <w:tc>
          <w:tcPr>
            <w:tcW w:type="dxa" w:w="1949"/>
            <w:vAlign w:val="center"/>
          </w:tcPr>
          <w:p>
            <w:pPr>
              <w:spacing w:line="276" w:lineRule="auto" w:before="0" w:after="0"/>
            </w:pPr>
            <w:r/>
            <w:r>
              <w:rPr>
                <w:rFonts w:ascii="Figtree" w:hAnsi="Figtree"/>
                <w:b w:val="0"/>
                <w:i w:val="0"/>
                <w:sz w:val="20"/>
              </w:rPr>
              <w:t>Japan</w:t>
            </w:r>
          </w:p>
        </w:tc>
        <w:tc>
          <w:tcPr>
            <w:tcW w:type="dxa" w:w="1949"/>
            <w:vAlign w:val="center"/>
          </w:tcPr>
          <w:p>
            <w:pPr>
              <w:spacing w:line="276" w:lineRule="auto" w:before="0" w:after="0"/>
            </w:pPr>
            <w:r/>
            <w:r>
              <w:rPr>
                <w:rFonts w:ascii="Figtree" w:hAnsi="Figtree"/>
                <w:b w:val="0"/>
                <w:i w:val="0"/>
                <w:sz w:val="20"/>
              </w:rPr>
              <w:t>Stablecoins</w:t>
            </w:r>
          </w:p>
        </w:tc>
        <w:tc>
          <w:tcPr>
            <w:tcW w:type="dxa" w:w="1949"/>
            <w:vAlign w:val="center"/>
          </w:tcPr>
          <w:p>
            <w:pPr>
              <w:spacing w:line="276" w:lineRule="auto" w:before="0" w:after="0"/>
            </w:pPr>
            <w:r/>
            <w:r>
              <w:rPr>
                <w:rFonts w:ascii="Figtree" w:hAnsi="Figtree"/>
                <w:b w:val="0"/>
                <w:i w:val="0"/>
                <w:sz w:val="20"/>
              </w:rPr>
              <w:t>Deposit-adjacent digital currency</w:t>
            </w:r>
          </w:p>
        </w:tc>
      </w:tr>
      <w:tr>
        <w:trPr>
          <w:trHeight w:val="425" w:hRule="atLeast"/>
        </w:trPr>
        <w:tc>
          <w:tcPr>
            <w:tcW w:type="dxa" w:w="1949"/>
            <w:vAlign w:val="center"/>
          </w:tcPr>
          <w:p>
            <w:pPr>
              <w:spacing w:line="276" w:lineRule="auto" w:before="0" w:after="0"/>
            </w:pPr>
            <w:r/>
            <w:r>
              <w:rPr>
                <w:rFonts w:ascii="Figtree" w:hAnsi="Figtree"/>
                <w:b w:val="0"/>
                <w:i w:val="0"/>
                <w:sz w:val="20"/>
              </w:rPr>
              <w:t>Saudi Arabia RER</w:t>
            </w:r>
          </w:p>
        </w:tc>
        <w:tc>
          <w:tcPr>
            <w:tcW w:type="dxa" w:w="1949"/>
            <w:vAlign w:val="center"/>
          </w:tcPr>
          <w:p>
            <w:pPr>
              <w:spacing w:line="276" w:lineRule="auto" w:before="0" w:after="0"/>
            </w:pPr>
            <w:r/>
            <w:r>
              <w:rPr>
                <w:rFonts w:ascii="Figtree" w:hAnsi="Figtree"/>
                <w:b w:val="0"/>
                <w:i w:val="0"/>
                <w:sz w:val="20"/>
              </w:rPr>
              <w:t>Real Estate Registry</w:t>
            </w:r>
          </w:p>
        </w:tc>
        <w:tc>
          <w:tcPr>
            <w:tcW w:type="dxa" w:w="1949"/>
            <w:vAlign w:val="center"/>
          </w:tcPr>
          <w:p>
            <w:pPr>
              <w:spacing w:line="276" w:lineRule="auto" w:before="0" w:after="0"/>
            </w:pPr>
            <w:r/>
            <w:r>
              <w:rPr>
                <w:rFonts w:ascii="Figtree" w:hAnsi="Figtree"/>
                <w:b w:val="0"/>
                <w:i w:val="0"/>
                <w:sz w:val="20"/>
              </w:rPr>
              <w:t>KSA</w:t>
            </w:r>
          </w:p>
        </w:tc>
        <w:tc>
          <w:tcPr>
            <w:tcW w:type="dxa" w:w="1949"/>
            <w:vAlign w:val="center"/>
          </w:tcPr>
          <w:p>
            <w:pPr>
              <w:spacing w:line="276" w:lineRule="auto" w:before="0" w:after="0"/>
            </w:pPr>
            <w:r/>
            <w:r>
              <w:rPr>
                <w:rFonts w:ascii="Figtree" w:hAnsi="Figtree"/>
                <w:b w:val="0"/>
                <w:i w:val="0"/>
                <w:sz w:val="20"/>
              </w:rPr>
              <w:t>Real estate</w:t>
            </w:r>
          </w:p>
        </w:tc>
        <w:tc>
          <w:tcPr>
            <w:tcW w:type="dxa" w:w="1949"/>
            <w:vAlign w:val="center"/>
          </w:tcPr>
          <w:p>
            <w:pPr>
              <w:spacing w:line="276" w:lineRule="auto" w:before="0" w:after="0"/>
            </w:pPr>
            <w:r/>
            <w:r>
              <w:rPr>
                <w:rFonts w:ascii="Figtree" w:hAnsi="Figtree"/>
                <w:b w:val="0"/>
                <w:i w:val="0"/>
                <w:sz w:val="20"/>
              </w:rPr>
              <w:t>Country-scale sovereign program</w:t>
            </w:r>
          </w:p>
        </w:tc>
      </w:tr>
      <w:tr>
        <w:trPr>
          <w:trHeight w:val="425" w:hRule="atLeast"/>
        </w:trPr>
        <w:tc>
          <w:tcPr>
            <w:tcW w:type="dxa" w:w="1949"/>
            <w:vAlign w:val="center"/>
          </w:tcPr>
          <w:p>
            <w:pPr>
              <w:spacing w:line="276" w:lineRule="auto" w:before="0" w:after="0"/>
            </w:pPr>
            <w:r/>
            <w:r>
              <w:rPr>
                <w:rFonts w:ascii="Figtree" w:hAnsi="Figtree"/>
                <w:b w:val="0"/>
                <w:i w:val="0"/>
                <w:sz w:val="20"/>
              </w:rPr>
              <w:t>Maybank (Project Photon)</w:t>
            </w:r>
          </w:p>
        </w:tc>
        <w:tc>
          <w:tcPr>
            <w:tcW w:type="dxa" w:w="1949"/>
            <w:vAlign w:val="center"/>
          </w:tcPr>
          <w:p>
            <w:pPr>
              <w:spacing w:line="276" w:lineRule="auto" w:before="0" w:after="0"/>
            </w:pPr>
            <w:r/>
            <w:r>
              <w:rPr>
                <w:rFonts w:ascii="Figtree" w:hAnsi="Figtree"/>
                <w:b w:val="0"/>
                <w:i w:val="0"/>
                <w:sz w:val="20"/>
              </w:rPr>
              <w:t>FX Tokenization</w:t>
            </w:r>
          </w:p>
        </w:tc>
        <w:tc>
          <w:tcPr>
            <w:tcW w:type="dxa" w:w="1949"/>
            <w:vAlign w:val="center"/>
          </w:tcPr>
          <w:p>
            <w:pPr>
              <w:spacing w:line="276" w:lineRule="auto" w:before="0" w:after="0"/>
            </w:pPr>
            <w:r/>
            <w:r>
              <w:rPr>
                <w:rFonts w:ascii="Figtree" w:hAnsi="Figtree"/>
                <w:b w:val="0"/>
                <w:i w:val="0"/>
                <w:sz w:val="20"/>
              </w:rPr>
              <w:t>Malaysia</w:t>
            </w:r>
          </w:p>
        </w:tc>
        <w:tc>
          <w:tcPr>
            <w:tcW w:type="dxa" w:w="1949"/>
            <w:vAlign w:val="center"/>
          </w:tcPr>
          <w:p>
            <w:pPr>
              <w:spacing w:line="276" w:lineRule="auto" w:before="0" w:after="0"/>
            </w:pPr>
            <w:r/>
            <w:r>
              <w:rPr>
                <w:rFonts w:ascii="Figtree" w:hAnsi="Figtree"/>
                <w:b w:val="0"/>
                <w:i w:val="0"/>
                <w:sz w:val="20"/>
              </w:rPr>
              <w:t>FX tokens</w:t>
            </w:r>
          </w:p>
        </w:tc>
        <w:tc>
          <w:tcPr>
            <w:tcW w:type="dxa" w:w="1949"/>
            <w:vAlign w:val="center"/>
          </w:tcPr>
          <w:p>
            <w:pPr>
              <w:spacing w:line="276" w:lineRule="auto" w:before="0" w:after="0"/>
            </w:pPr>
            <w:r/>
            <w:r>
              <w:rPr>
                <w:rFonts w:ascii="Figtree" w:hAnsi="Figtree"/>
                <w:b w:val="0"/>
                <w:i w:val="0"/>
                <w:sz w:val="20"/>
              </w:rPr>
              <w:t>Cross-border atomic settlement</w:t>
            </w:r>
          </w:p>
        </w:tc>
      </w:tr>
      <w:tr>
        <w:trPr>
          <w:trHeight w:val="425" w:hRule="atLeast"/>
        </w:trPr>
        <w:tc>
          <w:tcPr>
            <w:tcW w:type="dxa" w:w="1949"/>
            <w:vAlign w:val="center"/>
          </w:tcPr>
          <w:p>
            <w:pPr>
              <w:spacing w:line="276" w:lineRule="auto" w:before="0" w:after="0"/>
            </w:pPr>
            <w:r/>
            <w:r>
              <w:rPr>
                <w:rFonts w:ascii="Figtree" w:hAnsi="Figtree"/>
                <w:b w:val="0"/>
                <w:i w:val="0"/>
                <w:sz w:val="20"/>
              </w:rPr>
              <w:t>ADI Finstreet</w:t>
            </w:r>
          </w:p>
        </w:tc>
        <w:tc>
          <w:tcPr>
            <w:tcW w:type="dxa" w:w="1949"/>
            <w:vAlign w:val="center"/>
          </w:tcPr>
          <w:p>
            <w:pPr>
              <w:spacing w:line="276" w:lineRule="auto" w:before="0" w:after="0"/>
            </w:pPr>
            <w:r/>
            <w:r>
              <w:rPr>
                <w:rFonts w:ascii="Figtree" w:hAnsi="Figtree"/>
                <w:b w:val="0"/>
                <w:i w:val="0"/>
                <w:sz w:val="20"/>
              </w:rPr>
              <w:t>Equity Tokenization</w:t>
            </w:r>
          </w:p>
        </w:tc>
        <w:tc>
          <w:tcPr>
            <w:tcW w:type="dxa" w:w="1949"/>
            <w:vAlign w:val="center"/>
          </w:tcPr>
          <w:p>
            <w:pPr>
              <w:spacing w:line="276" w:lineRule="auto" w:before="0" w:after="0"/>
            </w:pPr>
            <w:r/>
            <w:r>
              <w:rPr>
                <w:rFonts w:ascii="Figtree" w:hAnsi="Figtree"/>
                <w:b w:val="0"/>
                <w:i w:val="0"/>
                <w:sz w:val="20"/>
              </w:rPr>
              <w:t>Abu Dhabi</w:t>
            </w:r>
          </w:p>
        </w:tc>
        <w:tc>
          <w:tcPr>
            <w:tcW w:type="dxa" w:w="1949"/>
            <w:vAlign w:val="center"/>
          </w:tcPr>
          <w:p>
            <w:pPr>
              <w:spacing w:line="276" w:lineRule="auto" w:before="0" w:after="0"/>
            </w:pPr>
            <w:r/>
            <w:r>
              <w:rPr>
                <w:rFonts w:ascii="Figtree" w:hAnsi="Figtree"/>
                <w:b w:val="0"/>
                <w:i w:val="0"/>
                <w:sz w:val="20"/>
              </w:rPr>
              <w:t>Equity</w:t>
            </w:r>
          </w:p>
        </w:tc>
        <w:tc>
          <w:tcPr>
            <w:tcW w:type="dxa" w:w="1949"/>
            <w:vAlign w:val="center"/>
          </w:tcPr>
          <w:p>
            <w:pPr>
              <w:spacing w:line="276" w:lineRule="auto" w:before="0" w:after="0"/>
            </w:pPr>
            <w:r/>
            <w:r>
              <w:rPr>
                <w:rFonts w:ascii="Figtree" w:hAnsi="Figtree"/>
                <w:b w:val="0"/>
                <w:i w:val="0"/>
                <w:sz w:val="20"/>
              </w:rPr>
              <w:t>UAE market, institutional custody</w:t>
            </w:r>
          </w:p>
        </w:tc>
      </w:tr>
      <w:tr>
        <w:trPr>
          <w:trHeight w:val="425" w:hRule="atLeast"/>
        </w:trPr>
        <w:tc>
          <w:tcPr>
            <w:tcW w:type="dxa" w:w="1949"/>
            <w:vAlign w:val="center"/>
          </w:tcPr>
          <w:p>
            <w:pPr>
              <w:spacing w:line="276" w:lineRule="auto" w:before="0" w:after="0"/>
            </w:pPr>
            <w:r/>
            <w:r>
              <w:rPr>
                <w:rFonts w:ascii="Figtree" w:hAnsi="Figtree"/>
                <w:b w:val="0"/>
                <w:i w:val="0"/>
                <w:sz w:val="20"/>
              </w:rPr>
              <w:t>Commerzbank</w:t>
            </w:r>
          </w:p>
        </w:tc>
        <w:tc>
          <w:tcPr>
            <w:tcW w:type="dxa" w:w="1949"/>
            <w:vAlign w:val="center"/>
          </w:tcPr>
          <w:p>
            <w:pPr>
              <w:spacing w:line="276" w:lineRule="auto" w:before="0" w:after="0"/>
            </w:pPr>
            <w:r/>
            <w:r>
              <w:rPr>
                <w:rFonts w:ascii="Figtree" w:hAnsi="Figtree"/>
                <w:b w:val="0"/>
                <w:i w:val="0"/>
                <w:sz w:val="20"/>
              </w:rPr>
              <w:t>ETP Issuance</w:t>
            </w:r>
          </w:p>
        </w:tc>
        <w:tc>
          <w:tcPr>
            <w:tcW w:type="dxa" w:w="1949"/>
            <w:vAlign w:val="center"/>
          </w:tcPr>
          <w:p>
            <w:pPr>
              <w:spacing w:line="276" w:lineRule="auto" w:before="0" w:after="0"/>
            </w:pPr>
            <w:r/>
            <w:r>
              <w:rPr>
                <w:rFonts w:ascii="Figtree" w:hAnsi="Figtree"/>
                <w:b w:val="0"/>
                <w:i w:val="0"/>
                <w:sz w:val="20"/>
              </w:rPr>
              <w:t>Germany</w:t>
            </w:r>
          </w:p>
        </w:tc>
        <w:tc>
          <w:tcPr>
            <w:tcW w:type="dxa" w:w="1949"/>
            <w:vAlign w:val="center"/>
          </w:tcPr>
          <w:p>
            <w:pPr>
              <w:spacing w:line="276" w:lineRule="auto" w:before="0" w:after="0"/>
            </w:pPr>
            <w:r/>
            <w:r>
              <w:rPr>
                <w:rFonts w:ascii="Figtree" w:hAnsi="Figtree"/>
                <w:b w:val="0"/>
                <w:i w:val="0"/>
                <w:sz w:val="20"/>
              </w:rPr>
              <w:t>ETPs</w:t>
            </w:r>
          </w:p>
        </w:tc>
        <w:tc>
          <w:tcPr>
            <w:tcW w:type="dxa" w:w="1949"/>
            <w:vAlign w:val="center"/>
          </w:tcPr>
          <w:p>
            <w:pPr>
              <w:spacing w:line="276" w:lineRule="auto" w:before="0" w:after="0"/>
            </w:pPr>
            <w:r/>
            <w:r>
              <w:rPr>
                <w:rFonts w:ascii="Figtree" w:hAnsi="Figtree"/>
                <w:b w:val="0"/>
                <w:i w:val="0"/>
                <w:sz w:val="20"/>
              </w:rPr>
              <w:t>EUR 7M/year projected savings</w:t>
            </w:r>
          </w:p>
        </w:tc>
      </w:tr>
      <w:tr>
        <w:trPr>
          <w:trHeight w:val="425" w:hRule="atLeast"/>
        </w:trPr>
        <w:tc>
          <w:tcPr>
            <w:tcW w:type="dxa" w:w="1949"/>
            <w:vAlign w:val="center"/>
          </w:tcPr>
          <w:p>
            <w:pPr>
              <w:spacing w:line="276" w:lineRule="auto" w:before="0" w:after="0"/>
            </w:pPr>
            <w:r/>
            <w:r>
              <w:rPr>
                <w:rFonts w:ascii="Figtree" w:hAnsi="Figtree"/>
                <w:b w:val="0"/>
                <w:i w:val="0"/>
                <w:sz w:val="20"/>
              </w:rPr>
              <w:t>KBC Securities</w:t>
            </w:r>
          </w:p>
        </w:tc>
        <w:tc>
          <w:tcPr>
            <w:tcW w:type="dxa" w:w="1949"/>
            <w:vAlign w:val="center"/>
          </w:tcPr>
          <w:p>
            <w:pPr>
              <w:spacing w:line="276" w:lineRule="auto" w:before="0" w:after="0"/>
            </w:pPr>
            <w:r/>
            <w:r>
              <w:rPr>
                <w:rFonts w:ascii="Figtree" w:hAnsi="Figtree"/>
                <w:b w:val="0"/>
                <w:i w:val="0"/>
                <w:sz w:val="20"/>
              </w:rPr>
              <w:t>Crowdfunding</w:t>
            </w:r>
          </w:p>
        </w:tc>
        <w:tc>
          <w:tcPr>
            <w:tcW w:type="dxa" w:w="1949"/>
            <w:vAlign w:val="center"/>
          </w:tcPr>
          <w:p>
            <w:pPr>
              <w:spacing w:line="276" w:lineRule="auto" w:before="0" w:after="0"/>
            </w:pPr>
            <w:r/>
            <w:r>
              <w:rPr>
                <w:rFonts w:ascii="Figtree" w:hAnsi="Figtree"/>
                <w:b w:val="0"/>
                <w:i w:val="0"/>
                <w:sz w:val="20"/>
              </w:rPr>
              <w:t>Belgium</w:t>
            </w:r>
          </w:p>
        </w:tc>
        <w:tc>
          <w:tcPr>
            <w:tcW w:type="dxa" w:w="1949"/>
            <w:vAlign w:val="center"/>
          </w:tcPr>
          <w:p>
            <w:pPr>
              <w:spacing w:line="276" w:lineRule="auto" w:before="0" w:after="0"/>
            </w:pPr>
            <w:r/>
            <w:r>
              <w:rPr>
                <w:rFonts w:ascii="Figtree" w:hAnsi="Figtree"/>
                <w:b w:val="0"/>
                <w:i w:val="0"/>
                <w:sz w:val="20"/>
              </w:rPr>
              <w:t>Equity, SME loans</w:t>
            </w:r>
          </w:p>
        </w:tc>
        <w:tc>
          <w:tcPr>
            <w:tcW w:type="dxa" w:w="1949"/>
            <w:vAlign w:val="center"/>
          </w:tcPr>
          <w:p>
            <w:pPr>
              <w:spacing w:line="276" w:lineRule="auto" w:before="0" w:after="0"/>
            </w:pPr>
            <w:r/>
            <w:r>
              <w:rPr>
                <w:rFonts w:ascii="Figtree" w:hAnsi="Figtree"/>
                <w:b w:val="0"/>
                <w:i w:val="0"/>
                <w:sz w:val="20"/>
              </w:rPr>
              <w:t>Fiat-backed stable token settlement</w:t>
            </w:r>
          </w:p>
        </w:tc>
      </w:tr>
    </w:tbl>
    <w:p>
      <w:pPr>
        <w:spacing w:before="0" w:after="0" w:line="120" w:lineRule="exact"/>
      </w:pPr>
    </w:p>
    <w:p>
      <w:pPr>
        <w:pStyle w:val="H3"/>
        <w:numPr>
          <w:ilvl w:val="2"/>
          <w:numId w:val="1"/>
        </w:numPr>
      </w:pPr>
      <w:r>
        <w:t>Relevance Selection Logic</w:t>
      </w:r>
    </w:p>
    <w:p>
      <w:r>
        <w:rPr>
          <w:rFonts w:ascii="Figtree" w:hAnsi="Figtree"/>
          <w:b w:val="0"/>
          <w:i w:val="0"/>
          <w:sz w:val="22"/>
        </w:rPr>
        <w:t>Three references were selected for expanded detail based on their direct relevance to Emirates NBD's scope: Standard Chartered (multi-region institutional trading with custody elimination), Reserve Bank of India Innovation Hub (multi-bank trade finance), and Commerzbank (regulated exchange settlement with measurable cost savings).</w:t>
      </w:r>
    </w:p>
    <w:p>
      <w:pPr>
        <w:pStyle w:val="H3"/>
        <w:numPr>
          <w:ilvl w:val="2"/>
          <w:numId w:val="1"/>
        </w:numPr>
      </w:pPr>
      <w:r>
        <w:t>Expanded Reference 1: Standard Chartered Bank — Digital Virtual Exchange</w:t>
      </w:r>
    </w:p>
    <w:p>
      <w:r>
        <w:rPr>
          <w:rFonts w:ascii="Figtree" w:hAnsi="Figtree"/>
          <w:b/>
          <w:i w:val="0"/>
          <w:sz w:val="22"/>
        </w:rPr>
        <w:t>Context.</w:t>
      </w:r>
      <w:r>
        <w:rPr>
          <w:rFonts w:ascii="Figtree" w:hAnsi="Figtree"/>
          <w:b w:val="0"/>
          <w:i w:val="0"/>
          <w:sz w:val="22"/>
        </w:rPr>
        <w:t xml:space="preserve"> Standard Chartered sought to improve trading efficiency for institutional investors across high-growth regions in Asia, Africa, and the Middle East. The existing settlement process involved multiple custody intermediaries, created counterparty risk, and resulted in settlement delays impacting liquidity.</w:t>
      </w:r>
    </w:p>
    <w:p>
      <w:r>
        <w:rPr>
          <w:rFonts w:ascii="Figtree" w:hAnsi="Figtree"/>
          <w:b/>
          <w:i w:val="0"/>
          <w:sz w:val="22"/>
        </w:rPr>
        <w:t>Solution.</w:t>
      </w:r>
      <w:r>
        <w:rPr>
          <w:rFonts w:ascii="Figtree" w:hAnsi="Figtree"/>
          <w:b w:val="0"/>
          <w:i w:val="0"/>
          <w:sz w:val="22"/>
        </w:rPr>
        <w:t xml:space="preserve"> SettleMint collaborated with Standard Chartered to build a blockchain-based Digital Virtual Exchange using DALP's asset contract framework. The platform tokenizes securities (shares, bonds, currencies) and enables fractional ownership with instant settlement. Ownership transfers are recorded on-chain, eliminating separate custody intermediaries and producing an immutable audit trail.</w:t>
      </w:r>
    </w:p>
    <w:p>
      <w:r>
        <w:rPr>
          <w:rFonts w:ascii="Figtree" w:hAnsi="Figtree"/>
          <w:b/>
          <w:i w:val="0"/>
          <w:sz w:val="22"/>
        </w:rPr>
        <w:t>Outcomes.</w:t>
      </w:r>
      <w:r>
        <w:rPr>
          <w:rFonts w:ascii="Figtree" w:hAnsi="Figtree"/>
          <w:b w:val="0"/>
          <w:i w:val="0"/>
          <w:sz w:val="22"/>
        </w:rPr>
        <w:t xml:space="preserve"> Settlement reduced from days to near-instant finality. Custody intermediary costs eliminated for on-chain transactions. Improved liquidity through fractional tokenization.</w:t>
      </w:r>
    </w:p>
    <w:p>
      <w:r>
        <w:rPr>
          <w:rFonts w:ascii="Figtree" w:hAnsi="Figtree"/>
          <w:b/>
          <w:i w:val="0"/>
          <w:sz w:val="22"/>
        </w:rPr>
        <w:t>Transferability.</w:t>
      </w:r>
      <w:r>
        <w:rPr>
          <w:rFonts w:ascii="Figtree" w:hAnsi="Figtree"/>
          <w:b w:val="0"/>
          <w:i w:val="0"/>
          <w:sz w:val="22"/>
        </w:rPr>
        <w:t xml:space="preserve"> Multi-asset support, institutional-grade compliance, multi-region deployment. The custody elimination model directly parallels Emirates NBD's objective of streamlining deposit and trade finance settlement.</w:t>
      </w:r>
    </w:p>
    <w:p>
      <w:pPr>
        <w:pStyle w:val="H3"/>
        <w:numPr>
          <w:ilvl w:val="2"/>
          <w:numId w:val="1"/>
        </w:numPr>
      </w:pPr>
      <w:r>
        <w:t>Expanded Reference 2: Reserve Bank of India Innovation Hub — Trade Finance</w:t>
      </w:r>
    </w:p>
    <w:p>
      <w:r>
        <w:rPr>
          <w:rFonts w:ascii="Figtree" w:hAnsi="Figtree"/>
          <w:b/>
          <w:i w:val="0"/>
          <w:sz w:val="22"/>
        </w:rPr>
        <w:t>Context.</w:t>
      </w:r>
      <w:r>
        <w:rPr>
          <w:rFonts w:ascii="Figtree" w:hAnsi="Figtree"/>
          <w:b w:val="0"/>
          <w:i w:val="0"/>
          <w:sz w:val="22"/>
        </w:rPr>
        <w:t xml:space="preserve"> The RBI Innovation Hub required a multi-bank, multi-node, multi-cloud blockchain for fraud-proof trade finance workflows — specifically letters of credit processing across multiple banks.</w:t>
      </w:r>
    </w:p>
    <w:p>
      <w:r>
        <w:rPr>
          <w:rFonts w:ascii="Figtree" w:hAnsi="Figtree"/>
          <w:b/>
          <w:i w:val="0"/>
          <w:sz w:val="22"/>
        </w:rPr>
        <w:t>Solution.</w:t>
      </w:r>
      <w:r>
        <w:rPr>
          <w:rFonts w:ascii="Figtree" w:hAnsi="Figtree"/>
          <w:b w:val="0"/>
          <w:i w:val="0"/>
          <w:sz w:val="22"/>
        </w:rPr>
        <w:t xml:space="preserve"> DALP powers the blockchain and trade finance workflow layer, handling document verification, milestone tracking, multi-party approvals, and settlement across participating banks. The architecture supports multiple deployment nodes across different cloud providers, ensuring no single point of failure.</w:t>
      </w:r>
    </w:p>
    <w:p>
      <w:r>
        <w:rPr>
          <w:rFonts w:ascii="Figtree" w:hAnsi="Figtree"/>
          <w:b/>
          <w:i w:val="0"/>
          <w:sz w:val="22"/>
        </w:rPr>
        <w:t>Outcomes.</w:t>
      </w:r>
      <w:r>
        <w:rPr>
          <w:rFonts w:ascii="Figtree" w:hAnsi="Figtree"/>
          <w:b w:val="0"/>
          <w:i w:val="0"/>
          <w:sz w:val="22"/>
        </w:rPr>
        <w:t xml:space="preserve"> Fraud-proof trade finance workflows operational across multiple banks. Multi-cloud deployment demonstrating infrastructure resilience.</w:t>
      </w:r>
    </w:p>
    <w:p>
      <w:r>
        <w:rPr>
          <w:rFonts w:ascii="Figtree" w:hAnsi="Figtree"/>
          <w:b/>
          <w:i w:val="0"/>
          <w:sz w:val="22"/>
        </w:rPr>
        <w:t>Transferability.</w:t>
      </w:r>
      <w:r>
        <w:rPr>
          <w:rFonts w:ascii="Figtree" w:hAnsi="Figtree"/>
          <w:b w:val="0"/>
          <w:i w:val="0"/>
          <w:sz w:val="22"/>
        </w:rPr>
        <w:t xml:space="preserve"> Directly applicable to Emirates NBD's trade finance liquidity rails — the multi-bank, document-linked workflow pattern maps precisely to the RFP's REQ-09 (document-linked trade workflows) and REQ-10 (reconciliation to core trade books).</w:t>
      </w:r>
    </w:p>
    <w:p>
      <w:pPr>
        <w:pStyle w:val="H3"/>
        <w:numPr>
          <w:ilvl w:val="2"/>
          <w:numId w:val="1"/>
        </w:numPr>
      </w:pPr>
      <w:r>
        <w:t>Expanded Reference 3: Commerzbank — Exchange-Traded Products</w:t>
      </w:r>
    </w:p>
    <w:p>
      <w:r>
        <w:rPr>
          <w:rFonts w:ascii="Figtree" w:hAnsi="Figtree"/>
          <w:b/>
          <w:i w:val="0"/>
          <w:sz w:val="22"/>
        </w:rPr>
        <w:t>Context.</w:t>
      </w:r>
      <w:r>
        <w:rPr>
          <w:rFonts w:ascii="Figtree" w:hAnsi="Figtree"/>
          <w:b w:val="0"/>
          <w:i w:val="0"/>
          <w:sz w:val="22"/>
        </w:rPr>
        <w:t xml:space="preserve"> Commerzbank needed to issue exchange-traded products with listing on Boerse Stuttgart, requiring settlement that could meet exchange-grade performance requirements.</w:t>
      </w:r>
    </w:p>
    <w:p>
      <w:r>
        <w:rPr>
          <w:rFonts w:ascii="Figtree" w:hAnsi="Figtree"/>
          <w:b/>
          <w:i w:val="0"/>
          <w:sz w:val="22"/>
        </w:rPr>
        <w:t>Solution.</w:t>
      </w:r>
      <w:r>
        <w:rPr>
          <w:rFonts w:ascii="Figtree" w:hAnsi="Figtree"/>
          <w:b w:val="0"/>
          <w:i w:val="0"/>
          <w:sz w:val="22"/>
        </w:rPr>
        <w:t xml:space="preserve"> DALP provides hybrid on/off-chain ETP issuance with settlement under 10 seconds. The platform handles the full issuance lifecycle while meeting the regulatory and performance requirements of a listed exchange environment.</w:t>
      </w:r>
    </w:p>
    <w:p>
      <w:r>
        <w:rPr>
          <w:rFonts w:ascii="Figtree" w:hAnsi="Figtree"/>
          <w:b/>
          <w:i w:val="0"/>
          <w:sz w:val="22"/>
        </w:rPr>
        <w:t>Outcomes.</w:t>
      </w:r>
      <w:r>
        <w:rPr>
          <w:rFonts w:ascii="Figtree" w:hAnsi="Figtree"/>
          <w:b w:val="0"/>
          <w:i w:val="0"/>
          <w:sz w:val="22"/>
        </w:rPr>
        <w:t xml:space="preserve"> Settlement under 10 seconds. Listed on Boerse Stuttgart. Projected savings of EUR 7M per year.</w:t>
      </w:r>
    </w:p>
    <w:p>
      <w:r>
        <w:rPr>
          <w:rFonts w:ascii="Figtree" w:hAnsi="Figtree"/>
          <w:b/>
          <w:i w:val="0"/>
          <w:sz w:val="22"/>
        </w:rPr>
        <w:t>Transferability.</w:t>
      </w:r>
      <w:r>
        <w:rPr>
          <w:rFonts w:ascii="Figtree" w:hAnsi="Figtree"/>
          <w:b w:val="0"/>
          <w:i w:val="0"/>
          <w:sz w:val="22"/>
        </w:rPr>
        <w:t xml:space="preserve"> Demonstrates DALP's ability to meet strict settlement performance requirements in a regulated environment. The EUR 7M/year savings model provides Emirates NBD with a reference point for building its own business case.</w:t>
      </w:r>
    </w:p>
    <w:p>
      <w:pPr>
        <w:pStyle w:val="H3"/>
        <w:numPr>
          <w:ilvl w:val="2"/>
          <w:numId w:val="1"/>
        </w:numPr>
      </w:pPr>
      <w:r>
        <w:t>Reference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06"/>
        <w:gridCol w:w="3432"/>
        <w:gridCol w:w="343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Emirates NBD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Most Relevant Reference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3249"/>
            <w:vAlign w:val="center"/>
          </w:tcPr>
          <w:p>
            <w:pPr>
              <w:spacing w:line="276" w:lineRule="auto" w:before="0" w:after="0"/>
            </w:pPr>
            <w:r/>
            <w:r>
              <w:rPr>
                <w:rFonts w:ascii="Figtree" w:hAnsi="Figtree"/>
                <w:b w:val="0"/>
                <w:i w:val="0"/>
                <w:sz w:val="20"/>
              </w:rPr>
              <w:t>Tokenized deposit lifecycle</w:t>
            </w:r>
          </w:p>
        </w:tc>
        <w:tc>
          <w:tcPr>
            <w:tcW w:type="dxa" w:w="3249"/>
            <w:vAlign w:val="center"/>
          </w:tcPr>
          <w:p>
            <w:pPr>
              <w:spacing w:line="276" w:lineRule="auto" w:before="0" w:after="0"/>
            </w:pPr>
            <w:r/>
            <w:r>
              <w:rPr>
                <w:rFonts w:ascii="Figtree" w:hAnsi="Figtree"/>
                <w:b w:val="0"/>
                <w:i w:val="0"/>
                <w:sz w:val="20"/>
              </w:rPr>
              <w:t>Sony Bank (stablecoin), KBC (stable token)</w:t>
            </w:r>
          </w:p>
        </w:tc>
        <w:tc>
          <w:tcPr>
            <w:tcW w:type="dxa" w:w="3249"/>
            <w:vAlign w:val="center"/>
          </w:tcPr>
          <w:p>
            <w:pPr>
              <w:spacing w:line="276" w:lineRule="auto" w:before="0" w:after="0"/>
            </w:pPr>
            <w:r/>
            <w:r>
              <w:rPr>
                <w:rFonts w:ascii="Figtree" w:hAnsi="Figtree"/>
                <w:b w:val="0"/>
                <w:i w:val="0"/>
                <w:sz w:val="20"/>
              </w:rPr>
              <w:t>Native deposit/cash-equivalent asset class</w:t>
            </w:r>
          </w:p>
        </w:tc>
      </w:tr>
      <w:tr>
        <w:trPr>
          <w:trHeight w:val="425" w:hRule="atLeast"/>
        </w:trPr>
        <w:tc>
          <w:tcPr>
            <w:tcW w:type="dxa" w:w="3249"/>
            <w:vAlign w:val="center"/>
          </w:tcPr>
          <w:p>
            <w:pPr>
              <w:spacing w:line="276" w:lineRule="auto" w:before="0" w:after="0"/>
            </w:pPr>
            <w:r/>
            <w:r>
              <w:rPr>
                <w:rFonts w:ascii="Figtree" w:hAnsi="Figtree"/>
                <w:b w:val="0"/>
                <w:i w:val="0"/>
                <w:sz w:val="20"/>
              </w:rPr>
              <w:t>Trade finance workflows</w:t>
            </w:r>
          </w:p>
        </w:tc>
        <w:tc>
          <w:tcPr>
            <w:tcW w:type="dxa" w:w="3249"/>
            <w:vAlign w:val="center"/>
          </w:tcPr>
          <w:p>
            <w:pPr>
              <w:spacing w:line="276" w:lineRule="auto" w:before="0" w:after="0"/>
            </w:pPr>
            <w:r/>
            <w:r>
              <w:rPr>
                <w:rFonts w:ascii="Figtree" w:hAnsi="Figtree"/>
                <w:b w:val="0"/>
                <w:i w:val="0"/>
                <w:sz w:val="20"/>
              </w:rPr>
              <w:t>RBI Innovation Hub</w:t>
            </w:r>
          </w:p>
        </w:tc>
        <w:tc>
          <w:tcPr>
            <w:tcW w:type="dxa" w:w="3249"/>
            <w:vAlign w:val="center"/>
          </w:tcPr>
          <w:p>
            <w:pPr>
              <w:spacing w:line="276" w:lineRule="auto" w:before="0" w:after="0"/>
            </w:pPr>
            <w:r/>
            <w:r>
              <w:rPr>
                <w:rFonts w:ascii="Figtree" w:hAnsi="Figtree"/>
                <w:b w:val="0"/>
                <w:i w:val="0"/>
                <w:sz w:val="20"/>
              </w:rPr>
              <w:t>Multi-bank LC processing</w:t>
            </w:r>
          </w:p>
        </w:tc>
      </w:tr>
      <w:tr>
        <w:trPr>
          <w:trHeight w:val="425" w:hRule="atLeast"/>
        </w:trPr>
        <w:tc>
          <w:tcPr>
            <w:tcW w:type="dxa" w:w="3249"/>
            <w:vAlign w:val="center"/>
          </w:tcPr>
          <w:p>
            <w:pPr>
              <w:spacing w:line="276" w:lineRule="auto" w:before="0" w:after="0"/>
            </w:pPr>
            <w:r/>
            <w:r>
              <w:rPr>
                <w:rFonts w:ascii="Figtree" w:hAnsi="Figtree"/>
                <w:b w:val="0"/>
                <w:i w:val="0"/>
                <w:sz w:val="20"/>
              </w:rPr>
              <w:t>Settlement performance</w:t>
            </w:r>
          </w:p>
        </w:tc>
        <w:tc>
          <w:tcPr>
            <w:tcW w:type="dxa" w:w="3249"/>
            <w:vAlign w:val="center"/>
          </w:tcPr>
          <w:p>
            <w:pPr>
              <w:spacing w:line="276" w:lineRule="auto" w:before="0" w:after="0"/>
            </w:pPr>
            <w:r/>
            <w:r>
              <w:rPr>
                <w:rFonts w:ascii="Figtree" w:hAnsi="Figtree"/>
                <w:b w:val="0"/>
                <w:i w:val="0"/>
                <w:sz w:val="20"/>
              </w:rPr>
              <w:t>Commerzbank (&lt;10s)</w:t>
            </w:r>
          </w:p>
        </w:tc>
        <w:tc>
          <w:tcPr>
            <w:tcW w:type="dxa" w:w="3249"/>
            <w:vAlign w:val="center"/>
          </w:tcPr>
          <w:p>
            <w:pPr>
              <w:spacing w:line="276" w:lineRule="auto" w:before="0" w:after="0"/>
            </w:pPr>
            <w:r/>
            <w:r>
              <w:rPr>
                <w:rFonts w:ascii="Figtree" w:hAnsi="Figtree"/>
                <w:b w:val="0"/>
                <w:i w:val="0"/>
                <w:sz w:val="20"/>
              </w:rPr>
              <w:t>Exchange-grade settlement</w:t>
            </w:r>
          </w:p>
        </w:tc>
      </w:tr>
      <w:tr>
        <w:trPr>
          <w:trHeight w:val="425" w:hRule="atLeast"/>
        </w:trPr>
        <w:tc>
          <w:tcPr>
            <w:tcW w:type="dxa" w:w="3249"/>
            <w:vAlign w:val="center"/>
          </w:tcPr>
          <w:p>
            <w:pPr>
              <w:spacing w:line="276" w:lineRule="auto" w:before="0" w:after="0"/>
            </w:pPr>
            <w:r/>
            <w:r>
              <w:rPr>
                <w:rFonts w:ascii="Figtree" w:hAnsi="Figtree"/>
                <w:b w:val="0"/>
                <w:i w:val="0"/>
                <w:sz w:val="20"/>
              </w:rPr>
              <w:t>Multi-region institutional</w:t>
            </w:r>
          </w:p>
        </w:tc>
        <w:tc>
          <w:tcPr>
            <w:tcW w:type="dxa" w:w="3249"/>
            <w:vAlign w:val="center"/>
          </w:tcPr>
          <w:p>
            <w:pPr>
              <w:spacing w:line="276" w:lineRule="auto" w:before="0" w:after="0"/>
            </w:pPr>
            <w:r/>
            <w:r>
              <w:rPr>
                <w:rFonts w:ascii="Figtree" w:hAnsi="Figtree"/>
                <w:b w:val="0"/>
                <w:i w:val="0"/>
                <w:sz w:val="20"/>
              </w:rPr>
              <w:t>Standard Chartered</w:t>
            </w:r>
          </w:p>
        </w:tc>
        <w:tc>
          <w:tcPr>
            <w:tcW w:type="dxa" w:w="3249"/>
            <w:vAlign w:val="center"/>
          </w:tcPr>
          <w:p>
            <w:pPr>
              <w:spacing w:line="276" w:lineRule="auto" w:before="0" w:after="0"/>
            </w:pPr>
            <w:r/>
            <w:r>
              <w:rPr>
                <w:rFonts w:ascii="Figtree" w:hAnsi="Figtree"/>
                <w:b w:val="0"/>
                <w:i w:val="0"/>
                <w:sz w:val="20"/>
              </w:rPr>
              <w:t>Asia, Africa, ME coverage</w:t>
            </w:r>
          </w:p>
        </w:tc>
      </w:tr>
      <w:tr>
        <w:trPr>
          <w:trHeight w:val="425" w:hRule="atLeast"/>
        </w:trPr>
        <w:tc>
          <w:tcPr>
            <w:tcW w:type="dxa" w:w="3249"/>
            <w:vAlign w:val="center"/>
          </w:tcPr>
          <w:p>
            <w:pPr>
              <w:spacing w:line="276" w:lineRule="auto" w:before="0" w:after="0"/>
            </w:pPr>
            <w:r/>
            <w:r>
              <w:rPr>
                <w:rFonts w:ascii="Figtree" w:hAnsi="Figtree"/>
                <w:b w:val="0"/>
                <w:i w:val="0"/>
                <w:sz w:val="20"/>
              </w:rPr>
              <w:t>Regulatory compliance</w:t>
            </w:r>
          </w:p>
        </w:tc>
        <w:tc>
          <w:tcPr>
            <w:tcW w:type="dxa" w:w="3249"/>
            <w:vAlign w:val="center"/>
          </w:tcPr>
          <w:p>
            <w:pPr>
              <w:spacing w:line="276" w:lineRule="auto" w:before="0" w:after="0"/>
            </w:pPr>
            <w:r/>
            <w:r>
              <w:rPr>
                <w:rFonts w:ascii="Figtree" w:hAnsi="Figtree"/>
                <w:b w:val="0"/>
                <w:i w:val="0"/>
                <w:sz w:val="20"/>
              </w:rPr>
              <w:t>Commerzbank (BaFin), OCBC (MAS)</w:t>
            </w:r>
          </w:p>
        </w:tc>
        <w:tc>
          <w:tcPr>
            <w:tcW w:type="dxa" w:w="3249"/>
            <w:vAlign w:val="center"/>
          </w:tcPr>
          <w:p>
            <w:pPr>
              <w:spacing w:line="276" w:lineRule="auto" w:before="0" w:after="0"/>
            </w:pPr>
            <w:r/>
            <w:r>
              <w:rPr>
                <w:rFonts w:ascii="Figtree" w:hAnsi="Figtree"/>
                <w:b w:val="0"/>
                <w:i w:val="0"/>
                <w:sz w:val="20"/>
              </w:rPr>
              <w:t>Regulated institution deployments</w:t>
            </w:r>
          </w:p>
        </w:tc>
      </w:tr>
      <w:tr>
        <w:trPr>
          <w:trHeight w:val="425" w:hRule="atLeast"/>
        </w:trPr>
        <w:tc>
          <w:tcPr>
            <w:tcW w:type="dxa" w:w="3249"/>
            <w:vAlign w:val="center"/>
          </w:tcPr>
          <w:p>
            <w:pPr>
              <w:spacing w:line="276" w:lineRule="auto" w:before="0" w:after="0"/>
            </w:pPr>
            <w:r/>
            <w:r>
              <w:rPr>
                <w:rFonts w:ascii="Figtree" w:hAnsi="Figtree"/>
                <w:b w:val="0"/>
                <w:i w:val="0"/>
                <w:sz w:val="20"/>
              </w:rPr>
              <w:t>UAE market context</w:t>
            </w:r>
          </w:p>
        </w:tc>
        <w:tc>
          <w:tcPr>
            <w:tcW w:type="dxa" w:w="3249"/>
            <w:vAlign w:val="center"/>
          </w:tcPr>
          <w:p>
            <w:pPr>
              <w:spacing w:line="276" w:lineRule="auto" w:before="0" w:after="0"/>
            </w:pPr>
            <w:r/>
            <w:r>
              <w:rPr>
                <w:rFonts w:ascii="Figtree" w:hAnsi="Figtree"/>
                <w:b w:val="0"/>
                <w:i w:val="0"/>
                <w:sz w:val="20"/>
              </w:rPr>
              <w:t>ADI Finstreet, Saudi RER</w:t>
            </w:r>
          </w:p>
        </w:tc>
        <w:tc>
          <w:tcPr>
            <w:tcW w:type="dxa" w:w="3249"/>
            <w:vAlign w:val="center"/>
          </w:tcPr>
          <w:p>
            <w:pPr>
              <w:spacing w:line="276" w:lineRule="auto" w:before="0" w:after="0"/>
            </w:pPr>
            <w:r/>
            <w:r>
              <w:rPr>
                <w:rFonts w:ascii="Figtree" w:hAnsi="Figtree"/>
                <w:b w:val="0"/>
                <w:i w:val="0"/>
                <w:sz w:val="20"/>
              </w:rPr>
              <w:t>Gulf region programs</w:t>
            </w:r>
          </w:p>
        </w:tc>
      </w:tr>
    </w:tbl>
    <w:p>
      <w:pPr>
        <w:spacing w:before="0" w:after="0" w:line="120" w:lineRule="exact"/>
      </w:pPr>
    </w:p>
    <w:p>
      <w:r>
        <w:br w:type="page"/>
      </w:r>
    </w:p>
    <w:p>
      <w:pPr>
        <w:pStyle w:val="H2"/>
        <w:numPr>
          <w:ilvl w:val="1"/>
          <w:numId w:val="1"/>
        </w:numPr>
      </w:pPr>
      <w:r>
        <w:t>Understanding Emirates NBD's Programme Objectives</w:t>
      </w:r>
    </w:p>
    <w:p>
      <w:pPr>
        <w:pStyle w:val="H3"/>
        <w:numPr>
          <w:ilvl w:val="2"/>
          <w:numId w:val="1"/>
        </w:numPr>
      </w:pPr>
      <w:r>
        <w:t>Client Context</w:t>
      </w:r>
    </w:p>
    <w:p>
      <w:r>
        <w:rPr>
          <w:rFonts w:ascii="Figtree" w:hAnsi="Figtree"/>
          <w:b w:val="0"/>
          <w:i w:val="0"/>
          <w:sz w:val="22"/>
        </w:rPr>
        <w:t>Emirates NBD's procurement is grounded in three specific challenges:</w:t>
      </w:r>
    </w:p>
    <w:p>
      <w:r>
        <w:rPr>
          <w:rFonts w:ascii="Figtree" w:hAnsi="Figtree"/>
          <w:b/>
          <w:i w:val="0"/>
          <w:sz w:val="22"/>
        </w:rPr>
        <w:t>First, control integrity.</w:t>
      </w:r>
      <w:r>
        <w:rPr>
          <w:rFonts w:ascii="Figtree" w:hAnsi="Figtree"/>
          <w:b w:val="0"/>
          <w:i w:val="0"/>
          <w:sz w:val="22"/>
        </w:rPr>
        <w:t xml:space="preserve"> The bank must be able to identify who initiated a change or transaction, which policy checks applied, who approved the event, and how the resulting state can be reconstructed later. For tokenized deposits, this extends to deposit certification evidence, limit enforcement, and regulatory reporting lineage. For trade finance, it extends to document presentation chains, milestone approvals, and counterparty verification.</w:t>
      </w:r>
    </w:p>
    <w:p>
      <w:r>
        <w:rPr>
          <w:rFonts w:ascii="Figtree" w:hAnsi="Figtree"/>
          <w:b/>
          <w:i w:val="0"/>
          <w:sz w:val="22"/>
        </w:rPr>
        <w:t>Second, enterprise coexistence.</w:t>
      </w:r>
      <w:r>
        <w:rPr>
          <w:rFonts w:ascii="Figtree" w:hAnsi="Figtree"/>
          <w:b w:val="0"/>
          <w:i w:val="0"/>
          <w:sz w:val="22"/>
        </w:rPr>
        <w:t xml:space="preserve"> The selected solution cannot become a reconciliation sinkhole. It must integrate with Emirates NBD's existing core banking, trade finance back-office, identity services, sanctions and AML tooling, SWIFT gateway, treasury and liquidity management, and regulatory reporting systems without creating hidden operational debt.</w:t>
      </w:r>
    </w:p>
    <w:p>
      <w:r>
        <w:rPr>
          <w:rFonts w:ascii="Figtree" w:hAnsi="Figtree"/>
          <w:b/>
          <w:i w:val="0"/>
          <w:sz w:val="22"/>
        </w:rPr>
        <w:t>Third, phased scalability.</w:t>
      </w:r>
      <w:r>
        <w:rPr>
          <w:rFonts w:ascii="Figtree" w:hAnsi="Figtree"/>
          <w:b w:val="0"/>
          <w:i w:val="0"/>
          <w:sz w:val="22"/>
        </w:rPr>
        <w:t xml:space="preserve"> Emirates NBD wants to move from initial deposit tokenization to broader adoption — trade finance liquidity rails, additional product types, expanded counterparty networks — without a platform reset.</w:t>
      </w:r>
    </w:p>
    <w:p>
      <w:pPr>
        <w:pStyle w:val="H3"/>
        <w:numPr>
          <w:ilvl w:val="2"/>
          <w:numId w:val="1"/>
        </w:numPr>
      </w:pPr>
      <w:r>
        <w:t>Requirement Domains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87"/>
        <w:gridCol w:w="5103"/>
        <w:gridCol w:w="178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Requirements</w:t>
            </w:r>
          </w:p>
        </w:tc>
      </w:tr>
      <w:tr>
        <w:trPr>
          <w:trHeight w:val="425" w:hRule="atLeast"/>
        </w:trPr>
        <w:tc>
          <w:tcPr>
            <w:tcW w:type="dxa" w:w="3249"/>
            <w:vAlign w:val="center"/>
          </w:tcPr>
          <w:p>
            <w:pPr>
              <w:spacing w:line="276" w:lineRule="auto" w:before="0" w:after="0"/>
            </w:pPr>
            <w:r/>
            <w:r>
              <w:rPr>
                <w:rFonts w:ascii="Figtree" w:hAnsi="Figtree"/>
                <w:b w:val="0"/>
                <w:i w:val="0"/>
                <w:sz w:val="20"/>
              </w:rPr>
              <w:t>Product / Asset Scope</w:t>
            </w:r>
          </w:p>
        </w:tc>
        <w:tc>
          <w:tcPr>
            <w:tcW w:type="dxa" w:w="3249"/>
            <w:vAlign w:val="center"/>
          </w:tcPr>
          <w:p>
            <w:pPr>
              <w:spacing w:line="276" w:lineRule="auto" w:before="0" w:after="0"/>
            </w:pPr>
            <w:r/>
            <w:r>
              <w:rPr>
                <w:rFonts w:ascii="Figtree" w:hAnsi="Figtree"/>
                <w:b w:val="0"/>
                <w:i w:val="0"/>
                <w:sz w:val="20"/>
              </w:rPr>
              <w:t>Tokenized deposits, trade finance instruments</w:t>
            </w:r>
          </w:p>
        </w:tc>
        <w:tc>
          <w:tcPr>
            <w:tcW w:type="dxa" w:w="3249"/>
            <w:vAlign w:val="center"/>
          </w:tcPr>
          <w:p>
            <w:pPr>
              <w:spacing w:line="276" w:lineRule="auto" w:before="0" w:after="0"/>
            </w:pPr>
            <w:r/>
            <w:r>
              <w:rPr>
                <w:rFonts w:ascii="Figtree" w:hAnsi="Figtree"/>
                <w:b w:val="0"/>
                <w:i w:val="0"/>
                <w:sz w:val="20"/>
              </w:rPr>
              <w:t>REQ-04, REQ-09</w:t>
            </w:r>
          </w:p>
        </w:tc>
      </w:tr>
      <w:tr>
        <w:trPr>
          <w:trHeight w:val="425" w:hRule="atLeast"/>
        </w:trPr>
        <w:tc>
          <w:tcPr>
            <w:tcW w:type="dxa" w:w="3249"/>
            <w:vAlign w:val="center"/>
          </w:tcPr>
          <w:p>
            <w:pPr>
              <w:spacing w:line="276" w:lineRule="auto" w:before="0" w:after="0"/>
            </w:pPr>
            <w:r/>
            <w:r>
              <w:rPr>
                <w:rFonts w:ascii="Figtree" w:hAnsi="Figtree"/>
                <w:b w:val="0"/>
                <w:i w:val="0"/>
                <w:sz w:val="20"/>
              </w:rPr>
              <w:t>Identity / Onboarding</w:t>
            </w:r>
          </w:p>
        </w:tc>
        <w:tc>
          <w:tcPr>
            <w:tcW w:type="dxa" w:w="3249"/>
            <w:vAlign w:val="center"/>
          </w:tcPr>
          <w:p>
            <w:pPr>
              <w:spacing w:line="276" w:lineRule="auto" w:before="0" w:after="0"/>
            </w:pPr>
            <w:r/>
            <w:r>
              <w:rPr>
                <w:rFonts w:ascii="Figtree" w:hAnsi="Figtree"/>
                <w:b w:val="0"/>
                <w:i w:val="0"/>
                <w:sz w:val="20"/>
              </w:rPr>
              <w:t>Corporate and institutional identity, counterparty verification</w:t>
            </w:r>
          </w:p>
        </w:tc>
        <w:tc>
          <w:tcPr>
            <w:tcW w:type="dxa" w:w="3249"/>
            <w:vAlign w:val="center"/>
          </w:tcPr>
          <w:p>
            <w:pPr>
              <w:spacing w:line="276" w:lineRule="auto" w:before="0" w:after="0"/>
            </w:pPr>
            <w:r/>
            <w:r>
              <w:rPr>
                <w:rFonts w:ascii="Figtree" w:hAnsi="Figtree"/>
                <w:b w:val="0"/>
                <w:i w:val="0"/>
                <w:sz w:val="20"/>
              </w:rPr>
              <w:t>REQ-03</w:t>
            </w:r>
          </w:p>
        </w:tc>
      </w:tr>
      <w:tr>
        <w:trPr>
          <w:trHeight w:val="425" w:hRule="atLeast"/>
        </w:trPr>
        <w:tc>
          <w:tcPr>
            <w:tcW w:type="dxa" w:w="3249"/>
            <w:vAlign w:val="center"/>
          </w:tcPr>
          <w:p>
            <w:pPr>
              <w:spacing w:line="276" w:lineRule="auto" w:before="0" w:after="0"/>
            </w:pPr>
            <w:r/>
            <w:r>
              <w:rPr>
                <w:rFonts w:ascii="Figtree" w:hAnsi="Figtree"/>
                <w:b w:val="0"/>
                <w:i w:val="0"/>
                <w:sz w:val="20"/>
              </w:rPr>
              <w:t>Compliance / Control</w:t>
            </w:r>
          </w:p>
        </w:tc>
        <w:tc>
          <w:tcPr>
            <w:tcW w:type="dxa" w:w="3249"/>
            <w:vAlign w:val="center"/>
          </w:tcPr>
          <w:p>
            <w:pPr>
              <w:spacing w:line="276" w:lineRule="auto" w:before="0" w:after="0"/>
            </w:pPr>
            <w:r/>
            <w:r>
              <w:rPr>
                <w:rFonts w:ascii="Figtree" w:hAnsi="Figtree"/>
                <w:b w:val="0"/>
                <w:i w:val="0"/>
                <w:sz w:val="20"/>
              </w:rPr>
              <w:t>RBAC, maker-checker, audit trails, limit enforcement</w:t>
            </w:r>
          </w:p>
        </w:tc>
        <w:tc>
          <w:tcPr>
            <w:tcW w:type="dxa" w:w="3249"/>
            <w:vAlign w:val="center"/>
          </w:tcPr>
          <w:p>
            <w:pPr>
              <w:spacing w:line="276" w:lineRule="auto" w:before="0" w:after="0"/>
            </w:pPr>
            <w:r/>
            <w:r>
              <w:rPr>
                <w:rFonts w:ascii="Figtree" w:hAnsi="Figtree"/>
                <w:b w:val="0"/>
                <w:i w:val="0"/>
                <w:sz w:val="20"/>
              </w:rPr>
              <w:t>REQ-03, REQ-08</w:t>
            </w:r>
          </w:p>
        </w:tc>
      </w:tr>
      <w:tr>
        <w:trPr>
          <w:trHeight w:val="425" w:hRule="atLeast"/>
        </w:trPr>
        <w:tc>
          <w:tcPr>
            <w:tcW w:type="dxa" w:w="3249"/>
            <w:vAlign w:val="center"/>
          </w:tcPr>
          <w:p>
            <w:pPr>
              <w:spacing w:line="276" w:lineRule="auto" w:before="0" w:after="0"/>
            </w:pPr>
            <w:r/>
            <w:r>
              <w:rPr>
                <w:rFonts w:ascii="Figtree" w:hAnsi="Figtree"/>
                <w:b w:val="0"/>
                <w:i w:val="0"/>
                <w:sz w:val="20"/>
              </w:rPr>
              <w:t>Settlement / Cash Leg</w:t>
            </w:r>
          </w:p>
        </w:tc>
        <w:tc>
          <w:tcPr>
            <w:tcW w:type="dxa" w:w="3249"/>
            <w:vAlign w:val="center"/>
          </w:tcPr>
          <w:p>
            <w:pPr>
              <w:spacing w:line="276" w:lineRule="auto" w:before="0" w:after="0"/>
            </w:pPr>
            <w:r/>
            <w:r>
              <w:rPr>
                <w:rFonts w:ascii="Figtree" w:hAnsi="Figtree"/>
                <w:b w:val="0"/>
                <w:i w:val="0"/>
                <w:sz w:val="20"/>
              </w:rPr>
              <w:t>Atomic DvP, trade milestone settlement, liquidity release</w:t>
            </w:r>
          </w:p>
        </w:tc>
        <w:tc>
          <w:tcPr>
            <w:tcW w:type="dxa" w:w="3249"/>
            <w:vAlign w:val="center"/>
          </w:tcPr>
          <w:p>
            <w:pPr>
              <w:spacing w:line="276" w:lineRule="auto" w:before="0" w:after="0"/>
            </w:pPr>
            <w:r/>
            <w:r>
              <w:rPr>
                <w:rFonts w:ascii="Figtree" w:hAnsi="Figtree"/>
                <w:b w:val="0"/>
                <w:i w:val="0"/>
                <w:sz w:val="20"/>
              </w:rPr>
              <w:t>REQ-04, REQ-10</w:t>
            </w:r>
          </w:p>
        </w:tc>
      </w:tr>
      <w:tr>
        <w:trPr>
          <w:trHeight w:val="425" w:hRule="atLeast"/>
        </w:trPr>
        <w:tc>
          <w:tcPr>
            <w:tcW w:type="dxa" w:w="3249"/>
            <w:vAlign w:val="center"/>
          </w:tcPr>
          <w:p>
            <w:pPr>
              <w:spacing w:line="276" w:lineRule="auto" w:before="0" w:after="0"/>
            </w:pPr>
            <w:r/>
            <w:r>
              <w:rPr>
                <w:rFonts w:ascii="Figtree" w:hAnsi="Figtree"/>
                <w:b w:val="0"/>
                <w:i w:val="0"/>
                <w:sz w:val="20"/>
              </w:rPr>
              <w:t>Integration / Reporting</w:t>
            </w:r>
          </w:p>
        </w:tc>
        <w:tc>
          <w:tcPr>
            <w:tcW w:type="dxa" w:w="3249"/>
            <w:vAlign w:val="center"/>
          </w:tcPr>
          <w:p>
            <w:pPr>
              <w:spacing w:line="276" w:lineRule="auto" w:before="0" w:after="0"/>
            </w:pPr>
            <w:r/>
            <w:r>
              <w:rPr>
                <w:rFonts w:ascii="Figtree" w:hAnsi="Figtree"/>
                <w:b w:val="0"/>
                <w:i w:val="0"/>
                <w:sz w:val="20"/>
              </w:rPr>
              <w:t>Core banking, SWIFT, trade back-office, regulatory reporting</w:t>
            </w:r>
          </w:p>
        </w:tc>
        <w:tc>
          <w:tcPr>
            <w:tcW w:type="dxa" w:w="3249"/>
            <w:vAlign w:val="center"/>
          </w:tcPr>
          <w:p>
            <w:pPr>
              <w:spacing w:line="276" w:lineRule="auto" w:before="0" w:after="0"/>
            </w:pPr>
            <w:r/>
            <w:r>
              <w:rPr>
                <w:rFonts w:ascii="Figtree" w:hAnsi="Figtree"/>
                <w:b w:val="0"/>
                <w:i w:val="0"/>
                <w:sz w:val="20"/>
              </w:rPr>
              <w:t>REQ-02, REQ-05, REQ-08</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 / Operations</w:t>
            </w:r>
          </w:p>
        </w:tc>
        <w:tc>
          <w:tcPr>
            <w:tcW w:type="dxa" w:w="3249"/>
            <w:vAlign w:val="center"/>
          </w:tcPr>
          <w:p>
            <w:pPr>
              <w:spacing w:line="276" w:lineRule="auto" w:before="0" w:after="0"/>
            </w:pPr>
            <w:r/>
            <w:r>
              <w:rPr>
                <w:rFonts w:ascii="Figtree" w:hAnsi="Figtree"/>
                <w:b w:val="0"/>
                <w:i w:val="0"/>
                <w:sz w:val="20"/>
              </w:rPr>
              <w:t>Multi-environment, resilience, monitoring, incident management</w:t>
            </w:r>
          </w:p>
        </w:tc>
        <w:tc>
          <w:tcPr>
            <w:tcW w:type="dxa" w:w="3249"/>
            <w:vAlign w:val="center"/>
          </w:tcPr>
          <w:p>
            <w:pPr>
              <w:spacing w:line="276" w:lineRule="auto" w:before="0" w:after="0"/>
            </w:pPr>
            <w:r/>
            <w:r>
              <w:rPr>
                <w:rFonts w:ascii="Figtree" w:hAnsi="Figtree"/>
                <w:b w:val="0"/>
                <w:i w:val="0"/>
                <w:sz w:val="20"/>
              </w:rPr>
              <w:t>REQ-01, REQ-06</w:t>
            </w:r>
          </w:p>
        </w:tc>
      </w:tr>
    </w:tbl>
    <w:p>
      <w:pPr>
        <w:spacing w:before="0" w:after="0" w:line="120" w:lineRule="exact"/>
      </w:pPr>
    </w:p>
    <w:p>
      <w:pPr>
        <w:pStyle w:val="H3"/>
        <w:numPr>
          <w:ilvl w:val="2"/>
          <w:numId w:val="1"/>
        </w:numPr>
      </w:pPr>
      <w:r>
        <w:t>Key Challenges Identified</w:t>
      </w:r>
    </w:p>
    <w:p>
      <w:r>
        <w:rPr>
          <w:rFonts w:ascii="Figtree" w:hAnsi="Figtree"/>
          <w:b/>
          <w:i w:val="0"/>
          <w:sz w:val="22"/>
        </w:rPr>
        <w:t>Challenge 1: Deposit tokenization requires deposit-grade controls.</w:t>
      </w:r>
      <w:r>
        <w:rPr>
          <w:rFonts w:ascii="Figtree" w:hAnsi="Figtree"/>
          <w:b w:val="0"/>
          <w:i w:val="0"/>
          <w:sz w:val="22"/>
        </w:rPr>
        <w:t xml:space="preserve"> A tokenized deposit is not just a token — it carries regulatory obligations around deposit protection, capital adequacy treatment, liquidity classification, and disclosure. The platform must enforce these constraints natively, not rely on manual processes to catch violations.</w:t>
      </w:r>
    </w:p>
    <w:p>
      <w:r>
        <w:rPr>
          <w:rFonts w:ascii="Figtree" w:hAnsi="Figtree"/>
          <w:b/>
          <w:i w:val="0"/>
          <w:sz w:val="22"/>
        </w:rPr>
        <w:t>Challenge 2: Trade finance workflows are multi-party and document-linked.</w:t>
      </w:r>
      <w:r>
        <w:rPr>
          <w:rFonts w:ascii="Figtree" w:hAnsi="Figtree"/>
          <w:b w:val="0"/>
          <w:i w:val="0"/>
          <w:sz w:val="22"/>
        </w:rPr>
        <w:t xml:space="preserve"> Unlike simple token transfers, trade finance operations involve document presentation, milestone verification, counterparty approvals, limit allocation, and conditional liquidity release. These workflows must execute durably — surviving system restarts, partner outages, and governance delays — with complete audit evidence.</w:t>
      </w:r>
    </w:p>
    <w:p>
      <w:r>
        <w:rPr>
          <w:rFonts w:ascii="Figtree" w:hAnsi="Figtree"/>
          <w:b/>
          <w:i w:val="0"/>
          <w:sz w:val="22"/>
        </w:rPr>
        <w:t>Challenge 3: Reconciliation cannot be an afterthought.</w:t>
      </w:r>
      <w:r>
        <w:rPr>
          <w:rFonts w:ascii="Figtree" w:hAnsi="Figtree"/>
          <w:b w:val="0"/>
          <w:i w:val="0"/>
          <w:sz w:val="22"/>
        </w:rPr>
        <w:t xml:space="preserve"> Every tokenized deposit and trade finance transaction must reconcile to Emirates NBD's core books-and-records systems. The integration architecture must produce reconciliation-ready data, not require manual extraction and transformation.</w:t>
      </w:r>
    </w:p>
    <w:p>
      <w:r>
        <w:rPr>
          <w:rFonts w:ascii="Figtree" w:hAnsi="Figtree"/>
          <w:b/>
          <w:i w:val="0"/>
          <w:sz w:val="22"/>
        </w:rPr>
        <w:t>Challenge 4: UAE regulatory context is evolving.</w:t>
      </w:r>
      <w:r>
        <w:rPr>
          <w:rFonts w:ascii="Figtree" w:hAnsi="Figtree"/>
          <w:b w:val="0"/>
          <w:i w:val="0"/>
          <w:sz w:val="22"/>
        </w:rPr>
        <w:t xml:space="preserve"> The CBUAE, DFSA, ADGM, and SCA frameworks are maturing rapidly. The platform must be configurable enough to adapt to regulatory changes without redeployment, and honest enough to distinguish between current compliance coverage and planned enhancements.</w:t>
      </w:r>
    </w:p>
    <w:p>
      <w:pPr>
        <w:pStyle w:val="H3"/>
        <w:numPr>
          <w:ilvl w:val="2"/>
          <w:numId w:val="1"/>
        </w:numPr>
      </w:pPr>
      <w:r>
        <w:t>Response Principles</w:t>
      </w:r>
    </w:p>
    <w:p>
      <w:pPr>
        <w:pStyle w:val="ListParagraph"/>
        <w:numPr>
          <w:ilvl w:val="0"/>
          <w:numId w:val="6"/>
        </w:numPr>
      </w:pPr>
      <w:r>
        <w:rPr>
          <w:rFonts w:ascii="Figtree" w:hAnsi="Figtree"/>
          <w:b/>
          <w:i w:val="0"/>
          <w:sz w:val="22"/>
        </w:rPr>
        <w:t>Control before speed</w:t>
      </w:r>
      <w:r>
        <w:rPr>
          <w:rFonts w:ascii="Figtree" w:hAnsi="Figtree"/>
          <w:b w:val="0"/>
          <w:i w:val="0"/>
          <w:sz w:val="22"/>
        </w:rPr>
        <w:t xml:space="preserve"> — every capability is evaluated for its governance implications, not just its functional output</w:t>
      </w:r>
    </w:p>
    <w:p>
      <w:pPr>
        <w:pStyle w:val="ListParagraph"/>
        <w:numPr>
          <w:ilvl w:val="0"/>
          <w:numId w:val="6"/>
        </w:numPr>
      </w:pPr>
      <w:r>
        <w:rPr>
          <w:rFonts w:ascii="Figtree" w:hAnsi="Figtree"/>
          <w:b/>
          <w:i w:val="0"/>
          <w:sz w:val="22"/>
        </w:rPr>
        <w:t>Reuse before fragmentation</w:t>
      </w:r>
      <w:r>
        <w:rPr>
          <w:rFonts w:ascii="Figtree" w:hAnsi="Figtree"/>
          <w:b w:val="0"/>
          <w:i w:val="0"/>
          <w:sz w:val="22"/>
        </w:rPr>
        <w:t xml:space="preserve"> — a single platform with consistent compliance rather than point solutions assembled per use case</w:t>
      </w:r>
    </w:p>
    <w:p>
      <w:pPr>
        <w:pStyle w:val="ListParagraph"/>
        <w:numPr>
          <w:ilvl w:val="0"/>
          <w:numId w:val="6"/>
        </w:numPr>
      </w:pPr>
      <w:r>
        <w:rPr>
          <w:rFonts w:ascii="Figtree" w:hAnsi="Figtree"/>
          <w:b/>
          <w:i w:val="0"/>
          <w:sz w:val="22"/>
        </w:rPr>
        <w:t>Phased delivery</w:t>
      </w:r>
      <w:r>
        <w:rPr>
          <w:rFonts w:ascii="Figtree" w:hAnsi="Figtree"/>
          <w:b w:val="0"/>
          <w:i w:val="0"/>
          <w:sz w:val="22"/>
        </w:rPr>
        <w:t xml:space="preserve"> — production value within 13 weeks, with expansion through configuration rather than re-architecture</w:t>
      </w:r>
    </w:p>
    <w:p>
      <w:pPr>
        <w:pStyle w:val="ListParagraph"/>
        <w:numPr>
          <w:ilvl w:val="0"/>
          <w:numId w:val="6"/>
        </w:numPr>
      </w:pPr>
      <w:r>
        <w:rPr>
          <w:rFonts w:ascii="Figtree" w:hAnsi="Figtree"/>
          <w:b/>
          <w:i w:val="0"/>
          <w:sz w:val="22"/>
        </w:rPr>
        <w:t>Evidence-led compliance</w:t>
      </w:r>
      <w:r>
        <w:rPr>
          <w:rFonts w:ascii="Figtree" w:hAnsi="Figtree"/>
          <w:b w:val="0"/>
          <w:i w:val="0"/>
          <w:sz w:val="22"/>
        </w:rPr>
        <w:t xml:space="preserve"> — every claim backed by source references, every gap disclosed with mitigation</w:t>
      </w:r>
    </w:p>
    <w:p>
      <w:pPr>
        <w:jc w:val="center"/>
      </w:pPr>
      <w:r>
        <w:drawing>
          <wp:inline xmlns:a="http://schemas.openxmlformats.org/drawingml/2006/main" xmlns:pic="http://schemas.openxmlformats.org/drawingml/2006/picture">
            <wp:extent cx="5486400" cy="1014704"/>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1014704"/>
                    </a:xfrm>
                    <a:prstGeom prst="rect"/>
                  </pic:spPr>
                </pic:pic>
              </a:graphicData>
            </a:graphic>
          </wp:inline>
        </w:drawing>
      </w:r>
    </w:p>
    <w:p>
      <w:r>
        <w:br w:type="page"/>
      </w:r>
    </w:p>
    <w:p>
      <w:pPr>
        <w:pStyle w:val="H2"/>
        <w:numPr>
          <w:ilvl w:val="1"/>
          <w:numId w:val="1"/>
        </w:numPr>
      </w:pPr>
      <w:r>
        <w:t>Proposed Solution and Functional Capabilities</w:t>
      </w:r>
    </w:p>
    <w:p>
      <w:pPr>
        <w:pStyle w:val="H3"/>
        <w:numPr>
          <w:ilvl w:val="2"/>
          <w:numId w:val="1"/>
        </w:numPr>
      </w:pPr>
      <w:r>
        <w:t>Solution Overview</w:t>
      </w:r>
    </w:p>
    <w:p>
      <w:r>
        <w:rPr>
          <w:rFonts w:ascii="Figtree" w:hAnsi="Figtree"/>
          <w:b w:val="0"/>
          <w:i w:val="0"/>
          <w:sz w:val="22"/>
        </w:rPr>
        <w:t>The proposed solution deploys DALP as Emirates NBD's digital asset lifecycle platform, covering two primary product streams:</w:t>
      </w:r>
    </w:p>
    <w:p>
      <w:pPr>
        <w:pStyle w:val="ListParagraph"/>
        <w:numPr>
          <w:ilvl w:val="0"/>
          <w:numId w:val="7"/>
        </w:numPr>
      </w:pPr>
      <w:r>
        <w:rPr>
          <w:rFonts w:ascii="Figtree" w:hAnsi="Figtree"/>
          <w:b/>
          <w:i w:val="0"/>
          <w:sz w:val="22"/>
        </w:rPr>
        <w:t>Tokenized Deposits:</w:t>
      </w:r>
      <w:r>
        <w:rPr>
          <w:rFonts w:ascii="Figtree" w:hAnsi="Figtree"/>
          <w:b w:val="0"/>
          <w:i w:val="0"/>
          <w:sz w:val="22"/>
        </w:rPr>
        <w:t xml:space="preserve"> Institutional bank deposits represented as on-chain tokens, enabling atomic settlement, real-time portfolio visibility, and programmable lifecycle events (interest accrual, maturity redemption, early withdrawal)</w:t>
      </w:r>
    </w:p>
    <w:p>
      <w:pPr>
        <w:pStyle w:val="ListParagraph"/>
        <w:numPr>
          <w:ilvl w:val="0"/>
          <w:numId w:val="7"/>
        </w:numPr>
      </w:pPr>
      <w:r>
        <w:rPr>
          <w:rFonts w:ascii="Figtree" w:hAnsi="Figtree"/>
          <w:b/>
          <w:i w:val="0"/>
          <w:sz w:val="22"/>
        </w:rPr>
        <w:t>Trade Finance Liquidity Rails:</w:t>
      </w:r>
      <w:r>
        <w:rPr>
          <w:rFonts w:ascii="Figtree" w:hAnsi="Figtree"/>
          <w:b w:val="0"/>
          <w:i w:val="0"/>
          <w:sz w:val="22"/>
        </w:rPr>
        <w:t xml:space="preserve"> Tokenized trade finance instruments (letters of credit, bills of exchange, receivables) with document-linked workflows, multi-party approvals, milestone-based liquidity release, and counterparty limit management</w:t>
      </w:r>
    </w:p>
    <w:p>
      <w:r>
        <w:rPr>
          <w:rFonts w:ascii="Figtree" w:hAnsi="Figtree"/>
          <w:b w:val="0"/>
          <w:i w:val="0"/>
          <w:sz w:val="22"/>
        </w:rPr>
        <w:t>Both streams operate on a single DALP instance with shared identity infrastructure, compliance engine, and settlement layer. This eliminates the fragmentation that would result from deploying separate solutions for deposits and trade finance.</w:t>
      </w:r>
    </w:p>
    <w:p>
      <w:r>
        <w:rPr>
          <w:rFonts w:ascii="Figtree" w:hAnsi="Figtree"/>
          <w:b/>
          <w:i w:val="0"/>
          <w:sz w:val="22"/>
        </w:rPr>
        <w:t>Solution boundary:</w:t>
      </w:r>
      <w:r>
        <w:rPr>
          <w:rFonts w:ascii="Figtree" w:hAnsi="Figtree"/>
          <w:b w:val="0"/>
          <w:i w:val="0"/>
          <w:sz w:val="22"/>
        </w:rPr>
        <w:t xml:space="preserve"> DALP provides the tokenization, compliance, settlement, and workflow orchestration layer. Emirates NBD retains ownership of business policy, product approval, regulatory engagement, and customer-facing channels. Integration to core banking, trade finance back-office, SWIFT gateway, and regulatory reporting is delivered through DALP's API surface during the implementation phase.</w:t>
      </w:r>
    </w:p>
    <w:p>
      <w:r>
        <w:rPr>
          <w:rFonts w:ascii="Figtree" w:hAnsi="Figtree"/>
          <w:b/>
          <w:i w:val="0"/>
          <w:sz w:val="22"/>
        </w:rPr>
        <w:t>Deployment assumption:</w:t>
      </w:r>
      <w:r>
        <w:rPr>
          <w:rFonts w:ascii="Figtree" w:hAnsi="Figtree"/>
          <w:b w:val="0"/>
          <w:i w:val="0"/>
          <w:sz w:val="22"/>
        </w:rPr>
        <w:t xml:space="preserve"> Dedicated cloud deployment on UAE-resident infrastructure (AWS Middle East - Bahrain or Azure UAE North), ensuring data residency compliance and low-latency connectivity to Emirates NBD's existing systems.</w:t>
      </w:r>
    </w:p>
    <w:p>
      <w:pPr>
        <w:pStyle w:val="H3"/>
        <w:numPr>
          <w:ilvl w:val="2"/>
          <w:numId w:val="1"/>
        </w:numPr>
      </w:pPr>
      <w:r>
        <w:t>Issuance and Asset Configuration</w:t>
      </w:r>
    </w:p>
    <w:p>
      <w:r>
        <w:rPr>
          <w:rFonts w:ascii="Figtree" w:hAnsi="Figtree"/>
          <w:b w:val="0"/>
          <w:i w:val="0"/>
          <w:sz w:val="22"/>
        </w:rPr>
        <w:t>DALP's Asset Designer enables Emirates NBD to configure tokenized deposits and trade finance instruments without custom smart contract development:</w:t>
      </w:r>
    </w:p>
    <w:p>
      <w:r>
        <w:rPr>
          <w:rFonts w:ascii="Figtree" w:hAnsi="Figtree"/>
          <w:b/>
          <w:i w:val="0"/>
          <w:sz w:val="22"/>
        </w:rPr>
        <w:t>Tokenized Deposits:</w:t>
      </w:r>
      <w:r>
        <w:rPr>
          <w:rFonts w:ascii="Figtree" w:hAnsi="Figtree"/>
          <w:b w:val="0"/>
          <w:i w:val="0"/>
          <w:sz w:val="22"/>
        </w:rPr>
        <w:t xml:space="preserve"> Configured as Cash Equivalent / Deposit asset type with:</w:t>
      </w:r>
    </w:p>
    <w:p>
      <w:pPr>
        <w:pStyle w:val="ListParagraph"/>
        <w:numPr>
          <w:ilvl w:val="0"/>
          <w:numId w:val="4"/>
        </w:numPr>
      </w:pPr>
      <w:r>
        <w:rPr>
          <w:rFonts w:ascii="Figtree" w:hAnsi="Figtree"/>
          <w:b w:val="0"/>
          <w:i w:val="0"/>
          <w:sz w:val="22"/>
        </w:rPr>
        <w:t>Denomination asset linking (AED stablecoin or settlement token for DvP)</w:t>
      </w:r>
    </w:p>
    <w:p>
      <w:pPr>
        <w:pStyle w:val="ListParagraph"/>
        <w:numPr>
          <w:ilvl w:val="0"/>
          <w:numId w:val="4"/>
        </w:numPr>
      </w:pPr>
      <w:r>
        <w:rPr>
          <w:rFonts w:ascii="Figtree" w:hAnsi="Figtree"/>
          <w:b w:val="0"/>
          <w:i w:val="0"/>
          <w:sz w:val="22"/>
        </w:rPr>
        <w:t>Maximum supply and investor count limits</w:t>
      </w:r>
    </w:p>
    <w:p>
      <w:pPr>
        <w:pStyle w:val="ListParagraph"/>
        <w:numPr>
          <w:ilvl w:val="0"/>
          <w:numId w:val="4"/>
        </w:numPr>
      </w:pPr>
      <w:r>
        <w:rPr>
          <w:rFonts w:ascii="Figtree" w:hAnsi="Figtree"/>
          <w:b w:val="0"/>
          <w:i w:val="0"/>
          <w:sz w:val="22"/>
        </w:rPr>
        <w:t>Maturity and redemption features (automatic maturity processing)</w:t>
      </w:r>
    </w:p>
    <w:p>
      <w:pPr>
        <w:pStyle w:val="ListParagraph"/>
        <w:numPr>
          <w:ilvl w:val="0"/>
          <w:numId w:val="4"/>
        </w:numPr>
      </w:pPr>
      <w:r>
        <w:rPr>
          <w:rFonts w:ascii="Figtree" w:hAnsi="Figtree"/>
          <w:b w:val="0"/>
          <w:i w:val="0"/>
          <w:sz w:val="22"/>
        </w:rPr>
        <w:t>Fixed treasury yield (interest accrual and distribution)</w:t>
      </w:r>
    </w:p>
    <w:p>
      <w:pPr>
        <w:pStyle w:val="ListParagraph"/>
        <w:numPr>
          <w:ilvl w:val="0"/>
          <w:numId w:val="4"/>
        </w:numPr>
      </w:pPr>
      <w:r>
        <w:rPr>
          <w:rFonts w:ascii="Figtree" w:hAnsi="Figtree"/>
          <w:b w:val="0"/>
          <w:i w:val="0"/>
          <w:sz w:val="22"/>
        </w:rPr>
        <w:t>Identity verification and country restriction modules</w:t>
      </w:r>
    </w:p>
    <w:p>
      <w:pPr>
        <w:pStyle w:val="ListParagraph"/>
        <w:numPr>
          <w:ilvl w:val="0"/>
          <w:numId w:val="4"/>
        </w:numPr>
      </w:pPr>
      <w:r>
        <w:rPr>
          <w:rFonts w:ascii="Figtree" w:hAnsi="Figtree"/>
          <w:b w:val="0"/>
          <w:i w:val="0"/>
          <w:sz w:val="22"/>
        </w:rPr>
        <w:t>Transfer approval workflows for institutional-grade governance</w:t>
      </w:r>
    </w:p>
    <w:p>
      <w:r>
        <w:rPr>
          <w:rFonts w:ascii="Figtree" w:hAnsi="Figtree"/>
          <w:b/>
          <w:i w:val="0"/>
          <w:sz w:val="22"/>
        </w:rPr>
        <w:t>Trade Finance Instruments:</w:t>
      </w:r>
      <w:r>
        <w:rPr>
          <w:rFonts w:ascii="Figtree" w:hAnsi="Figtree"/>
          <w:b w:val="0"/>
          <w:i w:val="0"/>
          <w:sz w:val="22"/>
        </w:rPr>
        <w:t xml:space="preserve"> Configured as DALPAsset (Configurable) with:</w:t>
      </w:r>
    </w:p>
    <w:p>
      <w:pPr>
        <w:pStyle w:val="ListParagraph"/>
        <w:numPr>
          <w:ilvl w:val="0"/>
          <w:numId w:val="4"/>
        </w:numPr>
      </w:pPr>
      <w:r>
        <w:rPr>
          <w:rFonts w:ascii="Figtree" w:hAnsi="Figtree"/>
          <w:b w:val="0"/>
          <w:i w:val="0"/>
          <w:sz w:val="22"/>
        </w:rPr>
        <w:t>Document reference metadata linked at issuance</w:t>
      </w:r>
    </w:p>
    <w:p>
      <w:pPr>
        <w:pStyle w:val="ListParagraph"/>
        <w:numPr>
          <w:ilvl w:val="0"/>
          <w:numId w:val="4"/>
        </w:numPr>
      </w:pPr>
      <w:r>
        <w:rPr>
          <w:rFonts w:ascii="Figtree" w:hAnsi="Figtree"/>
          <w:b w:val="0"/>
          <w:i w:val="0"/>
          <w:sz w:val="22"/>
        </w:rPr>
        <w:t>Milestone-based feature composition</w:t>
      </w:r>
    </w:p>
    <w:p>
      <w:pPr>
        <w:pStyle w:val="ListParagraph"/>
        <w:numPr>
          <w:ilvl w:val="0"/>
          <w:numId w:val="4"/>
        </w:numPr>
      </w:pPr>
      <w:r>
        <w:rPr>
          <w:rFonts w:ascii="Figtree" w:hAnsi="Figtree"/>
          <w:b w:val="0"/>
          <w:i w:val="0"/>
          <w:sz w:val="22"/>
        </w:rPr>
        <w:t>Counterparty identity verification</w:t>
      </w:r>
    </w:p>
    <w:p>
      <w:pPr>
        <w:pStyle w:val="ListParagraph"/>
        <w:numPr>
          <w:ilvl w:val="0"/>
          <w:numId w:val="4"/>
        </w:numPr>
      </w:pPr>
      <w:r>
        <w:rPr>
          <w:rFonts w:ascii="Figtree" w:hAnsi="Figtree"/>
          <w:b w:val="0"/>
          <w:i w:val="0"/>
          <w:sz w:val="22"/>
        </w:rPr>
        <w:t>Transfer restrictions (nominated counterparties only)</w:t>
      </w:r>
    </w:p>
    <w:p>
      <w:pPr>
        <w:pStyle w:val="ListParagraph"/>
        <w:numPr>
          <w:ilvl w:val="0"/>
          <w:numId w:val="4"/>
        </w:numPr>
      </w:pPr>
      <w:r>
        <w:rPr>
          <w:rFonts w:ascii="Figtree" w:hAnsi="Figtree"/>
          <w:b w:val="0"/>
          <w:i w:val="0"/>
          <w:sz w:val="22"/>
        </w:rPr>
        <w:t>Timelock modules (holding period enforcement)</w:t>
      </w:r>
    </w:p>
    <w:p>
      <w:pPr>
        <w:pStyle w:val="ListParagraph"/>
        <w:numPr>
          <w:ilvl w:val="0"/>
          <w:numId w:val="4"/>
        </w:numPr>
      </w:pPr>
      <w:r>
        <w:rPr>
          <w:rFonts w:ascii="Figtree" w:hAnsi="Figtree"/>
          <w:b w:val="0"/>
          <w:i w:val="0"/>
          <w:sz w:val="22"/>
        </w:rPr>
        <w:t>Collateral requirement modules (underlying asset verification)</w:t>
      </w:r>
    </w:p>
    <w:p>
      <w:r>
        <w:rPr>
          <w:rFonts w:ascii="Figtree" w:hAnsi="Figtree"/>
          <w:b w:val="0"/>
          <w:i w:val="0"/>
          <w:sz w:val="22"/>
        </w:rPr>
        <w:t>All configuration is performed through DALP's API or UI, producing audited, production-ready token contracts that inherit the security guarantees of the SMART Protocol (ERC-3643).</w:t>
      </w:r>
    </w:p>
    <w:p>
      <w:pPr>
        <w:pStyle w:val="H3"/>
        <w:numPr>
          <w:ilvl w:val="2"/>
          <w:numId w:val="1"/>
        </w:numPr>
      </w:pPr>
      <w:r>
        <w:t>Identity and Eligibility</w:t>
      </w:r>
    </w:p>
    <w:p>
      <w:r>
        <w:rPr>
          <w:rFonts w:ascii="Figtree" w:hAnsi="Figtree"/>
          <w:b w:val="0"/>
          <w:i w:val="0"/>
          <w:sz w:val="22"/>
        </w:rPr>
        <w:t>OnchainID provides the on-chain identity layer for all participants:</w:t>
      </w:r>
    </w:p>
    <w:p>
      <w:pPr>
        <w:pStyle w:val="ListParagraph"/>
        <w:numPr>
          <w:ilvl w:val="0"/>
          <w:numId w:val="4"/>
        </w:numPr>
      </w:pPr>
      <w:r>
        <w:rPr>
          <w:rFonts w:ascii="Figtree" w:hAnsi="Figtree"/>
          <w:b/>
          <w:i w:val="0"/>
          <w:sz w:val="22"/>
        </w:rPr>
        <w:t>Corporate identity registration:</w:t>
      </w:r>
      <w:r>
        <w:rPr>
          <w:rFonts w:ascii="Figtree" w:hAnsi="Figtree"/>
          <w:b w:val="0"/>
          <w:i w:val="0"/>
          <w:sz w:val="22"/>
        </w:rPr>
        <w:t xml:space="preserve"> Emirates NBD, counterparty banks, institutional investors, and trade finance participants each receive OnchainID credentials with verifiable KYC/AML claims</w:t>
      </w:r>
    </w:p>
    <w:p>
      <w:pPr>
        <w:pStyle w:val="ListParagraph"/>
        <w:numPr>
          <w:ilvl w:val="0"/>
          <w:numId w:val="4"/>
        </w:numPr>
      </w:pPr>
      <w:r>
        <w:rPr>
          <w:rFonts w:ascii="Figtree" w:hAnsi="Figtree"/>
          <w:b/>
          <w:i w:val="0"/>
          <w:sz w:val="22"/>
        </w:rPr>
        <w:t>Trusted issuer model:</w:t>
      </w:r>
      <w:r>
        <w:rPr>
          <w:rFonts w:ascii="Figtree" w:hAnsi="Figtree"/>
          <w:b w:val="0"/>
          <w:i w:val="0"/>
          <w:sz w:val="22"/>
        </w:rPr>
        <w:t xml:space="preserve"> Emirates NBD acts as a trusted issuer within its DALP instance, with authority to verify and attest identity claims for participants in its ecosystem</w:t>
      </w:r>
    </w:p>
    <w:p>
      <w:pPr>
        <w:pStyle w:val="ListParagraph"/>
        <w:numPr>
          <w:ilvl w:val="0"/>
          <w:numId w:val="4"/>
        </w:numPr>
      </w:pPr>
      <w:r>
        <w:rPr>
          <w:rFonts w:ascii="Figtree" w:hAnsi="Figtree"/>
          <w:b/>
          <w:i w:val="0"/>
          <w:sz w:val="22"/>
        </w:rPr>
        <w:t>Claims-based eligibility:</w:t>
      </w:r>
      <w:r>
        <w:rPr>
          <w:rFonts w:ascii="Figtree" w:hAnsi="Figtree"/>
          <w:b w:val="0"/>
          <w:i w:val="0"/>
          <w:sz w:val="22"/>
        </w:rPr>
        <w:t xml:space="preserve"> Transfer eligibility is evaluated based on identity claims (jurisdiction, accreditation level, entity type) rather than static address whitelists</w:t>
      </w:r>
    </w:p>
    <w:p>
      <w:pPr>
        <w:pStyle w:val="ListParagraph"/>
        <w:numPr>
          <w:ilvl w:val="0"/>
          <w:numId w:val="4"/>
        </w:numPr>
      </w:pPr>
      <w:r>
        <w:rPr>
          <w:rFonts w:ascii="Figtree" w:hAnsi="Figtree"/>
          <w:b/>
          <w:i w:val="0"/>
          <w:sz w:val="22"/>
        </w:rPr>
        <w:t>Onboarding workflow:</w:t>
      </w:r>
      <w:r>
        <w:rPr>
          <w:rFonts w:ascii="Figtree" w:hAnsi="Figtree"/>
          <w:b w:val="0"/>
          <w:i w:val="0"/>
          <w:sz w:val="22"/>
        </w:rPr>
        <w:t xml:space="preserve"> Integration with Emirates NBD's existing KYC/AML systems feeds identity verification outcomes into OnchainID claims, maintaining a single source of truth</w:t>
      </w:r>
    </w:p>
    <w:p>
      <w:pPr>
        <w:pStyle w:val="H3"/>
        <w:numPr>
          <w:ilvl w:val="2"/>
          <w:numId w:val="1"/>
        </w:numPr>
      </w:pPr>
      <w:r>
        <w:t>Compliance Enforcement</w:t>
      </w:r>
    </w:p>
    <w:p>
      <w:r>
        <w:rPr>
          <w:rFonts w:ascii="Figtree" w:hAnsi="Figtree"/>
          <w:b w:val="0"/>
          <w:i w:val="0"/>
          <w:sz w:val="22"/>
        </w:rPr>
        <w:t>The compliance engine operates at the smart contract level, enforcing rules before transaction execution:</w:t>
      </w:r>
    </w:p>
    <w:p>
      <w:pPr>
        <w:jc w:val="center"/>
      </w:pPr>
      <w:r>
        <w:drawing>
          <wp:inline xmlns:a="http://schemas.openxmlformats.org/drawingml/2006/main" xmlns:pic="http://schemas.openxmlformats.org/drawingml/2006/picture">
            <wp:extent cx="5486400" cy="5031533"/>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5031533"/>
                    </a:xfrm>
                    <a:prstGeom prst="rect"/>
                  </pic:spPr>
                </pic:pic>
              </a:graphicData>
            </a:graphic>
          </wp:inline>
        </w:drawing>
      </w:r>
    </w:p>
    <w:p>
      <w:r>
        <w:rPr>
          <w:rFonts w:ascii="Figtree" w:hAnsi="Figtree"/>
          <w:b/>
          <w:i w:val="0"/>
          <w:sz w:val="22"/>
        </w:rPr>
        <w:t>Module composition for Emirates NBD deposits:</w:t>
      </w:r>
    </w:p>
    <w:p>
      <w:pPr>
        <w:pStyle w:val="ListParagraph"/>
        <w:numPr>
          <w:ilvl w:val="0"/>
          <w:numId w:val="8"/>
        </w:numPr>
      </w:pPr>
      <w:r>
        <w:rPr>
          <w:rFonts w:ascii="Figtree" w:hAnsi="Figtree"/>
          <w:b w:val="0"/>
          <w:i w:val="0"/>
          <w:sz w:val="22"/>
        </w:rPr>
        <w:t>Identity verification (mandatory for all transfers)</w:t>
      </w:r>
    </w:p>
    <w:p>
      <w:pPr>
        <w:pStyle w:val="ListParagraph"/>
        <w:numPr>
          <w:ilvl w:val="0"/>
          <w:numId w:val="8"/>
        </w:numPr>
      </w:pPr>
      <w:r>
        <w:rPr>
          <w:rFonts w:ascii="Figtree" w:hAnsi="Figtree"/>
          <w:b w:val="0"/>
          <w:i w:val="0"/>
          <w:sz w:val="22"/>
        </w:rPr>
        <w:t>Country allow list (UAE and approved jurisdictions)</w:t>
      </w:r>
    </w:p>
    <w:p>
      <w:pPr>
        <w:pStyle w:val="ListParagraph"/>
        <w:numPr>
          <w:ilvl w:val="0"/>
          <w:numId w:val="8"/>
        </w:numPr>
      </w:pPr>
      <w:r>
        <w:rPr>
          <w:rFonts w:ascii="Figtree" w:hAnsi="Figtree"/>
          <w:b w:val="0"/>
          <w:i w:val="0"/>
          <w:sz w:val="22"/>
        </w:rPr>
        <w:t>Investor count limit (regulatory cap on depositors)</w:t>
      </w:r>
    </w:p>
    <w:p>
      <w:pPr>
        <w:pStyle w:val="ListParagraph"/>
        <w:numPr>
          <w:ilvl w:val="0"/>
          <w:numId w:val="8"/>
        </w:numPr>
      </w:pPr>
      <w:r>
        <w:rPr>
          <w:rFonts w:ascii="Figtree" w:hAnsi="Figtree"/>
          <w:b w:val="0"/>
          <w:i w:val="0"/>
          <w:sz w:val="22"/>
        </w:rPr>
        <w:t>Transfer approval (maker-checker for large transfers)</w:t>
      </w:r>
    </w:p>
    <w:p>
      <w:pPr>
        <w:pStyle w:val="ListParagraph"/>
        <w:numPr>
          <w:ilvl w:val="0"/>
          <w:numId w:val="8"/>
        </w:numPr>
      </w:pPr>
      <w:r>
        <w:rPr>
          <w:rFonts w:ascii="Figtree" w:hAnsi="Figtree"/>
          <w:b w:val="0"/>
          <w:i w:val="0"/>
          <w:sz w:val="22"/>
        </w:rPr>
        <w:t>Collateral requirement (for secured deposit instruments)</w:t>
      </w:r>
    </w:p>
    <w:p>
      <w:r>
        <w:rPr>
          <w:rFonts w:ascii="Figtree" w:hAnsi="Figtree"/>
          <w:b/>
          <w:i w:val="0"/>
          <w:sz w:val="22"/>
        </w:rPr>
        <w:t>Module composition for trade finance instruments:</w:t>
      </w:r>
    </w:p>
    <w:p>
      <w:pPr>
        <w:pStyle w:val="ListParagraph"/>
        <w:numPr>
          <w:ilvl w:val="0"/>
          <w:numId w:val="9"/>
        </w:numPr>
      </w:pPr>
      <w:r>
        <w:rPr>
          <w:rFonts w:ascii="Figtree" w:hAnsi="Figtree"/>
          <w:b w:val="0"/>
          <w:i w:val="0"/>
          <w:sz w:val="22"/>
        </w:rPr>
        <w:t>Identity verification (counterparty verification)</w:t>
      </w:r>
    </w:p>
    <w:p>
      <w:pPr>
        <w:pStyle w:val="ListParagraph"/>
        <w:numPr>
          <w:ilvl w:val="0"/>
          <w:numId w:val="9"/>
        </w:numPr>
      </w:pPr>
      <w:r>
        <w:rPr>
          <w:rFonts w:ascii="Figtree" w:hAnsi="Figtree"/>
          <w:b w:val="0"/>
          <w:i w:val="0"/>
          <w:sz w:val="22"/>
        </w:rPr>
        <w:t>Address allow list (nominated counterparties only)</w:t>
      </w:r>
    </w:p>
    <w:p>
      <w:pPr>
        <w:pStyle w:val="ListParagraph"/>
        <w:numPr>
          <w:ilvl w:val="0"/>
          <w:numId w:val="9"/>
        </w:numPr>
      </w:pPr>
      <w:r>
        <w:rPr>
          <w:rFonts w:ascii="Figtree" w:hAnsi="Figtree"/>
          <w:b w:val="0"/>
          <w:i w:val="0"/>
          <w:sz w:val="22"/>
        </w:rPr>
        <w:t>Transfer approval (multi-party workflow)</w:t>
      </w:r>
    </w:p>
    <w:p>
      <w:pPr>
        <w:pStyle w:val="ListParagraph"/>
        <w:numPr>
          <w:ilvl w:val="0"/>
          <w:numId w:val="9"/>
        </w:numPr>
      </w:pPr>
      <w:r>
        <w:rPr>
          <w:rFonts w:ascii="Figtree" w:hAnsi="Figtree"/>
          <w:b w:val="0"/>
          <w:i w:val="0"/>
          <w:sz w:val="22"/>
        </w:rPr>
        <w:t>Timelock (minimum holding period for liquidity instruments)</w:t>
      </w:r>
    </w:p>
    <w:p>
      <w:pPr>
        <w:pStyle w:val="H3"/>
        <w:numPr>
          <w:ilvl w:val="2"/>
          <w:numId w:val="1"/>
        </w:numPr>
      </w:pPr>
      <w:r>
        <w:t>Transfer, Settlement, and Cash-Leg Coordination</w:t>
      </w:r>
    </w:p>
    <w:p>
      <w:r>
        <w:rPr>
          <w:rFonts w:ascii="Figtree" w:hAnsi="Figtree"/>
          <w:b w:val="0"/>
          <w:i w:val="0"/>
          <w:sz w:val="22"/>
        </w:rPr>
        <w:t>DALP's XvP (Exchange versus Payment) settlement addon provides atomic delivery-versus-payment for tokenized deposits:</w:t>
      </w:r>
    </w:p>
    <w:p>
      <w:pPr>
        <w:pStyle w:val="ListParagraph"/>
        <w:numPr>
          <w:ilvl w:val="0"/>
          <w:numId w:val="4"/>
        </w:numPr>
      </w:pPr>
      <w:r>
        <w:rPr>
          <w:rFonts w:ascii="Figtree" w:hAnsi="Figtree"/>
          <w:b/>
          <w:i w:val="0"/>
          <w:sz w:val="22"/>
        </w:rPr>
        <w:t>Atomic DvP:</w:t>
      </w:r>
      <w:r>
        <w:rPr>
          <w:rFonts w:ascii="Figtree" w:hAnsi="Figtree"/>
          <w:b w:val="0"/>
          <w:i w:val="0"/>
          <w:sz w:val="22"/>
        </w:rPr>
        <w:t xml:space="preserve"> Both legs — deposit token delivery and payment token transfer — execute in a single atomic blockchain transaction. If either leg fails, the entire transaction reverts. There is no window of counterparty exposure. This is a structural advantage over multi-step settlement approaches used by most competing platforms, where the gap between legs creates counterparty risk that must be managed through separate escrow or collateral mechanisms.</w:t>
      </w:r>
    </w:p>
    <w:p>
      <w:pPr>
        <w:pStyle w:val="ListParagraph"/>
        <w:numPr>
          <w:ilvl w:val="0"/>
          <w:numId w:val="4"/>
        </w:numPr>
      </w:pPr>
      <w:r>
        <w:rPr>
          <w:rFonts w:ascii="Figtree" w:hAnsi="Figtree"/>
          <w:b/>
          <w:i w:val="0"/>
          <w:sz w:val="22"/>
        </w:rPr>
        <w:t>Deterministic finality:</w:t>
      </w:r>
      <w:r>
        <w:rPr>
          <w:rFonts w:ascii="Figtree" w:hAnsi="Figtree"/>
          <w:b w:val="0"/>
          <w:i w:val="0"/>
          <w:sz w:val="22"/>
        </w:rPr>
        <w:t xml:space="preserve"> Under IBFT consensus (recommended for permissioned deployments), settlement finality is deterministic — not probabilistic. Once confirmed, a settlement cannot be reversed. Under a test profile of 500 concurrent settlement instructions on a 4-node validator network, the platform achieves median settlement latency of 2.3 seconds with P99 at 4.1 seconds.</w:t>
      </w:r>
    </w:p>
    <w:p>
      <w:pPr>
        <w:pStyle w:val="ListParagraph"/>
        <w:numPr>
          <w:ilvl w:val="0"/>
          <w:numId w:val="4"/>
        </w:numPr>
      </w:pPr>
      <w:r>
        <w:rPr>
          <w:rFonts w:ascii="Figtree" w:hAnsi="Figtree"/>
          <w:b/>
          <w:i w:val="0"/>
          <w:sz w:val="22"/>
        </w:rPr>
        <w:t>Failure handling:</w:t>
      </w:r>
      <w:r>
        <w:rPr>
          <w:rFonts w:ascii="Figtree" w:hAnsi="Figtree"/>
          <w:b w:val="0"/>
          <w:i w:val="0"/>
          <w:sz w:val="22"/>
        </w:rPr>
        <w:t xml:space="preserve"> Failed settlement attempts are logged with full diagnostic context. The durable execution engine retries operations according to configurable policies before escalating to manual intervention.</w:t>
      </w:r>
    </w:p>
    <w:p>
      <w:r>
        <w:rPr>
          <w:rFonts w:ascii="Figtree" w:hAnsi="Figtree"/>
          <w:b w:val="0"/>
          <w:i w:val="0"/>
          <w:sz w:val="22"/>
        </w:rPr>
        <w:t>For trade finance settlements, the platform supports milestone-based liquidity release:</w:t>
      </w:r>
    </w:p>
    <w:p>
      <w:pPr>
        <w:pStyle w:val="ListParagraph"/>
        <w:numPr>
          <w:ilvl w:val="0"/>
          <w:numId w:val="4"/>
        </w:numPr>
      </w:pPr>
      <w:r>
        <w:rPr>
          <w:rFonts w:ascii="Figtree" w:hAnsi="Figtree"/>
          <w:b w:val="0"/>
          <w:i w:val="0"/>
          <w:sz w:val="22"/>
        </w:rPr>
        <w:t>Document presentation triggers first milestone</w:t>
      </w:r>
    </w:p>
    <w:p>
      <w:pPr>
        <w:pStyle w:val="ListParagraph"/>
        <w:numPr>
          <w:ilvl w:val="0"/>
          <w:numId w:val="4"/>
        </w:numPr>
      </w:pPr>
      <w:r>
        <w:rPr>
          <w:rFonts w:ascii="Figtree" w:hAnsi="Figtree"/>
          <w:b w:val="0"/>
          <w:i w:val="0"/>
          <w:sz w:val="22"/>
        </w:rPr>
        <w:t>Verification by counterparty triggers second milestone</w:t>
      </w:r>
    </w:p>
    <w:p>
      <w:pPr>
        <w:pStyle w:val="ListParagraph"/>
        <w:numPr>
          <w:ilvl w:val="0"/>
          <w:numId w:val="4"/>
        </w:numPr>
      </w:pPr>
      <w:r>
        <w:rPr>
          <w:rFonts w:ascii="Figtree" w:hAnsi="Figtree"/>
          <w:b w:val="0"/>
          <w:i w:val="0"/>
          <w:sz w:val="22"/>
        </w:rPr>
        <w:t>Compliance approval triggers final settlement</w:t>
      </w:r>
    </w:p>
    <w:p>
      <w:pPr>
        <w:pStyle w:val="ListParagraph"/>
        <w:numPr>
          <w:ilvl w:val="0"/>
          <w:numId w:val="4"/>
        </w:numPr>
      </w:pPr>
      <w:r>
        <w:rPr>
          <w:rFonts w:ascii="Figtree" w:hAnsi="Figtree"/>
          <w:b w:val="0"/>
          <w:i w:val="0"/>
          <w:sz w:val="22"/>
        </w:rPr>
        <w:t>Each milestone produces auditable evidence with timestamp and approver identity</w:t>
      </w:r>
    </w:p>
    <w:p>
      <w:pPr>
        <w:pStyle w:val="H3"/>
        <w:numPr>
          <w:ilvl w:val="2"/>
          <w:numId w:val="1"/>
        </w:numPr>
      </w:pPr>
      <w:r>
        <w:t>Lifecycle Servicing and Corporate Actions</w:t>
      </w:r>
    </w:p>
    <w:p>
      <w:r>
        <w:rPr>
          <w:rFonts w:ascii="Figtree" w:hAnsi="Figtree"/>
          <w:b w:val="0"/>
          <w:i w:val="0"/>
          <w:sz w:val="22"/>
        </w:rPr>
        <w:t>DALP handles the full lifecycle of tokenized deposits and trade finance instruments: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36"/>
        <w:gridCol w:w="3669"/>
        <w:gridCol w:w="346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Lifecycle Event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Automation Level</w:t>
            </w:r>
          </w:p>
        </w:tc>
      </w:tr>
      <w:tr>
        <w:trPr>
          <w:trHeight w:val="425" w:hRule="atLeast"/>
        </w:trPr>
        <w:tc>
          <w:tcPr>
            <w:tcW w:type="dxa" w:w="3249"/>
            <w:vAlign w:val="center"/>
          </w:tcPr>
          <w:p>
            <w:pPr>
              <w:spacing w:line="276" w:lineRule="auto" w:before="0" w:after="0"/>
            </w:pPr>
            <w:r/>
            <w:r>
              <w:rPr>
                <w:rFonts w:ascii="Figtree" w:hAnsi="Figtree"/>
                <w:b w:val="0"/>
                <w:i w:val="0"/>
                <w:sz w:val="20"/>
              </w:rPr>
              <w:t>Interest accrual</w:t>
            </w:r>
          </w:p>
        </w:tc>
        <w:tc>
          <w:tcPr>
            <w:tcW w:type="dxa" w:w="3249"/>
            <w:vAlign w:val="center"/>
          </w:tcPr>
          <w:p>
            <w:pPr>
              <w:spacing w:line="276" w:lineRule="auto" w:before="0" w:after="0"/>
            </w:pPr>
            <w:r/>
            <w:r>
              <w:rPr>
                <w:rFonts w:ascii="Figtree" w:hAnsi="Figtree"/>
                <w:b w:val="0"/>
                <w:i w:val="0"/>
                <w:sz w:val="20"/>
              </w:rPr>
              <w:t>Fixed treasury yield feature</w:t>
            </w:r>
          </w:p>
        </w:tc>
        <w:tc>
          <w:tcPr>
            <w:tcW w:type="dxa" w:w="3249"/>
            <w:vAlign w:val="center"/>
          </w:tcPr>
          <w:p>
            <w:pPr>
              <w:spacing w:line="276" w:lineRule="auto" w:before="0" w:after="0"/>
            </w:pPr>
            <w:r/>
            <w:r>
              <w:rPr>
                <w:rFonts w:ascii="Figtree" w:hAnsi="Figtree"/>
                <w:b w:val="0"/>
                <w:i w:val="0"/>
                <w:sz w:val="20"/>
              </w:rPr>
              <w:t>Automated, configurable frequency</w:t>
            </w:r>
          </w:p>
        </w:tc>
      </w:tr>
      <w:tr>
        <w:trPr>
          <w:trHeight w:val="425" w:hRule="atLeast"/>
        </w:trPr>
        <w:tc>
          <w:tcPr>
            <w:tcW w:type="dxa" w:w="3249"/>
            <w:vAlign w:val="center"/>
          </w:tcPr>
          <w:p>
            <w:pPr>
              <w:spacing w:line="276" w:lineRule="auto" w:before="0" w:after="0"/>
            </w:pPr>
            <w:r/>
            <w:r>
              <w:rPr>
                <w:rFonts w:ascii="Figtree" w:hAnsi="Figtree"/>
                <w:b w:val="0"/>
                <w:i w:val="0"/>
                <w:sz w:val="20"/>
              </w:rPr>
              <w:t>Coupon distribution</w:t>
            </w:r>
          </w:p>
        </w:tc>
        <w:tc>
          <w:tcPr>
            <w:tcW w:type="dxa" w:w="3249"/>
            <w:vAlign w:val="center"/>
          </w:tcPr>
          <w:p>
            <w:pPr>
              <w:spacing w:line="276" w:lineRule="auto" w:before="0" w:after="0"/>
            </w:pPr>
            <w:r/>
            <w:r>
              <w:rPr>
                <w:rFonts w:ascii="Figtree" w:hAnsi="Figtree"/>
                <w:b w:val="0"/>
                <w:i w:val="0"/>
                <w:sz w:val="20"/>
              </w:rPr>
              <w:t>Yield addon</w:t>
            </w:r>
          </w:p>
        </w:tc>
        <w:tc>
          <w:tcPr>
            <w:tcW w:type="dxa" w:w="3249"/>
            <w:vAlign w:val="center"/>
          </w:tcPr>
          <w:p>
            <w:pPr>
              <w:spacing w:line="276" w:lineRule="auto" w:before="0" w:after="0"/>
            </w:pPr>
            <w:r/>
            <w:r>
              <w:rPr>
                <w:rFonts w:ascii="Figtree" w:hAnsi="Figtree"/>
                <w:b w:val="0"/>
                <w:i w:val="0"/>
                <w:sz w:val="20"/>
              </w:rPr>
              <w:t>Automated distribution to holders</w:t>
            </w:r>
          </w:p>
        </w:tc>
      </w:tr>
      <w:tr>
        <w:trPr>
          <w:trHeight w:val="425" w:hRule="atLeast"/>
        </w:trPr>
        <w:tc>
          <w:tcPr>
            <w:tcW w:type="dxa" w:w="3249"/>
            <w:vAlign w:val="center"/>
          </w:tcPr>
          <w:p>
            <w:pPr>
              <w:spacing w:line="276" w:lineRule="auto" w:before="0" w:after="0"/>
            </w:pPr>
            <w:r/>
            <w:r>
              <w:rPr>
                <w:rFonts w:ascii="Figtree" w:hAnsi="Figtree"/>
                <w:b w:val="0"/>
                <w:i w:val="0"/>
                <w:sz w:val="20"/>
              </w:rPr>
              <w:t>Maturity processing</w:t>
            </w:r>
          </w:p>
        </w:tc>
        <w:tc>
          <w:tcPr>
            <w:tcW w:type="dxa" w:w="3249"/>
            <w:vAlign w:val="center"/>
          </w:tcPr>
          <w:p>
            <w:pPr>
              <w:spacing w:line="276" w:lineRule="auto" w:before="0" w:after="0"/>
            </w:pPr>
            <w:r/>
            <w:r>
              <w:rPr>
                <w:rFonts w:ascii="Figtree" w:hAnsi="Figtree"/>
                <w:b w:val="0"/>
                <w:i w:val="0"/>
                <w:sz w:val="20"/>
              </w:rPr>
              <w:t>Maturity and redemption feature</w:t>
            </w:r>
          </w:p>
        </w:tc>
        <w:tc>
          <w:tcPr>
            <w:tcW w:type="dxa" w:w="3249"/>
            <w:vAlign w:val="center"/>
          </w:tcPr>
          <w:p>
            <w:pPr>
              <w:spacing w:line="276" w:lineRule="auto" w:before="0" w:after="0"/>
            </w:pPr>
            <w:r/>
            <w:r>
              <w:rPr>
                <w:rFonts w:ascii="Figtree" w:hAnsi="Figtree"/>
                <w:b w:val="0"/>
                <w:i w:val="0"/>
                <w:sz w:val="20"/>
              </w:rPr>
              <w:t>Automated at maturity date</w:t>
            </w:r>
          </w:p>
        </w:tc>
      </w:tr>
      <w:tr>
        <w:trPr>
          <w:trHeight w:val="425" w:hRule="atLeast"/>
        </w:trPr>
        <w:tc>
          <w:tcPr>
            <w:tcW w:type="dxa" w:w="3249"/>
            <w:vAlign w:val="center"/>
          </w:tcPr>
          <w:p>
            <w:pPr>
              <w:spacing w:line="276" w:lineRule="auto" w:before="0" w:after="0"/>
            </w:pPr>
            <w:r/>
            <w:r>
              <w:rPr>
                <w:rFonts w:ascii="Figtree" w:hAnsi="Figtree"/>
                <w:b w:val="0"/>
                <w:i w:val="0"/>
                <w:sz w:val="20"/>
              </w:rPr>
              <w:t>Early withdrawal</w:t>
            </w:r>
          </w:p>
        </w:tc>
        <w:tc>
          <w:tcPr>
            <w:tcW w:type="dxa" w:w="3249"/>
            <w:vAlign w:val="center"/>
          </w:tcPr>
          <w:p>
            <w:pPr>
              <w:spacing w:line="276" w:lineRule="auto" w:before="0" w:after="0"/>
            </w:pPr>
            <w:r/>
            <w:r>
              <w:rPr>
                <w:rFonts w:ascii="Figtree" w:hAnsi="Figtree"/>
                <w:b w:val="0"/>
                <w:i w:val="0"/>
                <w:sz w:val="20"/>
              </w:rPr>
              <w:t>Burn with compliance check</w:t>
            </w:r>
          </w:p>
        </w:tc>
        <w:tc>
          <w:tcPr>
            <w:tcW w:type="dxa" w:w="3249"/>
            <w:vAlign w:val="center"/>
          </w:tcPr>
          <w:p>
            <w:pPr>
              <w:spacing w:line="276" w:lineRule="auto" w:before="0" w:after="0"/>
            </w:pPr>
            <w:r/>
            <w:r>
              <w:rPr>
                <w:rFonts w:ascii="Figtree" w:hAnsi="Figtree"/>
                <w:b w:val="0"/>
                <w:i w:val="0"/>
                <w:sz w:val="20"/>
              </w:rPr>
              <w:t>Semi-automated with approval</w:t>
            </w:r>
          </w:p>
        </w:tc>
      </w:tr>
      <w:tr>
        <w:trPr>
          <w:trHeight w:val="425" w:hRule="atLeast"/>
        </w:trPr>
        <w:tc>
          <w:tcPr>
            <w:tcW w:type="dxa" w:w="3249"/>
            <w:vAlign w:val="center"/>
          </w:tcPr>
          <w:p>
            <w:pPr>
              <w:spacing w:line="276" w:lineRule="auto" w:before="0" w:after="0"/>
            </w:pPr>
            <w:r/>
            <w:r>
              <w:rPr>
                <w:rFonts w:ascii="Figtree" w:hAnsi="Figtree"/>
                <w:b w:val="0"/>
                <w:i w:val="0"/>
                <w:sz w:val="20"/>
              </w:rPr>
              <w:t>Partial redemption</w:t>
            </w:r>
          </w:p>
        </w:tc>
        <w:tc>
          <w:tcPr>
            <w:tcW w:type="dxa" w:w="3249"/>
            <w:vAlign w:val="center"/>
          </w:tcPr>
          <w:p>
            <w:pPr>
              <w:spacing w:line="276" w:lineRule="auto" w:before="0" w:after="0"/>
            </w:pPr>
            <w:r/>
            <w:r>
              <w:rPr>
                <w:rFonts w:ascii="Figtree" w:hAnsi="Figtree"/>
                <w:b w:val="0"/>
                <w:i w:val="0"/>
                <w:sz w:val="20"/>
              </w:rPr>
              <w:t>Proportional burn</w:t>
            </w:r>
          </w:p>
        </w:tc>
        <w:tc>
          <w:tcPr>
            <w:tcW w:type="dxa" w:w="3249"/>
            <w:vAlign w:val="center"/>
          </w:tcPr>
          <w:p>
            <w:pPr>
              <w:spacing w:line="276" w:lineRule="auto" w:before="0" w:after="0"/>
            </w:pPr>
            <w:r/>
            <w:r>
              <w:rPr>
                <w:rFonts w:ascii="Figtree" w:hAnsi="Figtree"/>
                <w:b w:val="0"/>
                <w:i w:val="0"/>
                <w:sz w:val="20"/>
              </w:rPr>
              <w:t>Automated</w:t>
            </w:r>
          </w:p>
        </w:tc>
      </w:tr>
      <w:tr>
        <w:trPr>
          <w:trHeight w:val="425" w:hRule="atLeast"/>
        </w:trPr>
        <w:tc>
          <w:tcPr>
            <w:tcW w:type="dxa" w:w="3249"/>
            <w:vAlign w:val="center"/>
          </w:tcPr>
          <w:p>
            <w:pPr>
              <w:spacing w:line="276" w:lineRule="auto" w:before="0" w:after="0"/>
            </w:pPr>
            <w:r/>
            <w:r>
              <w:rPr>
                <w:rFonts w:ascii="Figtree" w:hAnsi="Figtree"/>
                <w:b w:val="0"/>
                <w:i w:val="0"/>
                <w:sz w:val="20"/>
              </w:rPr>
              <w:t>Corporate actions</w:t>
            </w:r>
          </w:p>
        </w:tc>
        <w:tc>
          <w:tcPr>
            <w:tcW w:type="dxa" w:w="3249"/>
            <w:vAlign w:val="center"/>
          </w:tcPr>
          <w:p>
            <w:pPr>
              <w:spacing w:line="276" w:lineRule="auto" w:before="0" w:after="0"/>
            </w:pPr>
            <w:r/>
            <w:r>
              <w:rPr>
                <w:rFonts w:ascii="Figtree" w:hAnsi="Figtree"/>
                <w:b w:val="0"/>
                <w:i w:val="0"/>
                <w:sz w:val="20"/>
              </w:rPr>
              <w:t>Governance events via SMART Protocol</w:t>
            </w:r>
          </w:p>
        </w:tc>
        <w:tc>
          <w:tcPr>
            <w:tcW w:type="dxa" w:w="3249"/>
            <w:vAlign w:val="center"/>
          </w:tcPr>
          <w:p>
            <w:pPr>
              <w:spacing w:line="276" w:lineRule="auto" w:before="0" w:after="0"/>
            </w:pPr>
            <w:r/>
            <w:r>
              <w:rPr>
                <w:rFonts w:ascii="Figtree" w:hAnsi="Figtree"/>
                <w:b w:val="0"/>
                <w:i w:val="0"/>
                <w:sz w:val="20"/>
              </w:rPr>
              <w:t>Configurable per action type</w:t>
            </w:r>
          </w:p>
        </w:tc>
      </w:tr>
      <w:tr>
        <w:trPr>
          <w:trHeight w:val="425" w:hRule="atLeast"/>
        </w:trPr>
        <w:tc>
          <w:tcPr>
            <w:tcW w:type="dxa" w:w="3249"/>
            <w:vAlign w:val="center"/>
          </w:tcPr>
          <w:p>
            <w:pPr>
              <w:spacing w:line="276" w:lineRule="auto" w:before="0" w:after="0"/>
            </w:pPr>
            <w:r/>
            <w:r>
              <w:rPr>
                <w:rFonts w:ascii="Figtree" w:hAnsi="Figtree"/>
                <w:b w:val="0"/>
                <w:i w:val="0"/>
                <w:sz w:val="20"/>
              </w:rPr>
              <w:t>Trade milestone</w:t>
            </w:r>
          </w:p>
        </w:tc>
        <w:tc>
          <w:tcPr>
            <w:tcW w:type="dxa" w:w="3249"/>
            <w:vAlign w:val="center"/>
          </w:tcPr>
          <w:p>
            <w:pPr>
              <w:spacing w:line="276" w:lineRule="auto" w:before="0" w:after="0"/>
            </w:pPr>
            <w:r/>
            <w:r>
              <w:rPr>
                <w:rFonts w:ascii="Figtree" w:hAnsi="Figtree"/>
                <w:b w:val="0"/>
                <w:i w:val="0"/>
                <w:sz w:val="20"/>
              </w:rPr>
              <w:t>Durable workflow engine</w:t>
            </w:r>
          </w:p>
        </w:tc>
        <w:tc>
          <w:tcPr>
            <w:tcW w:type="dxa" w:w="3249"/>
            <w:vAlign w:val="center"/>
          </w:tcPr>
          <w:p>
            <w:pPr>
              <w:spacing w:line="276" w:lineRule="auto" w:before="0" w:after="0"/>
            </w:pPr>
            <w:r/>
            <w:r>
              <w:rPr>
                <w:rFonts w:ascii="Figtree" w:hAnsi="Figtree"/>
                <w:b w:val="0"/>
                <w:i w:val="0"/>
                <w:sz w:val="20"/>
              </w:rPr>
              <w:t>Event-driven with approval gates</w:t>
            </w:r>
          </w:p>
        </w:tc>
      </w:tr>
      <w:tr>
        <w:trPr>
          <w:trHeight w:val="425" w:hRule="atLeast"/>
        </w:trPr>
        <w:tc>
          <w:tcPr>
            <w:tcW w:type="dxa" w:w="3249"/>
            <w:vAlign w:val="center"/>
          </w:tcPr>
          <w:p>
            <w:pPr>
              <w:spacing w:line="276" w:lineRule="auto" w:before="0" w:after="0"/>
            </w:pPr>
            <w:r/>
            <w:r>
              <w:rPr>
                <w:rFonts w:ascii="Figtree" w:hAnsi="Figtree"/>
                <w:b w:val="0"/>
                <w:i w:val="0"/>
                <w:sz w:val="20"/>
              </w:rPr>
              <w:t>Document update</w:t>
            </w:r>
          </w:p>
        </w:tc>
        <w:tc>
          <w:tcPr>
            <w:tcW w:type="dxa" w:w="3249"/>
            <w:vAlign w:val="center"/>
          </w:tcPr>
          <w:p>
            <w:pPr>
              <w:spacing w:line="276" w:lineRule="auto" w:before="0" w:after="0"/>
            </w:pPr>
            <w:r/>
            <w:r>
              <w:rPr>
                <w:rFonts w:ascii="Figtree" w:hAnsi="Figtree"/>
                <w:b w:val="0"/>
                <w:i w:val="0"/>
                <w:sz w:val="20"/>
              </w:rPr>
              <w:t>Metadata linkage</w:t>
            </w:r>
          </w:p>
        </w:tc>
        <w:tc>
          <w:tcPr>
            <w:tcW w:type="dxa" w:w="3249"/>
            <w:vAlign w:val="center"/>
          </w:tcPr>
          <w:p>
            <w:pPr>
              <w:spacing w:line="276" w:lineRule="auto" w:before="0" w:after="0"/>
            </w:pPr>
            <w:r/>
            <w:r>
              <w:rPr>
                <w:rFonts w:ascii="Figtree" w:hAnsi="Figtree"/>
                <w:b w:val="0"/>
                <w:i w:val="0"/>
                <w:sz w:val="20"/>
              </w:rPr>
              <w:t>API-driven update with audit trail</w:t>
            </w:r>
          </w:p>
        </w:tc>
      </w:tr>
    </w:tbl>
    <w:p>
      <w:pPr>
        <w:spacing w:before="0" w:after="0" w:line="120" w:lineRule="exact"/>
      </w:pPr>
    </w:p>
    <w:p>
      <w:pPr>
        <w:pStyle w:val="H3"/>
        <w:numPr>
          <w:ilvl w:val="2"/>
          <w:numId w:val="1"/>
        </w:numPr>
      </w:pPr>
      <w:r>
        <w:t>Integration and Interoperability</w:t>
      </w:r>
    </w:p>
    <w:p>
      <w:r>
        <w:rPr>
          <w:rFonts w:ascii="Figtree" w:hAnsi="Figtree"/>
          <w:b w:val="0"/>
          <w:i w:val="0"/>
          <w:sz w:val="22"/>
        </w:rPr>
        <w:t>DALP's integration architecture is designed for enterprise coexistence, not isolation:</w:t>
      </w:r>
    </w:p>
    <w:p>
      <w:pPr>
        <w:jc w:val="center"/>
      </w:pPr>
      <w:r>
        <w:drawing>
          <wp:inline xmlns:a="http://schemas.openxmlformats.org/drawingml/2006/main" xmlns:pic="http://schemas.openxmlformats.org/drawingml/2006/picture">
            <wp:extent cx="5486400" cy="7093527"/>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7093527"/>
                    </a:xfrm>
                    <a:prstGeom prst="rect"/>
                  </pic:spPr>
                </pic:pic>
              </a:graphicData>
            </a:graphic>
          </wp:inline>
        </w:drawing>
      </w:r>
    </w:p>
    <w:p>
      <w:r>
        <w:rPr>
          <w:rFonts w:ascii="Figtree" w:hAnsi="Figtree"/>
          <w:b/>
          <w:i w:val="0"/>
          <w:sz w:val="22"/>
        </w:rPr>
        <w:t>Core banking integration:</w:t>
      </w:r>
      <w:r>
        <w:rPr>
          <w:rFonts w:ascii="Figtree" w:hAnsi="Figtree"/>
          <w:b w:val="0"/>
          <w:i w:val="0"/>
          <w:sz w:val="22"/>
        </w:rPr>
        <w:t xml:space="preserve"> Bidirectional API connectivity for deposit creation, balance reconciliation, interest calculation verification, and maturity processing synchronization.</w:t>
      </w:r>
    </w:p>
    <w:p>
      <w:r>
        <w:rPr>
          <w:rFonts w:ascii="Figtree" w:hAnsi="Figtree"/>
          <w:b/>
          <w:i w:val="0"/>
          <w:sz w:val="22"/>
        </w:rPr>
        <w:t>Trade finance back-office integration:</w:t>
      </w:r>
      <w:r>
        <w:rPr>
          <w:rFonts w:ascii="Figtree" w:hAnsi="Figtree"/>
          <w:b w:val="0"/>
          <w:i w:val="0"/>
          <w:sz w:val="22"/>
        </w:rPr>
        <w:t xml:space="preserve"> Webhook-driven event notifications for document presentation, milestone completion, and settlement confirmation. REST API for trade record creation and status queries.</w:t>
      </w:r>
    </w:p>
    <w:p>
      <w:r>
        <w:rPr>
          <w:rFonts w:ascii="Figtree" w:hAnsi="Figtree"/>
          <w:b/>
          <w:i w:val="0"/>
          <w:sz w:val="22"/>
        </w:rPr>
        <w:t>KYC/AML integration:</w:t>
      </w:r>
      <w:r>
        <w:rPr>
          <w:rFonts w:ascii="Figtree" w:hAnsi="Figtree"/>
          <w:b w:val="0"/>
          <w:i w:val="0"/>
          <w:sz w:val="22"/>
        </w:rPr>
        <w:t xml:space="preserve"> SDK-based integration feeding identity verification outcomes into OnchainID claims. Sanctions screening results stored as verifiable claims on participant identities.</w:t>
      </w:r>
    </w:p>
    <w:p>
      <w:r>
        <w:rPr>
          <w:rFonts w:ascii="Figtree" w:hAnsi="Figtree"/>
          <w:b/>
          <w:i w:val="0"/>
          <w:sz w:val="22"/>
        </w:rPr>
        <w:t>SWIFT integration:</w:t>
      </w:r>
      <w:r>
        <w:rPr>
          <w:rFonts w:ascii="Figtree" w:hAnsi="Figtree"/>
          <w:b w:val="0"/>
          <w:i w:val="0"/>
          <w:sz w:val="22"/>
        </w:rPr>
        <w:t xml:space="preserve"> CLI automation for ISO 20022 message generation from settlement events. Current implementation uses a middleware translation layer; native ISO 20022 support is in development (target Q3 2026).</w:t>
      </w:r>
    </w:p>
    <w:p>
      <w:r>
        <w:rPr>
          <w:rFonts w:ascii="Figtree" w:hAnsi="Figtree"/>
          <w:b/>
          <w:i w:val="0"/>
          <w:sz w:val="22"/>
        </w:rPr>
        <w:t>Regulatory reporting:</w:t>
      </w:r>
      <w:r>
        <w:rPr>
          <w:rFonts w:ascii="Figtree" w:hAnsi="Figtree"/>
          <w:b w:val="0"/>
          <w:i w:val="0"/>
          <w:sz w:val="22"/>
        </w:rPr>
        <w:t xml:space="preserve"> GraphQL queries for compliance event extraction, transaction history, and audit evidence. Configurable report templates for CBUAE, DFSA, and ADGM requirements.</w:t>
      </w:r>
    </w:p>
    <w:p>
      <w:pPr>
        <w:pStyle w:val="H3"/>
        <w:numPr>
          <w:ilvl w:val="2"/>
          <w:numId w:val="1"/>
        </w:numPr>
      </w:pPr>
      <w:r>
        <w:t>Functional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87"/>
        <w:gridCol w:w="2812"/>
        <w:gridCol w:w="712"/>
        <w:gridCol w:w="335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Functional 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Tokenized deposit creation</w:t>
            </w:r>
          </w:p>
        </w:tc>
        <w:tc>
          <w:tcPr>
            <w:tcW w:type="dxa" w:w="2436"/>
            <w:vAlign w:val="center"/>
          </w:tcPr>
          <w:p>
            <w:pPr>
              <w:spacing w:line="276" w:lineRule="auto" w:before="0" w:after="0"/>
            </w:pPr>
            <w:r/>
            <w:r>
              <w:rPr>
                <w:rFonts w:ascii="Figtree" w:hAnsi="Figtree"/>
                <w:b w:val="0"/>
                <w:i w:val="0"/>
                <w:sz w:val="20"/>
              </w:rPr>
              <w:t>Asset Designer + Deposit asset class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Configuration-driven, no custom development</w:t>
            </w:r>
          </w:p>
        </w:tc>
      </w:tr>
      <w:tr>
        <w:trPr>
          <w:trHeight w:val="425" w:hRule="atLeast"/>
        </w:trPr>
        <w:tc>
          <w:tcPr>
            <w:tcW w:type="dxa" w:w="2436"/>
            <w:vAlign w:val="center"/>
          </w:tcPr>
          <w:p>
            <w:pPr>
              <w:spacing w:line="276" w:lineRule="auto" w:before="0" w:after="0"/>
            </w:pPr>
            <w:r/>
            <w:r>
              <w:rPr>
                <w:rFonts w:ascii="Figtree" w:hAnsi="Figtree"/>
                <w:b w:val="0"/>
                <w:i w:val="0"/>
                <w:sz w:val="20"/>
              </w:rPr>
              <w:t>Deposit lifecycle management</w:t>
            </w:r>
          </w:p>
        </w:tc>
        <w:tc>
          <w:tcPr>
            <w:tcW w:type="dxa" w:w="2436"/>
            <w:vAlign w:val="center"/>
          </w:tcPr>
          <w:p>
            <w:pPr>
              <w:spacing w:line="276" w:lineRule="auto" w:before="0" w:after="0"/>
            </w:pPr>
            <w:r/>
            <w:r>
              <w:rPr>
                <w:rFonts w:ascii="Figtree" w:hAnsi="Figtree"/>
                <w:b w:val="0"/>
                <w:i w:val="0"/>
                <w:sz w:val="20"/>
              </w:rPr>
              <w:t>Maturity, yield, redemption features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Automated processing</w:t>
            </w:r>
          </w:p>
        </w:tc>
      </w:tr>
      <w:tr>
        <w:trPr>
          <w:trHeight w:val="425" w:hRule="atLeast"/>
        </w:trPr>
        <w:tc>
          <w:tcPr>
            <w:tcW w:type="dxa" w:w="2436"/>
            <w:vAlign w:val="center"/>
          </w:tcPr>
          <w:p>
            <w:pPr>
              <w:spacing w:line="276" w:lineRule="auto" w:before="0" w:after="0"/>
            </w:pPr>
            <w:r/>
            <w:r>
              <w:rPr>
                <w:rFonts w:ascii="Figtree" w:hAnsi="Figtree"/>
                <w:b w:val="0"/>
                <w:i w:val="0"/>
                <w:sz w:val="20"/>
              </w:rPr>
              <w:t>Trade finance workflow</w:t>
            </w:r>
          </w:p>
        </w:tc>
        <w:tc>
          <w:tcPr>
            <w:tcW w:type="dxa" w:w="2436"/>
            <w:vAlign w:val="center"/>
          </w:tcPr>
          <w:p>
            <w:pPr>
              <w:spacing w:line="276" w:lineRule="auto" w:before="0" w:after="0"/>
            </w:pPr>
            <w:r/>
            <w:r>
              <w:rPr>
                <w:rFonts w:ascii="Figtree" w:hAnsi="Figtree"/>
                <w:b w:val="0"/>
                <w:i w:val="0"/>
                <w:sz w:val="20"/>
              </w:rPr>
              <w:t>Durable execution engine + DALPAsset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Milestone-based, document-linked</w:t>
            </w:r>
          </w:p>
        </w:tc>
      </w:tr>
      <w:tr>
        <w:trPr>
          <w:trHeight w:val="425" w:hRule="atLeast"/>
        </w:trPr>
        <w:tc>
          <w:tcPr>
            <w:tcW w:type="dxa" w:w="2436"/>
            <w:vAlign w:val="center"/>
          </w:tcPr>
          <w:p>
            <w:pPr>
              <w:spacing w:line="276" w:lineRule="auto" w:before="0" w:after="0"/>
            </w:pPr>
            <w:r/>
            <w:r>
              <w:rPr>
                <w:rFonts w:ascii="Figtree" w:hAnsi="Figtree"/>
                <w:b w:val="0"/>
                <w:i w:val="0"/>
                <w:sz w:val="20"/>
              </w:rPr>
              <w:t>Atomic DvP settlement</w:t>
            </w:r>
          </w:p>
        </w:tc>
        <w:tc>
          <w:tcPr>
            <w:tcW w:type="dxa" w:w="2436"/>
            <w:vAlign w:val="center"/>
          </w:tcPr>
          <w:p>
            <w:pPr>
              <w:spacing w:line="276" w:lineRule="auto" w:before="0" w:after="0"/>
            </w:pPr>
            <w:r/>
            <w:r>
              <w:rPr>
                <w:rFonts w:ascii="Figtree" w:hAnsi="Figtree"/>
                <w:b w:val="0"/>
                <w:i w:val="0"/>
                <w:sz w:val="20"/>
              </w:rPr>
              <w:t>XvP settlement addon</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Single atomic transaction</w:t>
            </w:r>
          </w:p>
        </w:tc>
      </w:tr>
      <w:tr>
        <w:trPr>
          <w:trHeight w:val="425" w:hRule="atLeast"/>
        </w:trPr>
        <w:tc>
          <w:tcPr>
            <w:tcW w:type="dxa" w:w="2436"/>
            <w:vAlign w:val="center"/>
          </w:tcPr>
          <w:p>
            <w:pPr>
              <w:spacing w:line="276" w:lineRule="auto" w:before="0" w:after="0"/>
            </w:pPr>
            <w:r/>
            <w:r>
              <w:rPr>
                <w:rFonts w:ascii="Figtree" w:hAnsi="Figtree"/>
                <w:b w:val="0"/>
                <w:i w:val="0"/>
                <w:sz w:val="20"/>
              </w:rPr>
              <w:t>Multi-party approval</w:t>
            </w:r>
          </w:p>
        </w:tc>
        <w:tc>
          <w:tcPr>
            <w:tcW w:type="dxa" w:w="2436"/>
            <w:vAlign w:val="center"/>
          </w:tcPr>
          <w:p>
            <w:pPr>
              <w:spacing w:line="276" w:lineRule="auto" w:before="0" w:after="0"/>
            </w:pPr>
            <w:r/>
            <w:r>
              <w:rPr>
                <w:rFonts w:ascii="Figtree" w:hAnsi="Figtree"/>
                <w:b w:val="0"/>
                <w:i w:val="0"/>
                <w:sz w:val="20"/>
              </w:rPr>
              <w:t>Transfer approval module + RBAC</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Configurable approval chains</w:t>
            </w:r>
          </w:p>
        </w:tc>
      </w:tr>
      <w:tr>
        <w:trPr>
          <w:trHeight w:val="425" w:hRule="atLeast"/>
        </w:trPr>
        <w:tc>
          <w:tcPr>
            <w:tcW w:type="dxa" w:w="2436"/>
            <w:vAlign w:val="center"/>
          </w:tcPr>
          <w:p>
            <w:pPr>
              <w:spacing w:line="276" w:lineRule="auto" w:before="0" w:after="0"/>
            </w:pPr>
            <w:r/>
            <w:r>
              <w:rPr>
                <w:rFonts w:ascii="Figtree" w:hAnsi="Figtree"/>
                <w:b w:val="0"/>
                <w:i w:val="0"/>
                <w:sz w:val="20"/>
              </w:rPr>
              <w:t>Identity and KYC</w:t>
            </w:r>
          </w:p>
        </w:tc>
        <w:tc>
          <w:tcPr>
            <w:tcW w:type="dxa" w:w="2436"/>
            <w:vAlign w:val="center"/>
          </w:tcPr>
          <w:p>
            <w:pPr>
              <w:spacing w:line="276" w:lineRule="auto" w:before="0" w:after="0"/>
            </w:pPr>
            <w:r/>
            <w:r>
              <w:rPr>
                <w:rFonts w:ascii="Figtree" w:hAnsi="Figtree"/>
                <w:b w:val="0"/>
                <w:i w:val="0"/>
                <w:sz w:val="20"/>
              </w:rPr>
              <w:t>OnchainID + claims model</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Integration with existing KYC systems</w:t>
            </w:r>
          </w:p>
        </w:tc>
      </w:tr>
      <w:tr>
        <w:trPr>
          <w:trHeight w:val="425" w:hRule="atLeast"/>
        </w:trPr>
        <w:tc>
          <w:tcPr>
            <w:tcW w:type="dxa" w:w="2436"/>
            <w:vAlign w:val="center"/>
          </w:tcPr>
          <w:p>
            <w:pPr>
              <w:spacing w:line="276" w:lineRule="auto" w:before="0" w:after="0"/>
            </w:pPr>
            <w:r/>
            <w:r>
              <w:rPr>
                <w:rFonts w:ascii="Figtree" w:hAnsi="Figtree"/>
                <w:b w:val="0"/>
                <w:i w:val="0"/>
                <w:sz w:val="20"/>
              </w:rPr>
              <w:t>Compliance enforcement</w:t>
            </w:r>
          </w:p>
        </w:tc>
        <w:tc>
          <w:tcPr>
            <w:tcW w:type="dxa" w:w="2436"/>
            <w:vAlign w:val="center"/>
          </w:tcPr>
          <w:p>
            <w:pPr>
              <w:spacing w:line="276" w:lineRule="auto" w:before="0" w:after="0"/>
            </w:pPr>
            <w:r/>
            <w:r>
              <w:rPr>
                <w:rFonts w:ascii="Figtree" w:hAnsi="Figtree"/>
                <w:b w:val="0"/>
                <w:i w:val="0"/>
                <w:sz w:val="20"/>
              </w:rPr>
              <w:t>18 compliance module types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Ex-ante, on-chain</w:t>
            </w:r>
          </w:p>
        </w:tc>
      </w:tr>
      <w:tr>
        <w:trPr>
          <w:trHeight w:val="425" w:hRule="atLeast"/>
        </w:trPr>
        <w:tc>
          <w:tcPr>
            <w:tcW w:type="dxa" w:w="2436"/>
            <w:vAlign w:val="center"/>
          </w:tcPr>
          <w:p>
            <w:pPr>
              <w:spacing w:line="276" w:lineRule="auto" w:before="0" w:after="0"/>
            </w:pPr>
            <w:r/>
            <w:r>
              <w:rPr>
                <w:rFonts w:ascii="Figtree" w:hAnsi="Figtree"/>
                <w:b w:val="0"/>
                <w:i w:val="0"/>
                <w:sz w:val="20"/>
              </w:rPr>
              <w:t>Audit trail</w:t>
            </w:r>
          </w:p>
        </w:tc>
        <w:tc>
          <w:tcPr>
            <w:tcW w:type="dxa" w:w="2436"/>
            <w:vAlign w:val="center"/>
          </w:tcPr>
          <w:p>
            <w:pPr>
              <w:spacing w:line="276" w:lineRule="auto" w:before="0" w:after="0"/>
            </w:pPr>
            <w:r/>
            <w:r>
              <w:rPr>
                <w:rFonts w:ascii="Figtree" w:hAnsi="Figtree"/>
                <w:b w:val="0"/>
                <w:i w:val="0"/>
                <w:sz w:val="20"/>
              </w:rPr>
              <w:t>Immutable event logs + indexed state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Queryable, exportable</w:t>
            </w:r>
          </w:p>
        </w:tc>
      </w:tr>
      <w:tr>
        <w:trPr>
          <w:trHeight w:val="425" w:hRule="atLeast"/>
        </w:trPr>
        <w:tc>
          <w:tcPr>
            <w:tcW w:type="dxa" w:w="2436"/>
            <w:vAlign w:val="center"/>
          </w:tcPr>
          <w:p>
            <w:pPr>
              <w:spacing w:line="276" w:lineRule="auto" w:before="0" w:after="0"/>
            </w:pPr>
            <w:r/>
            <w:r>
              <w:rPr>
                <w:rFonts w:ascii="Figtree" w:hAnsi="Figtree"/>
                <w:b w:val="0"/>
                <w:i w:val="0"/>
                <w:sz w:val="20"/>
              </w:rPr>
              <w:t>Multi-environment support</w:t>
            </w:r>
          </w:p>
        </w:tc>
        <w:tc>
          <w:tcPr>
            <w:tcW w:type="dxa" w:w="2436"/>
            <w:vAlign w:val="center"/>
          </w:tcPr>
          <w:p>
            <w:pPr>
              <w:spacing w:line="276" w:lineRule="auto" w:before="0" w:after="0"/>
            </w:pPr>
            <w:r/>
            <w:r>
              <w:rPr>
                <w:rFonts w:ascii="Figtree" w:hAnsi="Figtree"/>
                <w:b w:val="0"/>
                <w:i w:val="0"/>
                <w:sz w:val="20"/>
              </w:rPr>
              <w:t>Dev/UAT/DR/Production segregation</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Kubernetes-based</w:t>
            </w:r>
          </w:p>
        </w:tc>
      </w:tr>
      <w:tr>
        <w:trPr>
          <w:trHeight w:val="425" w:hRule="atLeast"/>
        </w:trPr>
        <w:tc>
          <w:tcPr>
            <w:tcW w:type="dxa" w:w="2436"/>
            <w:vAlign w:val="center"/>
          </w:tcPr>
          <w:p>
            <w:pPr>
              <w:spacing w:line="276" w:lineRule="auto" w:before="0" w:after="0"/>
            </w:pPr>
            <w:r/>
            <w:r>
              <w:rPr>
                <w:rFonts w:ascii="Figtree" w:hAnsi="Figtree"/>
                <w:b w:val="0"/>
                <w:i w:val="0"/>
                <w:sz w:val="20"/>
              </w:rPr>
              <w:t>Regulatory reporting</w:t>
            </w:r>
          </w:p>
        </w:tc>
        <w:tc>
          <w:tcPr>
            <w:tcW w:type="dxa" w:w="2436"/>
            <w:vAlign w:val="center"/>
          </w:tcPr>
          <w:p>
            <w:pPr>
              <w:spacing w:line="276" w:lineRule="auto" w:before="0" w:after="0"/>
            </w:pPr>
            <w:r/>
            <w:r>
              <w:rPr>
                <w:rFonts w:ascii="Figtree" w:hAnsi="Figtree"/>
                <w:b w:val="0"/>
                <w:i w:val="0"/>
                <w:sz w:val="20"/>
              </w:rPr>
              <w:t>Observability + GraphQL + templates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Configurable per jurisdiction</w:t>
            </w:r>
          </w:p>
        </w:tc>
      </w:tr>
      <w:tr>
        <w:trPr>
          <w:trHeight w:val="425" w:hRule="atLeast"/>
        </w:trPr>
        <w:tc>
          <w:tcPr>
            <w:tcW w:type="dxa" w:w="2436"/>
            <w:vAlign w:val="center"/>
          </w:tcPr>
          <w:p>
            <w:pPr>
              <w:spacing w:line="276" w:lineRule="auto" w:before="0" w:after="0"/>
            </w:pPr>
            <w:r/>
            <w:r>
              <w:rPr>
                <w:rFonts w:ascii="Figtree" w:hAnsi="Figtree"/>
                <w:b w:val="0"/>
                <w:i w:val="0"/>
                <w:sz w:val="20"/>
              </w:rPr>
              <w:t>SWIFT ISO 20022</w:t>
            </w:r>
          </w:p>
        </w:tc>
        <w:tc>
          <w:tcPr>
            <w:tcW w:type="dxa" w:w="2436"/>
            <w:vAlign w:val="center"/>
          </w:tcPr>
          <w:p>
            <w:pPr>
              <w:spacing w:line="276" w:lineRule="auto" w:before="0" w:after="0"/>
            </w:pPr>
            <w:r/>
            <w:r>
              <w:rPr>
                <w:rFonts w:ascii="Figtree" w:hAnsi="Figtree"/>
                <w:b w:val="0"/>
                <w:i w:val="0"/>
                <w:sz w:val="20"/>
              </w:rPr>
              <w:t>Middleware translation layer</w:t>
            </w:r>
          </w:p>
        </w:tc>
        <w:tc>
          <w:tcPr>
            <w:tcW w:type="dxa" w:w="2436"/>
            <w:vAlign w:val="center"/>
          </w:tcPr>
          <w:p>
            <w:pPr>
              <w:spacing w:line="276" w:lineRule="auto" w:before="0" w:after="0"/>
            </w:pPr>
            <w:r/>
            <w:r>
              <w:rPr>
                <w:rFonts w:ascii="Figtree" w:hAnsi="Figtree"/>
                <w:b w:val="0"/>
                <w:i w:val="0"/>
                <w:sz w:val="20"/>
              </w:rPr>
              <w:t>Partial</w:t>
            </w:r>
          </w:p>
        </w:tc>
        <w:tc>
          <w:tcPr>
            <w:tcW w:type="dxa" w:w="2436"/>
            <w:vAlign w:val="center"/>
          </w:tcPr>
          <w:p>
            <w:pPr>
              <w:spacing w:line="276" w:lineRule="auto" w:before="0" w:after="0"/>
            </w:pPr>
            <w:r/>
            <w:r>
              <w:rPr>
                <w:rFonts w:ascii="Figtree" w:hAnsi="Figtree"/>
                <w:b w:val="0"/>
                <w:i w:val="0"/>
                <w:sz w:val="20"/>
              </w:rPr>
              <w:t>Native support target Q3 2026</w:t>
            </w:r>
          </w:p>
        </w:tc>
      </w:tr>
    </w:tbl>
    <w:p>
      <w:pPr>
        <w:spacing w:before="0" w:after="0" w:line="120" w:lineRule="exact"/>
      </w:pPr>
    </w:p>
    <w:p>
      <w:r>
        <w:br w:type="page"/>
      </w:r>
    </w:p>
    <w:p>
      <w:pPr>
        <w:pStyle w:val="H2"/>
        <w:numPr>
          <w:ilvl w:val="1"/>
          <w:numId w:val="1"/>
        </w:numPr>
      </w:pPr>
      <w:r>
        <w:t>Technical Architecture</w:t>
      </w:r>
    </w:p>
    <w:p>
      <w:pPr>
        <w:pStyle w:val="H3"/>
        <w:numPr>
          <w:ilvl w:val="2"/>
          <w:numId w:val="1"/>
        </w:numPr>
      </w:pPr>
      <w:r>
        <w:t>Architectural Principles</w:t>
      </w:r>
    </w:p>
    <w:p>
      <w:r>
        <w:rPr>
          <w:rFonts w:ascii="Figtree" w:hAnsi="Figtree"/>
          <w:b w:val="0"/>
          <w:i w:val="0"/>
          <w:sz w:val="22"/>
        </w:rPr>
        <w:t>DALP's architecture follows five governing principles:</w:t>
      </w:r>
    </w:p>
    <w:p>
      <w:pPr>
        <w:pStyle w:val="ListParagraph"/>
        <w:numPr>
          <w:ilvl w:val="0"/>
          <w:numId w:val="10"/>
        </w:numPr>
      </w:pPr>
      <w:r>
        <w:rPr>
          <w:rFonts w:ascii="Figtree" w:hAnsi="Figtree"/>
          <w:b/>
          <w:i w:val="0"/>
          <w:sz w:val="22"/>
        </w:rPr>
        <w:t>Lifecycle-first:</w:t>
      </w:r>
      <w:r>
        <w:rPr>
          <w:rFonts w:ascii="Figtree" w:hAnsi="Figtree"/>
          <w:b w:val="0"/>
          <w:i w:val="0"/>
          <w:sz w:val="22"/>
        </w:rPr>
        <w:t xml:space="preserve"> Every component is designed around the asset lifecycle, not around blockchain primitives</w:t>
      </w:r>
    </w:p>
    <w:p>
      <w:pPr>
        <w:pStyle w:val="ListParagraph"/>
        <w:numPr>
          <w:ilvl w:val="0"/>
          <w:numId w:val="10"/>
        </w:numPr>
      </w:pPr>
      <w:r>
        <w:rPr>
          <w:rFonts w:ascii="Figtree" w:hAnsi="Figtree"/>
          <w:b/>
          <w:i w:val="0"/>
          <w:sz w:val="22"/>
        </w:rPr>
        <w:t>Durable execution:</w:t>
      </w:r>
      <w:r>
        <w:rPr>
          <w:rFonts w:ascii="Figtree" w:hAnsi="Figtree"/>
          <w:b w:val="0"/>
          <w:i w:val="0"/>
          <w:sz w:val="22"/>
        </w:rPr>
        <w:t xml:space="preserve"> Workflows survive restarts, network partitions, and partner outages — no silent data loss</w:t>
      </w:r>
    </w:p>
    <w:p>
      <w:pPr>
        <w:pStyle w:val="ListParagraph"/>
        <w:numPr>
          <w:ilvl w:val="0"/>
          <w:numId w:val="10"/>
        </w:numPr>
      </w:pPr>
      <w:r>
        <w:rPr>
          <w:rFonts w:ascii="Figtree" w:hAnsi="Figtree"/>
          <w:b/>
          <w:i w:val="0"/>
          <w:sz w:val="22"/>
        </w:rPr>
        <w:t>Defense-in-depth:</w:t>
      </w:r>
      <w:r>
        <w:rPr>
          <w:rFonts w:ascii="Figtree" w:hAnsi="Figtree"/>
          <w:b w:val="0"/>
          <w:i w:val="0"/>
          <w:sz w:val="22"/>
        </w:rPr>
        <w:t xml:space="preserve"> Five independent control layers (identity, RBAC, wallet verification, compliance, custody policy)</w:t>
      </w:r>
    </w:p>
    <w:p>
      <w:pPr>
        <w:pStyle w:val="ListParagraph"/>
        <w:numPr>
          <w:ilvl w:val="0"/>
          <w:numId w:val="10"/>
        </w:numPr>
      </w:pPr>
      <w:r>
        <w:rPr>
          <w:rFonts w:ascii="Figtree" w:hAnsi="Figtree"/>
          <w:b/>
          <w:i w:val="0"/>
          <w:sz w:val="22"/>
        </w:rPr>
        <w:t>Separation of concerns:</w:t>
      </w:r>
      <w:r>
        <w:rPr>
          <w:rFonts w:ascii="Figtree" w:hAnsi="Figtree"/>
          <w:b w:val="0"/>
          <w:i w:val="0"/>
          <w:sz w:val="22"/>
        </w:rPr>
        <w:t xml:space="preserve"> Each architectural layer has a distinct responsibility boundary</w:t>
      </w:r>
    </w:p>
    <w:p>
      <w:pPr>
        <w:pStyle w:val="ListParagraph"/>
        <w:numPr>
          <w:ilvl w:val="0"/>
          <w:numId w:val="10"/>
        </w:numPr>
      </w:pPr>
      <w:r>
        <w:rPr>
          <w:rFonts w:ascii="Figtree" w:hAnsi="Figtree"/>
          <w:b/>
          <w:i w:val="0"/>
          <w:sz w:val="22"/>
        </w:rPr>
        <w:t>Provider abstraction:</w:t>
      </w:r>
      <w:r>
        <w:rPr>
          <w:rFonts w:ascii="Figtree" w:hAnsi="Figtree"/>
          <w:b w:val="0"/>
          <w:i w:val="0"/>
          <w:sz w:val="22"/>
        </w:rPr>
        <w:t xml:space="preserve"> Bring-your-own-chain, bring-your-own-custodian, bring-your-own-identity-provider</w:t>
      </w:r>
    </w:p>
    <w:p>
      <w:pPr>
        <w:pStyle w:val="H3"/>
        <w:numPr>
          <w:ilvl w:val="2"/>
          <w:numId w:val="1"/>
        </w:numPr>
      </w:pPr>
      <w:r>
        <w:t>Layered Architecture</w:t>
      </w:r>
    </w:p>
    <w:p>
      <w:pPr>
        <w:jc w:val="center"/>
      </w:pPr>
      <w:r>
        <w:drawing>
          <wp:inline xmlns:a="http://schemas.openxmlformats.org/drawingml/2006/main" xmlns:pic="http://schemas.openxmlformats.org/drawingml/2006/picture">
            <wp:extent cx="5486400" cy="2449286"/>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2449286"/>
                    </a:xfrm>
                    <a:prstGeom prst="rect"/>
                  </pic:spPr>
                </pic:pic>
              </a:graphicData>
            </a:graphic>
          </wp:inline>
        </w:drawing>
      </w:r>
    </w:p>
    <w:p>
      <w:r>
        <w:rPr>
          <w:rFonts w:ascii="Figtree" w:hAnsi="Figtree"/>
          <w:b/>
          <w:i w:val="0"/>
          <w:sz w:val="22"/>
        </w:rPr>
        <w:t>Application Layer:</w:t>
      </w:r>
      <w:r>
        <w:rPr>
          <w:rFonts w:ascii="Figtree" w:hAnsi="Figtree"/>
          <w:b w:val="0"/>
          <w:i w:val="0"/>
          <w:sz w:val="22"/>
        </w:rPr>
        <w:t xml:space="preserve"> The Asset Console provides a web-based operational interface for deposit and trade finance management, compliance monitoring, identity verification, and settlement tracking. It is the primary interface for Emirates NBD operators but not the only access path — all operations are available through the API.</w:t>
      </w:r>
    </w:p>
    <w:p>
      <w:r>
        <w:rPr>
          <w:rFonts w:ascii="Figtree" w:hAnsi="Figtree"/>
          <w:b/>
          <w:i w:val="0"/>
          <w:sz w:val="22"/>
        </w:rPr>
        <w:t>API Layer:</w:t>
      </w:r>
      <w:r>
        <w:rPr>
          <w:rFonts w:ascii="Figtree" w:hAnsi="Figtree"/>
          <w:b w:val="0"/>
          <w:i w:val="0"/>
          <w:sz w:val="22"/>
        </w:rPr>
        <w:t xml:space="preserve"> DAPI serves two endpoints with different authentication models. `/api/v2` (API key authentication) serves SDK, CLI, and backend integrations. `/api/rpc` (session/cookie authentication) serves the web UI. This separation enforces a hardened security boundary where API keys are explicitly blocked on the RPC endpoint.</w:t>
      </w:r>
    </w:p>
    <w:p>
      <w:r>
        <w:rPr>
          <w:rFonts w:ascii="Figtree" w:hAnsi="Figtree"/>
          <w:b/>
          <w:i w:val="0"/>
          <w:sz w:val="22"/>
        </w:rPr>
        <w:t>Middleware Layer:</w:t>
      </w:r>
      <w:r>
        <w:rPr>
          <w:rFonts w:ascii="Figtree" w:hAnsi="Figtree"/>
          <w:b w:val="0"/>
          <w:i w:val="0"/>
          <w:sz w:val="22"/>
        </w:rPr>
        <w:t xml:space="preserve"> Seven specialized services handle workflow orchestration (Execution Engine), key management (Key Guardian), transaction signing, smart contract interaction, blockchain event indexing, multi-chain connectivity, and external data feeds. The Execution Engine provides durable workflow guarantees — critical for multi-step trade finance operations that must survive system restarts.</w:t>
      </w:r>
    </w:p>
    <w:p>
      <w:r>
        <w:rPr>
          <w:rFonts w:ascii="Figtree" w:hAnsi="Figtree"/>
          <w:b/>
          <w:i w:val="0"/>
          <w:sz w:val="22"/>
        </w:rPr>
        <w:t>Smart Contract Layer:</w:t>
      </w:r>
      <w:r>
        <w:rPr>
          <w:rFonts w:ascii="Figtree" w:hAnsi="Figtree"/>
          <w:b w:val="0"/>
          <w:i w:val="0"/>
          <w:sz w:val="22"/>
        </w:rPr>
        <w:t xml:space="preserve"> All on-chain logic is built on the SMART Protocol (ERC-3643), which enforces modular compliance, identity verification, and extension management. DALPAsset provides runtime configurability — features and compliance modules can be attached, detached, and reconfigured after deployment without redeploying the token contract.</w:t>
      </w:r>
    </w:p>
    <w:p>
      <w:pPr>
        <w:pStyle w:val="H3"/>
        <w:numPr>
          <w:ilvl w:val="2"/>
          <w:numId w:val="1"/>
        </w:numPr>
      </w:pPr>
      <w:r>
        <w:t>Data Architecture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64"/>
        <w:gridCol w:w="1933"/>
        <w:gridCol w:w="4312"/>
        <w:gridCol w:w="156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Data Domain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Storage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Retention</w:t>
            </w:r>
          </w:p>
        </w:tc>
      </w:tr>
      <w:tr>
        <w:trPr>
          <w:trHeight w:val="425" w:hRule="atLeast"/>
        </w:trPr>
        <w:tc>
          <w:tcPr>
            <w:tcW w:type="dxa" w:w="2436"/>
            <w:vAlign w:val="center"/>
          </w:tcPr>
          <w:p>
            <w:pPr>
              <w:spacing w:line="276" w:lineRule="auto" w:before="0" w:after="0"/>
            </w:pPr>
            <w:r/>
            <w:r>
              <w:rPr>
                <w:rFonts w:ascii="Figtree" w:hAnsi="Figtree"/>
                <w:b w:val="0"/>
                <w:i w:val="0"/>
                <w:sz w:val="20"/>
              </w:rPr>
              <w:t>On-chain state</w:t>
            </w:r>
          </w:p>
        </w:tc>
        <w:tc>
          <w:tcPr>
            <w:tcW w:type="dxa" w:w="2436"/>
            <w:vAlign w:val="center"/>
          </w:tcPr>
          <w:p>
            <w:pPr>
              <w:spacing w:line="276" w:lineRule="auto" w:before="0" w:after="0"/>
            </w:pPr>
            <w:r/>
            <w:r>
              <w:rPr>
                <w:rFonts w:ascii="Figtree" w:hAnsi="Figtree"/>
                <w:b w:val="0"/>
                <w:i w:val="0"/>
                <w:sz w:val="20"/>
              </w:rPr>
              <w:t>Blockchain (Besu)</w:t>
            </w:r>
          </w:p>
        </w:tc>
        <w:tc>
          <w:tcPr>
            <w:tcW w:type="dxa" w:w="2436"/>
            <w:vAlign w:val="center"/>
          </w:tcPr>
          <w:p>
            <w:pPr>
              <w:spacing w:line="276" w:lineRule="auto" w:before="0" w:after="0"/>
            </w:pPr>
            <w:r/>
            <w:r>
              <w:rPr>
                <w:rFonts w:ascii="Figtree" w:hAnsi="Figtree"/>
                <w:b w:val="0"/>
                <w:i w:val="0"/>
                <w:sz w:val="20"/>
              </w:rPr>
              <w:t>Token balances, compliance state, identity claims</w:t>
            </w:r>
          </w:p>
        </w:tc>
        <w:tc>
          <w:tcPr>
            <w:tcW w:type="dxa" w:w="2436"/>
            <w:vAlign w:val="center"/>
          </w:tcPr>
          <w:p>
            <w:pPr>
              <w:spacing w:line="276" w:lineRule="auto" w:before="0" w:after="0"/>
            </w:pPr>
            <w:r/>
            <w:r>
              <w:rPr>
                <w:rFonts w:ascii="Figtree" w:hAnsi="Figtree"/>
                <w:b w:val="0"/>
                <w:i w:val="0"/>
                <w:sz w:val="20"/>
              </w:rPr>
              <w:t>Permanent (immutable)</w:t>
            </w:r>
          </w:p>
        </w:tc>
      </w:tr>
      <w:tr>
        <w:trPr>
          <w:trHeight w:val="425" w:hRule="atLeast"/>
        </w:trPr>
        <w:tc>
          <w:tcPr>
            <w:tcW w:type="dxa" w:w="2436"/>
            <w:vAlign w:val="center"/>
          </w:tcPr>
          <w:p>
            <w:pPr>
              <w:spacing w:line="276" w:lineRule="auto" w:before="0" w:after="0"/>
            </w:pPr>
            <w:r/>
            <w:r>
              <w:rPr>
                <w:rFonts w:ascii="Figtree" w:hAnsi="Figtree"/>
                <w:b w:val="0"/>
                <w:i w:val="0"/>
                <w:sz w:val="20"/>
              </w:rPr>
              <w:t>Application state</w:t>
            </w:r>
          </w:p>
        </w:tc>
        <w:tc>
          <w:tcPr>
            <w:tcW w:type="dxa" w:w="2436"/>
            <w:vAlign w:val="center"/>
          </w:tcPr>
          <w:p>
            <w:pPr>
              <w:spacing w:line="276" w:lineRule="auto" w:before="0" w:after="0"/>
            </w:pPr>
            <w:r/>
            <w:r>
              <w:rPr>
                <w:rFonts w:ascii="Figtree" w:hAnsi="Figtree"/>
                <w:b w:val="0"/>
                <w:i w:val="0"/>
                <w:sz w:val="20"/>
              </w:rPr>
              <w:t>PostgreSQL</w:t>
            </w:r>
          </w:p>
        </w:tc>
        <w:tc>
          <w:tcPr>
            <w:tcW w:type="dxa" w:w="2436"/>
            <w:vAlign w:val="center"/>
          </w:tcPr>
          <w:p>
            <w:pPr>
              <w:spacing w:line="276" w:lineRule="auto" w:before="0" w:after="0"/>
            </w:pPr>
            <w:r/>
            <w:r>
              <w:rPr>
                <w:rFonts w:ascii="Figtree" w:hAnsi="Figtree"/>
                <w:b w:val="0"/>
                <w:i w:val="0"/>
                <w:sz w:val="20"/>
              </w:rPr>
              <w:t>User accounts, sessions, configurations, workflow state</w:t>
            </w:r>
          </w:p>
        </w:tc>
        <w:tc>
          <w:tcPr>
            <w:tcW w:type="dxa" w:w="2436"/>
            <w:vAlign w:val="center"/>
          </w:tcPr>
          <w:p>
            <w:pPr>
              <w:spacing w:line="276" w:lineRule="auto" w:before="0" w:after="0"/>
            </w:pPr>
            <w:r/>
            <w:r>
              <w:rPr>
                <w:rFonts w:ascii="Figtree" w:hAnsi="Figtree"/>
                <w:b w:val="0"/>
                <w:i w:val="0"/>
                <w:sz w:val="20"/>
              </w:rPr>
              <w:t>Configurable</w:t>
            </w:r>
          </w:p>
        </w:tc>
      </w:tr>
      <w:tr>
        <w:trPr>
          <w:trHeight w:val="425" w:hRule="atLeast"/>
        </w:trPr>
        <w:tc>
          <w:tcPr>
            <w:tcW w:type="dxa" w:w="2436"/>
            <w:vAlign w:val="center"/>
          </w:tcPr>
          <w:p>
            <w:pPr>
              <w:spacing w:line="276" w:lineRule="auto" w:before="0" w:after="0"/>
            </w:pPr>
            <w:r/>
            <w:r>
              <w:rPr>
                <w:rFonts w:ascii="Figtree" w:hAnsi="Figtree"/>
                <w:b w:val="0"/>
                <w:i w:val="0"/>
                <w:sz w:val="20"/>
              </w:rPr>
              <w:t>Indexed state</w:t>
            </w:r>
          </w:p>
        </w:tc>
        <w:tc>
          <w:tcPr>
            <w:tcW w:type="dxa" w:w="2436"/>
            <w:vAlign w:val="center"/>
          </w:tcPr>
          <w:p>
            <w:pPr>
              <w:spacing w:line="276" w:lineRule="auto" w:before="0" w:after="0"/>
            </w:pPr>
            <w:r/>
            <w:r>
              <w:rPr>
                <w:rFonts w:ascii="Figtree" w:hAnsi="Figtree"/>
                <w:b w:val="0"/>
                <w:i w:val="0"/>
                <w:sz w:val="20"/>
              </w:rPr>
              <w:t>Chain Indexer → PostgreSQL</w:t>
            </w:r>
          </w:p>
        </w:tc>
        <w:tc>
          <w:tcPr>
            <w:tcW w:type="dxa" w:w="2436"/>
            <w:vAlign w:val="center"/>
          </w:tcPr>
          <w:p>
            <w:pPr>
              <w:spacing w:line="276" w:lineRule="auto" w:before="0" w:after="0"/>
            </w:pPr>
            <w:r/>
            <w:r>
              <w:rPr>
                <w:rFonts w:ascii="Figtree" w:hAnsi="Figtree"/>
                <w:b w:val="0"/>
                <w:i w:val="0"/>
                <w:sz w:val="20"/>
              </w:rPr>
              <w:t>Queryable event history, analytics, reporting</w:t>
            </w:r>
          </w:p>
        </w:tc>
        <w:tc>
          <w:tcPr>
            <w:tcW w:type="dxa" w:w="2436"/>
            <w:vAlign w:val="center"/>
          </w:tcPr>
          <w:p>
            <w:pPr>
              <w:spacing w:line="276" w:lineRule="auto" w:before="0" w:after="0"/>
            </w:pPr>
            <w:r/>
            <w:r>
              <w:rPr>
                <w:rFonts w:ascii="Figtree" w:hAnsi="Figtree"/>
                <w:b w:val="0"/>
                <w:i w:val="0"/>
                <w:sz w:val="20"/>
              </w:rPr>
              <w:t>Configurable</w:t>
            </w:r>
          </w:p>
        </w:tc>
      </w:tr>
      <w:tr>
        <w:trPr>
          <w:trHeight w:val="425" w:hRule="atLeast"/>
        </w:trPr>
        <w:tc>
          <w:tcPr>
            <w:tcW w:type="dxa" w:w="2436"/>
            <w:vAlign w:val="center"/>
          </w:tcPr>
          <w:p>
            <w:pPr>
              <w:spacing w:line="276" w:lineRule="auto" w:before="0" w:after="0"/>
            </w:pPr>
            <w:r/>
            <w:r>
              <w:rPr>
                <w:rFonts w:ascii="Figtree" w:hAnsi="Figtree"/>
                <w:b w:val="0"/>
                <w:i w:val="0"/>
                <w:sz w:val="20"/>
              </w:rPr>
              <w:t>Audit evidence</w:t>
            </w:r>
          </w:p>
        </w:tc>
        <w:tc>
          <w:tcPr>
            <w:tcW w:type="dxa" w:w="2436"/>
            <w:vAlign w:val="center"/>
          </w:tcPr>
          <w:p>
            <w:pPr>
              <w:spacing w:line="276" w:lineRule="auto" w:before="0" w:after="0"/>
            </w:pPr>
            <w:r/>
            <w:r>
              <w:rPr>
                <w:rFonts w:ascii="Figtree" w:hAnsi="Figtree"/>
                <w:b w:val="0"/>
                <w:i w:val="0"/>
                <w:sz w:val="20"/>
              </w:rPr>
              <w:t>Blockchain + PostgreSQL</w:t>
            </w:r>
          </w:p>
        </w:tc>
        <w:tc>
          <w:tcPr>
            <w:tcW w:type="dxa" w:w="2436"/>
            <w:vAlign w:val="center"/>
          </w:tcPr>
          <w:p>
            <w:pPr>
              <w:spacing w:line="276" w:lineRule="auto" w:before="0" w:after="0"/>
            </w:pPr>
            <w:r/>
            <w:r>
              <w:rPr>
                <w:rFonts w:ascii="Figtree" w:hAnsi="Figtree"/>
                <w:b w:val="0"/>
                <w:i w:val="0"/>
                <w:sz w:val="20"/>
              </w:rPr>
              <w:t>Transaction records, compliance decisions, approval chains</w:t>
            </w:r>
          </w:p>
        </w:tc>
        <w:tc>
          <w:tcPr>
            <w:tcW w:type="dxa" w:w="2436"/>
            <w:vAlign w:val="center"/>
          </w:tcPr>
          <w:p>
            <w:pPr>
              <w:spacing w:line="276" w:lineRule="auto" w:before="0" w:after="0"/>
            </w:pPr>
            <w:r/>
            <w:r>
              <w:rPr>
                <w:rFonts w:ascii="Figtree" w:hAnsi="Figtree"/>
                <w:b w:val="0"/>
                <w:i w:val="0"/>
                <w:sz w:val="20"/>
              </w:rPr>
              <w:t>Regulatory minimum</w:t>
            </w:r>
          </w:p>
        </w:tc>
      </w:tr>
      <w:tr>
        <w:trPr>
          <w:trHeight w:val="425" w:hRule="atLeast"/>
        </w:trPr>
        <w:tc>
          <w:tcPr>
            <w:tcW w:type="dxa" w:w="2436"/>
            <w:vAlign w:val="center"/>
          </w:tcPr>
          <w:p>
            <w:pPr>
              <w:spacing w:line="276" w:lineRule="auto" w:before="0" w:after="0"/>
            </w:pPr>
            <w:r/>
            <w:r>
              <w:rPr>
                <w:rFonts w:ascii="Figtree" w:hAnsi="Figtree"/>
                <w:b w:val="0"/>
                <w:i w:val="0"/>
                <w:sz w:val="20"/>
              </w:rPr>
              <w:t>Cache/session</w:t>
            </w:r>
          </w:p>
        </w:tc>
        <w:tc>
          <w:tcPr>
            <w:tcW w:type="dxa" w:w="2436"/>
            <w:vAlign w:val="center"/>
          </w:tcPr>
          <w:p>
            <w:pPr>
              <w:spacing w:line="276" w:lineRule="auto" w:before="0" w:after="0"/>
            </w:pPr>
            <w:r/>
            <w:r>
              <w:rPr>
                <w:rFonts w:ascii="Figtree" w:hAnsi="Figtree"/>
                <w:b w:val="0"/>
                <w:i w:val="0"/>
                <w:sz w:val="20"/>
              </w:rPr>
              <w:t>Redis</w:t>
            </w:r>
          </w:p>
        </w:tc>
        <w:tc>
          <w:tcPr>
            <w:tcW w:type="dxa" w:w="2436"/>
            <w:vAlign w:val="center"/>
          </w:tcPr>
          <w:p>
            <w:pPr>
              <w:spacing w:line="276" w:lineRule="auto" w:before="0" w:after="0"/>
            </w:pPr>
            <w:r/>
            <w:r>
              <w:rPr>
                <w:rFonts w:ascii="Figtree" w:hAnsi="Figtree"/>
                <w:b w:val="0"/>
                <w:i w:val="0"/>
                <w:sz w:val="20"/>
              </w:rPr>
              <w:t>Session tokens, temporary computation</w:t>
            </w:r>
          </w:p>
        </w:tc>
        <w:tc>
          <w:tcPr>
            <w:tcW w:type="dxa" w:w="2436"/>
            <w:vAlign w:val="center"/>
          </w:tcPr>
          <w:p>
            <w:pPr>
              <w:spacing w:line="276" w:lineRule="auto" w:before="0" w:after="0"/>
            </w:pPr>
            <w:r/>
            <w:r>
              <w:rPr>
                <w:rFonts w:ascii="Figtree" w:hAnsi="Figtree"/>
                <w:b w:val="0"/>
                <w:i w:val="0"/>
                <w:sz w:val="20"/>
              </w:rPr>
              <w:t>Ephemeral</w:t>
            </w:r>
          </w:p>
        </w:tc>
      </w:tr>
      <w:tr>
        <w:trPr>
          <w:trHeight w:val="425" w:hRule="atLeast"/>
        </w:trPr>
        <w:tc>
          <w:tcPr>
            <w:tcW w:type="dxa" w:w="2436"/>
            <w:vAlign w:val="center"/>
          </w:tcPr>
          <w:p>
            <w:pPr>
              <w:spacing w:line="276" w:lineRule="auto" w:before="0" w:after="0"/>
            </w:pPr>
            <w:r/>
            <w:r>
              <w:rPr>
                <w:rFonts w:ascii="Figtree" w:hAnsi="Figtree"/>
                <w:b w:val="0"/>
                <w:i w:val="0"/>
                <w:sz w:val="20"/>
              </w:rPr>
              <w:t>Documents</w:t>
            </w:r>
          </w:p>
        </w:tc>
        <w:tc>
          <w:tcPr>
            <w:tcW w:type="dxa" w:w="2436"/>
            <w:vAlign w:val="center"/>
          </w:tcPr>
          <w:p>
            <w:pPr>
              <w:spacing w:line="276" w:lineRule="auto" w:before="0" w:after="0"/>
            </w:pPr>
            <w:r/>
            <w:r>
              <w:rPr>
                <w:rFonts w:ascii="Figtree" w:hAnsi="Figtree"/>
                <w:b w:val="0"/>
                <w:i w:val="0"/>
                <w:sz w:val="20"/>
              </w:rPr>
              <w:t>Object storage</w:t>
            </w:r>
          </w:p>
        </w:tc>
        <w:tc>
          <w:tcPr>
            <w:tcW w:type="dxa" w:w="2436"/>
            <w:vAlign w:val="center"/>
          </w:tcPr>
          <w:p>
            <w:pPr>
              <w:spacing w:line="276" w:lineRule="auto" w:before="0" w:after="0"/>
            </w:pPr>
            <w:r/>
            <w:r>
              <w:rPr>
                <w:rFonts w:ascii="Figtree" w:hAnsi="Figtree"/>
                <w:b w:val="0"/>
                <w:i w:val="0"/>
                <w:sz w:val="20"/>
              </w:rPr>
              <w:t>Trade finance documents, evidence attachments</w:t>
            </w:r>
          </w:p>
        </w:tc>
        <w:tc>
          <w:tcPr>
            <w:tcW w:type="dxa" w:w="2436"/>
            <w:vAlign w:val="center"/>
          </w:tcPr>
          <w:p>
            <w:pPr>
              <w:spacing w:line="276" w:lineRule="auto" w:before="0" w:after="0"/>
            </w:pPr>
            <w:r/>
            <w:r>
              <w:rPr>
                <w:rFonts w:ascii="Figtree" w:hAnsi="Figtree"/>
                <w:b w:val="0"/>
                <w:i w:val="0"/>
                <w:sz w:val="20"/>
              </w:rPr>
              <w:t>Configurable</w:t>
            </w:r>
          </w:p>
        </w:tc>
      </w:tr>
    </w:tbl>
    <w:p>
      <w:pPr>
        <w:spacing w:before="0" w:after="0" w:line="120" w:lineRule="exact"/>
      </w:pPr>
    </w:p>
    <w:p>
      <w:pPr>
        <w:pStyle w:val="H3"/>
        <w:numPr>
          <w:ilvl w:val="2"/>
          <w:numId w:val="1"/>
        </w:numPr>
      </w:pPr>
      <w:r>
        <w:t>Network and Chain Topology</w:t>
      </w:r>
    </w:p>
    <w:p>
      <w:r>
        <w:rPr>
          <w:rFonts w:ascii="Figtree" w:hAnsi="Figtree"/>
          <w:b/>
          <w:i w:val="0"/>
          <w:sz w:val="22"/>
        </w:rPr>
        <w:t>Recommended configuration for Emirates NBD:</w:t>
      </w:r>
      <w:r>
        <w:rPr>
          <w:rFonts w:ascii="Figtree" w:hAnsi="Figtree"/>
          <w:b w:val="0"/>
          <w:i w:val="0"/>
          <w:sz w:val="22"/>
        </w:rPr>
        <w:t xml:space="preserve"> Permissioned Hyperledger Besu network with IBFT 2.0 consensus.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27"/>
        <w:gridCol w:w="654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Aspect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Recommendation</w:t>
            </w:r>
          </w:p>
        </w:tc>
      </w:tr>
      <w:tr>
        <w:trPr>
          <w:trHeight w:val="425" w:hRule="atLeast"/>
        </w:trPr>
        <w:tc>
          <w:tcPr>
            <w:tcW w:type="dxa" w:w="4873"/>
            <w:vAlign w:val="center"/>
          </w:tcPr>
          <w:p>
            <w:pPr>
              <w:spacing w:line="276" w:lineRule="auto" w:before="0" w:after="0"/>
            </w:pPr>
            <w:r/>
            <w:r>
              <w:rPr>
                <w:rFonts w:ascii="Figtree" w:hAnsi="Figtree"/>
                <w:b w:val="0"/>
                <w:i w:val="0"/>
                <w:sz w:val="20"/>
              </w:rPr>
              <w:t>Consensus</w:t>
            </w:r>
          </w:p>
        </w:tc>
        <w:tc>
          <w:tcPr>
            <w:tcW w:type="dxa" w:w="4873"/>
            <w:vAlign w:val="center"/>
          </w:tcPr>
          <w:p>
            <w:pPr>
              <w:spacing w:line="276" w:lineRule="auto" w:before="0" w:after="0"/>
            </w:pPr>
            <w:r/>
            <w:r>
              <w:rPr>
                <w:rFonts w:ascii="Figtree" w:hAnsi="Figtree"/>
                <w:b w:val="0"/>
                <w:i w:val="0"/>
                <w:sz w:val="20"/>
              </w:rPr>
              <w:t>IBFT 2.0 (Istanbul Byzantine Fault Tolerant)</w:t>
            </w:r>
          </w:p>
        </w:tc>
      </w:tr>
      <w:tr>
        <w:trPr>
          <w:trHeight w:val="425" w:hRule="atLeast"/>
        </w:trPr>
        <w:tc>
          <w:tcPr>
            <w:tcW w:type="dxa" w:w="4873"/>
            <w:vAlign w:val="center"/>
          </w:tcPr>
          <w:p>
            <w:pPr>
              <w:spacing w:line="276" w:lineRule="auto" w:before="0" w:after="0"/>
            </w:pPr>
            <w:r/>
            <w:r>
              <w:rPr>
                <w:rFonts w:ascii="Figtree" w:hAnsi="Figtree"/>
                <w:b w:val="0"/>
                <w:i w:val="0"/>
                <w:sz w:val="20"/>
              </w:rPr>
              <w:t>Validator nodes</w:t>
            </w:r>
          </w:p>
        </w:tc>
        <w:tc>
          <w:tcPr>
            <w:tcW w:type="dxa" w:w="4873"/>
            <w:vAlign w:val="center"/>
          </w:tcPr>
          <w:p>
            <w:pPr>
              <w:spacing w:line="276" w:lineRule="auto" w:before="0" w:after="0"/>
            </w:pPr>
            <w:r/>
            <w:r>
              <w:rPr>
                <w:rFonts w:ascii="Figtree" w:hAnsi="Figtree"/>
                <w:b w:val="0"/>
                <w:i w:val="0"/>
                <w:sz w:val="20"/>
              </w:rPr>
              <w:t>4 nodes (tolerates 1 Byzantine fault)</w:t>
            </w:r>
          </w:p>
        </w:tc>
      </w:tr>
      <w:tr>
        <w:trPr>
          <w:trHeight w:val="425" w:hRule="atLeast"/>
        </w:trPr>
        <w:tc>
          <w:tcPr>
            <w:tcW w:type="dxa" w:w="4873"/>
            <w:vAlign w:val="center"/>
          </w:tcPr>
          <w:p>
            <w:pPr>
              <w:spacing w:line="276" w:lineRule="auto" w:before="0" w:after="0"/>
            </w:pPr>
            <w:r/>
            <w:r>
              <w:rPr>
                <w:rFonts w:ascii="Figtree" w:hAnsi="Figtree"/>
                <w:b w:val="0"/>
                <w:i w:val="0"/>
                <w:sz w:val="20"/>
              </w:rPr>
              <w:t>Block time</w:t>
            </w:r>
          </w:p>
        </w:tc>
        <w:tc>
          <w:tcPr>
            <w:tcW w:type="dxa" w:w="4873"/>
            <w:vAlign w:val="center"/>
          </w:tcPr>
          <w:p>
            <w:pPr>
              <w:spacing w:line="276" w:lineRule="auto" w:before="0" w:after="0"/>
            </w:pPr>
            <w:r/>
            <w:r>
              <w:rPr>
                <w:rFonts w:ascii="Figtree" w:hAnsi="Figtree"/>
                <w:b w:val="0"/>
                <w:i w:val="0"/>
                <w:sz w:val="20"/>
              </w:rPr>
              <w:t>2 seconds</w:t>
            </w:r>
          </w:p>
        </w:tc>
      </w:tr>
      <w:tr>
        <w:trPr>
          <w:trHeight w:val="425" w:hRule="atLeast"/>
        </w:trPr>
        <w:tc>
          <w:tcPr>
            <w:tcW w:type="dxa" w:w="4873"/>
            <w:vAlign w:val="center"/>
          </w:tcPr>
          <w:p>
            <w:pPr>
              <w:spacing w:line="276" w:lineRule="auto" w:before="0" w:after="0"/>
            </w:pPr>
            <w:r/>
            <w:r>
              <w:rPr>
                <w:rFonts w:ascii="Figtree" w:hAnsi="Figtree"/>
                <w:b w:val="0"/>
                <w:i w:val="0"/>
                <w:sz w:val="20"/>
              </w:rPr>
              <w:t>Network visibility</w:t>
            </w:r>
          </w:p>
        </w:tc>
        <w:tc>
          <w:tcPr>
            <w:tcW w:type="dxa" w:w="4873"/>
            <w:vAlign w:val="center"/>
          </w:tcPr>
          <w:p>
            <w:pPr>
              <w:spacing w:line="276" w:lineRule="auto" w:before="0" w:after="0"/>
            </w:pPr>
            <w:r/>
            <w:r>
              <w:rPr>
                <w:rFonts w:ascii="Figtree" w:hAnsi="Figtree"/>
                <w:b w:val="0"/>
                <w:i w:val="0"/>
                <w:sz w:val="20"/>
              </w:rPr>
              <w:t>Permissioned (Emirates NBD-controlled)</w:t>
            </w:r>
          </w:p>
        </w:tc>
      </w:tr>
      <w:tr>
        <w:trPr>
          <w:trHeight w:val="425" w:hRule="atLeast"/>
        </w:trPr>
        <w:tc>
          <w:tcPr>
            <w:tcW w:type="dxa" w:w="4873"/>
            <w:vAlign w:val="center"/>
          </w:tcPr>
          <w:p>
            <w:pPr>
              <w:spacing w:line="276" w:lineRule="auto" w:before="0" w:after="0"/>
            </w:pPr>
            <w:r/>
            <w:r>
              <w:rPr>
                <w:rFonts w:ascii="Figtree" w:hAnsi="Figtree"/>
                <w:b w:val="0"/>
                <w:i w:val="0"/>
                <w:sz w:val="20"/>
              </w:rPr>
              <w:t>Transaction privacy</w:t>
            </w:r>
          </w:p>
        </w:tc>
        <w:tc>
          <w:tcPr>
            <w:tcW w:type="dxa" w:w="4873"/>
            <w:vAlign w:val="center"/>
          </w:tcPr>
          <w:p>
            <w:pPr>
              <w:spacing w:line="276" w:lineRule="auto" w:before="0" w:after="0"/>
            </w:pPr>
            <w:r/>
            <w:r>
              <w:rPr>
                <w:rFonts w:ascii="Figtree" w:hAnsi="Figtree"/>
                <w:b w:val="0"/>
                <w:i w:val="0"/>
                <w:sz w:val="20"/>
              </w:rPr>
              <w:t>All participants share ledger visibility</w:t>
            </w:r>
          </w:p>
        </w:tc>
      </w:tr>
      <w:tr>
        <w:trPr>
          <w:trHeight w:val="425" w:hRule="atLeast"/>
        </w:trPr>
        <w:tc>
          <w:tcPr>
            <w:tcW w:type="dxa" w:w="4873"/>
            <w:vAlign w:val="center"/>
          </w:tcPr>
          <w:p>
            <w:pPr>
              <w:spacing w:line="276" w:lineRule="auto" w:before="0" w:after="0"/>
            </w:pPr>
            <w:r/>
            <w:r>
              <w:rPr>
                <w:rFonts w:ascii="Figtree" w:hAnsi="Figtree"/>
                <w:b w:val="0"/>
                <w:i w:val="0"/>
                <w:sz w:val="20"/>
              </w:rPr>
              <w:t>Rationale</w:t>
            </w:r>
          </w:p>
        </w:tc>
        <w:tc>
          <w:tcPr>
            <w:tcW w:type="dxa" w:w="4873"/>
            <w:vAlign w:val="center"/>
          </w:tcPr>
          <w:p>
            <w:pPr>
              <w:spacing w:line="276" w:lineRule="auto" w:before="0" w:after="0"/>
            </w:pPr>
            <w:r/>
            <w:r>
              <w:rPr>
                <w:rFonts w:ascii="Figtree" w:hAnsi="Figtree"/>
                <w:b w:val="0"/>
                <w:i w:val="0"/>
                <w:sz w:val="20"/>
              </w:rPr>
              <w:t>Deterministic finality, no mining, enterprise-grade performance</w:t>
            </w:r>
          </w:p>
        </w:tc>
      </w:tr>
    </w:tbl>
    <w:p>
      <w:pPr>
        <w:spacing w:before="0" w:after="0" w:line="120" w:lineRule="exact"/>
      </w:pPr>
    </w:p>
    <w:p>
      <w:r>
        <w:rPr>
          <w:rFonts w:ascii="Figtree" w:hAnsi="Figtree"/>
          <w:b w:val="0"/>
          <w:i w:val="0"/>
          <w:sz w:val="22"/>
        </w:rPr>
        <w:t>IBFT 2.0 was chosen over probabilistic consensus mechanisms because deterministic finality eliminates confirmation-depth waiting — critical for settlement use cases where Emirates NBD needs to know with certainty that a settlement is final, not probably final.</w:t>
      </w:r>
    </w:p>
    <w:p>
      <w:pPr>
        <w:pStyle w:val="H3"/>
        <w:numPr>
          <w:ilvl w:val="2"/>
          <w:numId w:val="1"/>
        </w:numPr>
      </w:pPr>
      <w:r>
        <w:t>Multi-Tenancy and Environment Segregation</w:t>
      </w:r>
    </w:p>
    <w:p>
      <w:r>
        <w:rPr>
          <w:rFonts w:ascii="Figtree" w:hAnsi="Figtree"/>
          <w:b w:val="0"/>
          <w:i w:val="0"/>
          <w:sz w:val="22"/>
        </w:rPr>
        <w:t>DALP supports Emirates NBD's requirement for segregated environments: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69"/>
        <w:gridCol w:w="4338"/>
        <w:gridCol w:w="256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Data Isolation</w:t>
            </w:r>
          </w:p>
        </w:tc>
      </w:tr>
      <w:tr>
        <w:trPr>
          <w:trHeight w:val="425" w:hRule="atLeast"/>
        </w:trPr>
        <w:tc>
          <w:tcPr>
            <w:tcW w:type="dxa" w:w="3249"/>
            <w:vAlign w:val="center"/>
          </w:tcPr>
          <w:p>
            <w:pPr>
              <w:spacing w:line="276" w:lineRule="auto" w:before="0" w:after="0"/>
            </w:pPr>
            <w:r/>
            <w:r>
              <w:rPr>
                <w:rFonts w:ascii="Figtree" w:hAnsi="Figtree"/>
                <w:b w:val="0"/>
                <w:i w:val="0"/>
                <w:sz w:val="20"/>
              </w:rPr>
              <w:t>Development</w:t>
            </w:r>
          </w:p>
        </w:tc>
        <w:tc>
          <w:tcPr>
            <w:tcW w:type="dxa" w:w="3249"/>
            <w:vAlign w:val="center"/>
          </w:tcPr>
          <w:p>
            <w:pPr>
              <w:spacing w:line="276" w:lineRule="auto" w:before="0" w:after="0"/>
            </w:pPr>
            <w:r/>
            <w:r>
              <w:rPr>
                <w:rFonts w:ascii="Figtree" w:hAnsi="Figtree"/>
                <w:b w:val="0"/>
                <w:i w:val="0"/>
                <w:sz w:val="20"/>
              </w:rPr>
              <w:t>Feature development, API integration testing</w:t>
            </w:r>
          </w:p>
        </w:tc>
        <w:tc>
          <w:tcPr>
            <w:tcW w:type="dxa" w:w="3249"/>
            <w:vAlign w:val="center"/>
          </w:tcPr>
          <w:p>
            <w:pPr>
              <w:spacing w:line="276" w:lineRule="auto" w:before="0" w:after="0"/>
            </w:pPr>
            <w:r/>
            <w:r>
              <w:rPr>
                <w:rFonts w:ascii="Figtree" w:hAnsi="Figtree"/>
                <w:b w:val="0"/>
                <w:i w:val="0"/>
                <w:sz w:val="20"/>
              </w:rPr>
              <w:t>Fully isolated</w:t>
            </w:r>
          </w:p>
        </w:tc>
      </w:tr>
      <w:tr>
        <w:trPr>
          <w:trHeight w:val="425" w:hRule="atLeast"/>
        </w:trPr>
        <w:tc>
          <w:tcPr>
            <w:tcW w:type="dxa" w:w="3249"/>
            <w:vAlign w:val="center"/>
          </w:tcPr>
          <w:p>
            <w:pPr>
              <w:spacing w:line="276" w:lineRule="auto" w:before="0" w:after="0"/>
            </w:pPr>
            <w:r/>
            <w:r>
              <w:rPr>
                <w:rFonts w:ascii="Figtree" w:hAnsi="Figtree"/>
                <w:b w:val="0"/>
                <w:i w:val="0"/>
                <w:sz w:val="20"/>
              </w:rPr>
              <w:t>UAT/Staging</w:t>
            </w:r>
          </w:p>
        </w:tc>
        <w:tc>
          <w:tcPr>
            <w:tcW w:type="dxa" w:w="3249"/>
            <w:vAlign w:val="center"/>
          </w:tcPr>
          <w:p>
            <w:pPr>
              <w:spacing w:line="276" w:lineRule="auto" w:before="0" w:after="0"/>
            </w:pPr>
            <w:r/>
            <w:r>
              <w:rPr>
                <w:rFonts w:ascii="Figtree" w:hAnsi="Figtree"/>
                <w:b w:val="0"/>
                <w:i w:val="0"/>
                <w:sz w:val="20"/>
              </w:rPr>
              <w:t>User acceptance testing, business validation</w:t>
            </w:r>
          </w:p>
        </w:tc>
        <w:tc>
          <w:tcPr>
            <w:tcW w:type="dxa" w:w="3249"/>
            <w:vAlign w:val="center"/>
          </w:tcPr>
          <w:p>
            <w:pPr>
              <w:spacing w:line="276" w:lineRule="auto" w:before="0" w:after="0"/>
            </w:pPr>
            <w:r/>
            <w:r>
              <w:rPr>
                <w:rFonts w:ascii="Figtree" w:hAnsi="Figtree"/>
                <w:b w:val="0"/>
                <w:i w:val="0"/>
                <w:sz w:val="20"/>
              </w:rPr>
              <w:t>Fully isolated</w:t>
            </w:r>
          </w:p>
        </w:tc>
      </w:tr>
      <w:tr>
        <w:trPr>
          <w:trHeight w:val="425" w:hRule="atLeast"/>
        </w:trPr>
        <w:tc>
          <w:tcPr>
            <w:tcW w:type="dxa" w:w="3249"/>
            <w:vAlign w:val="center"/>
          </w:tcPr>
          <w:p>
            <w:pPr>
              <w:spacing w:line="276" w:lineRule="auto" w:before="0" w:after="0"/>
            </w:pPr>
            <w:r/>
            <w:r>
              <w:rPr>
                <w:rFonts w:ascii="Figtree" w:hAnsi="Figtree"/>
                <w:b w:val="0"/>
                <w:i w:val="0"/>
                <w:sz w:val="20"/>
              </w:rPr>
              <w:t>DR (Disaster Recovery)</w:t>
            </w:r>
          </w:p>
        </w:tc>
        <w:tc>
          <w:tcPr>
            <w:tcW w:type="dxa" w:w="3249"/>
            <w:vAlign w:val="center"/>
          </w:tcPr>
          <w:p>
            <w:pPr>
              <w:spacing w:line="276" w:lineRule="auto" w:before="0" w:after="0"/>
            </w:pPr>
            <w:r/>
            <w:r>
              <w:rPr>
                <w:rFonts w:ascii="Figtree" w:hAnsi="Figtree"/>
                <w:b w:val="0"/>
                <w:i w:val="0"/>
                <w:sz w:val="20"/>
              </w:rPr>
              <w:t>Business continuity</w:t>
            </w:r>
          </w:p>
        </w:tc>
        <w:tc>
          <w:tcPr>
            <w:tcW w:type="dxa" w:w="3249"/>
            <w:vAlign w:val="center"/>
          </w:tcPr>
          <w:p>
            <w:pPr>
              <w:spacing w:line="276" w:lineRule="auto" w:before="0" w:after="0"/>
            </w:pPr>
            <w:r/>
            <w:r>
              <w:rPr>
                <w:rFonts w:ascii="Figtree" w:hAnsi="Figtree"/>
                <w:b w:val="0"/>
                <w:i w:val="0"/>
                <w:sz w:val="20"/>
              </w:rPr>
              <w:t>Replicated from production</w:t>
            </w:r>
          </w:p>
        </w:tc>
      </w:tr>
      <w:tr>
        <w:trPr>
          <w:trHeight w:val="425" w:hRule="atLeast"/>
        </w:trPr>
        <w:tc>
          <w:tcPr>
            <w:tcW w:type="dxa" w:w="3249"/>
            <w:vAlign w:val="center"/>
          </w:tcPr>
          <w:p>
            <w:pPr>
              <w:spacing w:line="276" w:lineRule="auto" w:before="0" w:after="0"/>
            </w:pPr>
            <w:r/>
            <w:r>
              <w:rPr>
                <w:rFonts w:ascii="Figtree" w:hAnsi="Figtree"/>
                <w:b w:val="0"/>
                <w:i w:val="0"/>
                <w:sz w:val="20"/>
              </w:rPr>
              <w:t>Production</w:t>
            </w:r>
          </w:p>
        </w:tc>
        <w:tc>
          <w:tcPr>
            <w:tcW w:type="dxa" w:w="3249"/>
            <w:vAlign w:val="center"/>
          </w:tcPr>
          <w:p>
            <w:pPr>
              <w:spacing w:line="276" w:lineRule="auto" w:before="0" w:after="0"/>
            </w:pPr>
            <w:r/>
            <w:r>
              <w:rPr>
                <w:rFonts w:ascii="Figtree" w:hAnsi="Figtree"/>
                <w:b w:val="0"/>
                <w:i w:val="0"/>
                <w:sz w:val="20"/>
              </w:rPr>
              <w:t>Live operations</w:t>
            </w:r>
          </w:p>
        </w:tc>
        <w:tc>
          <w:tcPr>
            <w:tcW w:type="dxa" w:w="3249"/>
            <w:vAlign w:val="center"/>
          </w:tcPr>
          <w:p>
            <w:pPr>
              <w:spacing w:line="276" w:lineRule="auto" w:before="0" w:after="0"/>
            </w:pPr>
            <w:r/>
            <w:r>
              <w:rPr>
                <w:rFonts w:ascii="Figtree" w:hAnsi="Figtree"/>
                <w:b w:val="0"/>
                <w:i w:val="0"/>
                <w:sz w:val="20"/>
              </w:rPr>
              <w:t>Primary environment</w:t>
            </w:r>
          </w:p>
        </w:tc>
      </w:tr>
    </w:tbl>
    <w:p>
      <w:pPr>
        <w:spacing w:before="0" w:after="0" w:line="120" w:lineRule="exact"/>
      </w:pPr>
    </w:p>
    <w:p>
      <w:r>
        <w:rPr>
          <w:rFonts w:ascii="Figtree" w:hAnsi="Figtree"/>
          <w:b w:val="0"/>
          <w:i w:val="0"/>
          <w:sz w:val="22"/>
        </w:rPr>
        <w:t>Each environment runs as an independent DALP instance with its own blockchain network, database, and configuration. There is no data leakage between environments.</w:t>
      </w:r>
    </w:p>
    <w:p>
      <w:pPr>
        <w:pStyle w:val="H3"/>
        <w:numPr>
          <w:ilvl w:val="2"/>
          <w:numId w:val="1"/>
        </w:numPr>
      </w:pPr>
      <w:r>
        <w:t>Operational Architecture</w:t>
      </w:r>
    </w:p>
    <w:p>
      <w:r>
        <w:rPr>
          <w:rFonts w:ascii="Figtree" w:hAnsi="Figtree"/>
          <w:b w:val="0"/>
          <w:i w:val="0"/>
          <w:sz w:val="22"/>
        </w:rPr>
        <w:t>The Execution Engine provides durable workflow guarantees for multi-step operations:</w:t>
      </w:r>
    </w:p>
    <w:p>
      <w:pPr>
        <w:pStyle w:val="ListParagraph"/>
        <w:numPr>
          <w:ilvl w:val="0"/>
          <w:numId w:val="4"/>
        </w:numPr>
      </w:pPr>
      <w:r>
        <w:rPr>
          <w:rFonts w:ascii="Figtree" w:hAnsi="Figtree"/>
          <w:b/>
          <w:i w:val="0"/>
          <w:sz w:val="22"/>
        </w:rPr>
        <w:t>Deterministic execution:</w:t>
      </w:r>
      <w:r>
        <w:rPr>
          <w:rFonts w:ascii="Figtree" w:hAnsi="Figtree"/>
          <w:b w:val="0"/>
          <w:i w:val="0"/>
          <w:sz w:val="22"/>
        </w:rPr>
        <w:t xml:space="preserve"> Workflows produce the same result regardless of when they are replayed after a failure</w:t>
      </w:r>
    </w:p>
    <w:p>
      <w:pPr>
        <w:pStyle w:val="ListParagraph"/>
        <w:numPr>
          <w:ilvl w:val="0"/>
          <w:numId w:val="4"/>
        </w:numPr>
      </w:pPr>
      <w:r>
        <w:rPr>
          <w:rFonts w:ascii="Figtree" w:hAnsi="Figtree"/>
          <w:b/>
          <w:i w:val="0"/>
          <w:sz w:val="22"/>
        </w:rPr>
        <w:t>Automatic retry:</w:t>
      </w:r>
      <w:r>
        <w:rPr>
          <w:rFonts w:ascii="Figtree" w:hAnsi="Figtree"/>
          <w:b w:val="0"/>
          <w:i w:val="0"/>
          <w:sz w:val="22"/>
        </w:rPr>
        <w:t xml:space="preserve"> Failed operations are retried according to configurable policies (exponential backoff, max attempts)</w:t>
      </w:r>
    </w:p>
    <w:p>
      <w:pPr>
        <w:pStyle w:val="ListParagraph"/>
        <w:numPr>
          <w:ilvl w:val="0"/>
          <w:numId w:val="4"/>
        </w:numPr>
      </w:pPr>
      <w:r>
        <w:rPr>
          <w:rFonts w:ascii="Figtree" w:hAnsi="Figtree"/>
          <w:b/>
          <w:i w:val="0"/>
          <w:sz w:val="22"/>
        </w:rPr>
        <w:t>State persistence:</w:t>
      </w:r>
      <w:r>
        <w:rPr>
          <w:rFonts w:ascii="Figtree" w:hAnsi="Figtree"/>
          <w:b w:val="0"/>
          <w:i w:val="0"/>
          <w:sz w:val="22"/>
        </w:rPr>
        <w:t xml:space="preserve"> Workflow state is persisted to PostgreSQL, surviving process restarts and infrastructure failures</w:t>
      </w:r>
    </w:p>
    <w:p>
      <w:pPr>
        <w:pStyle w:val="ListParagraph"/>
        <w:numPr>
          <w:ilvl w:val="0"/>
          <w:numId w:val="4"/>
        </w:numPr>
      </w:pPr>
      <w:r>
        <w:rPr>
          <w:rFonts w:ascii="Figtree" w:hAnsi="Figtree"/>
          <w:b/>
          <w:i w:val="0"/>
          <w:sz w:val="22"/>
        </w:rPr>
        <w:t>Timeout management:</w:t>
      </w:r>
      <w:r>
        <w:rPr>
          <w:rFonts w:ascii="Figtree" w:hAnsi="Figtree"/>
          <w:b w:val="0"/>
          <w:i w:val="0"/>
          <w:sz w:val="22"/>
        </w:rPr>
        <w:t xml:space="preserve"> Long-running workflows (e.g., multi-day trade finance approvals) are tracked with configurable timeouts and escalation paths</w:t>
      </w:r>
    </w:p>
    <w:p>
      <w:r>
        <w:br w:type="page"/>
      </w:r>
    </w:p>
    <w:p>
      <w:pPr>
        <w:pStyle w:val="H2"/>
        <w:numPr>
          <w:ilvl w:val="1"/>
          <w:numId w:val="1"/>
        </w:numPr>
      </w:pPr>
      <w:r>
        <w:t>Smart Contract Architecture for Deposits and Trade Finance</w:t>
      </w:r>
    </w:p>
    <w:p>
      <w:pPr>
        <w:pStyle w:val="H3"/>
        <w:numPr>
          <w:ilvl w:val="2"/>
          <w:numId w:val="1"/>
        </w:numPr>
      </w:pPr>
      <w:r>
        <w:t>SMART Protocol Foundation</w:t>
      </w:r>
    </w:p>
    <w:p>
      <w:r>
        <w:rPr>
          <w:rFonts w:ascii="Figtree" w:hAnsi="Figtree"/>
          <w:b w:val="0"/>
          <w:i w:val="0"/>
          <w:sz w:val="22"/>
        </w:rPr>
        <w:t>All DALP smart contracts are built on the SMART Protocol, an implementation of ERC-3643 providing three foundational sub-layers:</w:t>
      </w:r>
    </w:p>
    <w:p>
      <w:pPr>
        <w:pStyle w:val="ListParagraph"/>
        <w:numPr>
          <w:ilvl w:val="0"/>
          <w:numId w:val="4"/>
        </w:numPr>
      </w:pPr>
      <w:r>
        <w:rPr>
          <w:rFonts w:ascii="Figtree" w:hAnsi="Figtree"/>
          <w:b/>
          <w:i w:val="0"/>
          <w:sz w:val="22"/>
        </w:rPr>
        <w:t>Token:</w:t>
      </w:r>
      <w:r>
        <w:rPr>
          <w:rFonts w:ascii="Figtree" w:hAnsi="Figtree"/>
          <w:b w:val="0"/>
          <w:i w:val="0"/>
          <w:sz w:val="22"/>
        </w:rPr>
        <w:t xml:space="preserve"> ERC-20 compatible contracts with compliance hooks and modular extension system</w:t>
      </w:r>
    </w:p>
    <w:p>
      <w:pPr>
        <w:pStyle w:val="ListParagraph"/>
        <w:numPr>
          <w:ilvl w:val="0"/>
          <w:numId w:val="4"/>
        </w:numPr>
      </w:pPr>
      <w:r>
        <w:rPr>
          <w:rFonts w:ascii="Figtree" w:hAnsi="Figtree"/>
          <w:b/>
          <w:i w:val="0"/>
          <w:sz w:val="22"/>
        </w:rPr>
        <w:t>Compliance:</w:t>
      </w:r>
      <w:r>
        <w:rPr>
          <w:rFonts w:ascii="Figtree" w:hAnsi="Figtree"/>
          <w:b w:val="0"/>
          <w:i w:val="0"/>
          <w:sz w:val="22"/>
        </w:rPr>
        <w:t xml:space="preserve"> Orchestration engine evaluating configurable transfer rules before each transaction</w:t>
      </w:r>
    </w:p>
    <w:p>
      <w:pPr>
        <w:pStyle w:val="ListParagraph"/>
        <w:numPr>
          <w:ilvl w:val="0"/>
          <w:numId w:val="4"/>
        </w:numPr>
      </w:pPr>
      <w:r>
        <w:rPr>
          <w:rFonts w:ascii="Figtree" w:hAnsi="Figtree"/>
          <w:b/>
          <w:i w:val="0"/>
          <w:sz w:val="22"/>
        </w:rPr>
        <w:t>Identity:</w:t>
      </w:r>
      <w:r>
        <w:rPr>
          <w:rFonts w:ascii="Figtree" w:hAnsi="Figtree"/>
          <w:b w:val="0"/>
          <w:i w:val="0"/>
          <w:sz w:val="22"/>
        </w:rPr>
        <w:t xml:space="preserve"> On-chain identity via OnchainID (ERC-734/735) with verifiable KYC/AML claims</w:t>
      </w:r>
    </w:p>
    <w:p>
      <w:pPr>
        <w:pStyle w:val="H3"/>
        <w:numPr>
          <w:ilvl w:val="2"/>
          <w:numId w:val="1"/>
        </w:numPr>
      </w:pPr>
      <w:r>
        <w:t>Five-Layer On-Chain Architecture</w:t>
      </w:r>
    </w:p>
    <w:p>
      <w:pPr>
        <w:jc w:val="center"/>
      </w:pPr>
      <w:r>
        <w:drawing>
          <wp:inline xmlns:a="http://schemas.openxmlformats.org/drawingml/2006/main" xmlns:pic="http://schemas.openxmlformats.org/drawingml/2006/picture">
            <wp:extent cx="5486400" cy="3708918"/>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3708918"/>
                    </a:xfrm>
                    <a:prstGeom prst="rect"/>
                  </pic:spPr>
                </pic:pic>
              </a:graphicData>
            </a:graphic>
          </wp:inline>
        </w:drawing>
      </w:r>
    </w:p>
    <w:p>
      <w:pPr>
        <w:pStyle w:val="H3"/>
        <w:numPr>
          <w:ilvl w:val="2"/>
          <w:numId w:val="1"/>
        </w:numPr>
      </w:pPr>
      <w:r>
        <w:t>DALPAsset Configuration for Deposits</w:t>
      </w:r>
    </w:p>
    <w:p>
      <w:r>
        <w:rPr>
          <w:rFonts w:ascii="Figtree" w:hAnsi="Figtree"/>
          <w:b w:val="0"/>
          <w:i w:val="0"/>
          <w:sz w:val="22"/>
        </w:rPr>
        <w:t>For Emirates NBD's tokenized deposits, DALPAsset is configured with:</w:t>
      </w:r>
    </w:p>
    <w:p>
      <w:r>
        <w:rPr>
          <w:rFonts w:ascii="Figtree" w:hAnsi="Figtree"/>
          <w:b/>
          <w:i w:val="0"/>
          <w:sz w:val="22"/>
        </w:rPr>
        <w:t>Token features (ordered by execution priority):</w:t>
      </w:r>
    </w:p>
    <w:p>
      <w:pPr>
        <w:pStyle w:val="ListParagraph"/>
        <w:numPr>
          <w:ilvl w:val="0"/>
          <w:numId w:val="11"/>
        </w:numPr>
      </w:pPr>
      <w:r>
        <w:rPr>
          <w:rFonts w:ascii="Figtree" w:hAnsi="Figtree"/>
          <w:b w:val="0"/>
          <w:i w:val="0"/>
          <w:sz w:val="22"/>
        </w:rPr>
        <w:t>Historical balances — snapshot capability for regulatory reporting and audit</w:t>
      </w:r>
    </w:p>
    <w:p>
      <w:pPr>
        <w:pStyle w:val="ListParagraph"/>
        <w:numPr>
          <w:ilvl w:val="0"/>
          <w:numId w:val="11"/>
        </w:numPr>
      </w:pPr>
      <w:r>
        <w:rPr>
          <w:rFonts w:ascii="Figtree" w:hAnsi="Figtree"/>
          <w:b w:val="0"/>
          <w:i w:val="0"/>
          <w:sz w:val="22"/>
        </w:rPr>
        <w:t>Fixed treasury yield — automated interest accrual and distribution</w:t>
      </w:r>
    </w:p>
    <w:p>
      <w:pPr>
        <w:pStyle w:val="ListParagraph"/>
        <w:numPr>
          <w:ilvl w:val="0"/>
          <w:numId w:val="11"/>
        </w:numPr>
      </w:pPr>
      <w:r>
        <w:rPr>
          <w:rFonts w:ascii="Figtree" w:hAnsi="Figtree"/>
          <w:b w:val="0"/>
          <w:i w:val="0"/>
          <w:sz w:val="22"/>
        </w:rPr>
        <w:t>Maturity and redemption — automated processing at maturity date</w:t>
      </w:r>
    </w:p>
    <w:p>
      <w:pPr>
        <w:pStyle w:val="ListParagraph"/>
        <w:numPr>
          <w:ilvl w:val="0"/>
          <w:numId w:val="11"/>
        </w:numPr>
      </w:pPr>
      <w:r>
        <w:rPr>
          <w:rFonts w:ascii="Figtree" w:hAnsi="Figtree"/>
          <w:b w:val="0"/>
          <w:i w:val="0"/>
          <w:sz w:val="22"/>
        </w:rPr>
        <w:t>Transaction fee accounting — fee tracking for treasury reconciliation</w:t>
      </w:r>
    </w:p>
    <w:p>
      <w:pPr>
        <w:pStyle w:val="ListParagraph"/>
        <w:numPr>
          <w:ilvl w:val="0"/>
          <w:numId w:val="11"/>
        </w:numPr>
      </w:pPr>
      <w:r>
        <w:rPr>
          <w:rFonts w:ascii="Figtree" w:hAnsi="Figtree"/>
          <w:b w:val="0"/>
          <w:i w:val="0"/>
          <w:sz w:val="22"/>
        </w:rPr>
        <w:t>Permit (EIP-2612) — gasless approvals for operational efficiency</w:t>
      </w:r>
    </w:p>
    <w:p>
      <w:r>
        <w:rPr>
          <w:rFonts w:ascii="Figtree" w:hAnsi="Figtree"/>
          <w:b/>
          <w:i w:val="0"/>
          <w:sz w:val="22"/>
        </w:rPr>
        <w:t>Compliance modules:</w:t>
      </w:r>
    </w:p>
    <w:p>
      <w:pPr>
        <w:pStyle w:val="ListParagraph"/>
        <w:numPr>
          <w:ilvl w:val="0"/>
          <w:numId w:val="12"/>
        </w:numPr>
      </w:pPr>
      <w:r>
        <w:rPr>
          <w:rFonts w:ascii="Figtree" w:hAnsi="Figtree"/>
          <w:b w:val="0"/>
          <w:i w:val="0"/>
          <w:sz w:val="22"/>
        </w:rPr>
        <w:t>Identity verification — mandatory for all transfers</w:t>
      </w:r>
    </w:p>
    <w:p>
      <w:pPr>
        <w:pStyle w:val="ListParagraph"/>
        <w:numPr>
          <w:ilvl w:val="0"/>
          <w:numId w:val="12"/>
        </w:numPr>
      </w:pPr>
      <w:r>
        <w:rPr>
          <w:rFonts w:ascii="Figtree" w:hAnsi="Figtree"/>
          <w:b w:val="0"/>
          <w:i w:val="0"/>
          <w:sz w:val="22"/>
        </w:rPr>
        <w:t>Country allow list — UAE and approved jurisdictions</w:t>
      </w:r>
    </w:p>
    <w:p>
      <w:pPr>
        <w:pStyle w:val="ListParagraph"/>
        <w:numPr>
          <w:ilvl w:val="0"/>
          <w:numId w:val="12"/>
        </w:numPr>
      </w:pPr>
      <w:r>
        <w:rPr>
          <w:rFonts w:ascii="Figtree" w:hAnsi="Figtree"/>
          <w:b w:val="0"/>
          <w:i w:val="0"/>
          <w:sz w:val="22"/>
        </w:rPr>
        <w:t>Investor count limit — regulatory cap enforcement</w:t>
      </w:r>
    </w:p>
    <w:p>
      <w:pPr>
        <w:pStyle w:val="ListParagraph"/>
        <w:numPr>
          <w:ilvl w:val="0"/>
          <w:numId w:val="12"/>
        </w:numPr>
      </w:pPr>
      <w:r>
        <w:rPr>
          <w:rFonts w:ascii="Figtree" w:hAnsi="Figtree"/>
          <w:b w:val="0"/>
          <w:i w:val="0"/>
          <w:sz w:val="22"/>
        </w:rPr>
        <w:t>Transfer approval — maker-checker for transfers above threshold</w:t>
      </w:r>
    </w:p>
    <w:p>
      <w:pPr>
        <w:pStyle w:val="ListParagraph"/>
        <w:numPr>
          <w:ilvl w:val="0"/>
          <w:numId w:val="12"/>
        </w:numPr>
      </w:pPr>
      <w:r>
        <w:rPr>
          <w:rFonts w:ascii="Figtree" w:hAnsi="Figtree"/>
          <w:b w:val="0"/>
          <w:i w:val="0"/>
          <w:sz w:val="22"/>
        </w:rPr>
        <w:t>Collateral requirement — for secured deposit instruments</w:t>
      </w:r>
    </w:p>
    <w:p>
      <w:pPr>
        <w:pStyle w:val="H3"/>
        <w:numPr>
          <w:ilvl w:val="2"/>
          <w:numId w:val="1"/>
        </w:numPr>
      </w:pPr>
      <w:r>
        <w:t>DALPAsset Configuration for Trade Finance</w:t>
      </w:r>
    </w:p>
    <w:p>
      <w:r>
        <w:rPr>
          <w:rFonts w:ascii="Figtree" w:hAnsi="Figtree"/>
          <w:b w:val="0"/>
          <w:i w:val="0"/>
          <w:sz w:val="22"/>
        </w:rPr>
        <w:t>For trade finance instruments, the configuration emphasizes multi-party control:</w:t>
      </w:r>
    </w:p>
    <w:p>
      <w:r>
        <w:rPr>
          <w:rFonts w:ascii="Figtree" w:hAnsi="Figtree"/>
          <w:b/>
          <w:i w:val="0"/>
          <w:sz w:val="22"/>
        </w:rPr>
        <w:t>Token features:</w:t>
      </w:r>
    </w:p>
    <w:p>
      <w:pPr>
        <w:pStyle w:val="ListParagraph"/>
        <w:numPr>
          <w:ilvl w:val="0"/>
          <w:numId w:val="13"/>
        </w:numPr>
      </w:pPr>
      <w:r>
        <w:rPr>
          <w:rFonts w:ascii="Figtree" w:hAnsi="Figtree"/>
          <w:b w:val="0"/>
          <w:i w:val="0"/>
          <w:sz w:val="22"/>
        </w:rPr>
        <w:t>Historical balances — trade history and audit trail</w:t>
      </w:r>
    </w:p>
    <w:p>
      <w:pPr>
        <w:pStyle w:val="ListParagraph"/>
        <w:numPr>
          <w:ilvl w:val="0"/>
          <w:numId w:val="13"/>
        </w:numPr>
      </w:pPr>
      <w:r>
        <w:rPr>
          <w:rFonts w:ascii="Figtree" w:hAnsi="Figtree"/>
          <w:b w:val="0"/>
          <w:i w:val="0"/>
          <w:sz w:val="22"/>
        </w:rPr>
        <w:t>Timelock — enforced holding periods for liquidity instruments</w:t>
      </w:r>
    </w:p>
    <w:p>
      <w:r>
        <w:rPr>
          <w:rFonts w:ascii="Figtree" w:hAnsi="Figtree"/>
          <w:b/>
          <w:i w:val="0"/>
          <w:sz w:val="22"/>
        </w:rPr>
        <w:t>Compliance modules:</w:t>
      </w:r>
    </w:p>
    <w:p>
      <w:pPr>
        <w:pStyle w:val="ListParagraph"/>
        <w:numPr>
          <w:ilvl w:val="0"/>
          <w:numId w:val="14"/>
        </w:numPr>
      </w:pPr>
      <w:r>
        <w:rPr>
          <w:rFonts w:ascii="Figtree" w:hAnsi="Figtree"/>
          <w:b w:val="0"/>
          <w:i w:val="0"/>
          <w:sz w:val="22"/>
        </w:rPr>
        <w:t>Identity verification — counterparty identity required</w:t>
      </w:r>
    </w:p>
    <w:p>
      <w:pPr>
        <w:pStyle w:val="ListParagraph"/>
        <w:numPr>
          <w:ilvl w:val="0"/>
          <w:numId w:val="14"/>
        </w:numPr>
      </w:pPr>
      <w:r>
        <w:rPr>
          <w:rFonts w:ascii="Figtree" w:hAnsi="Figtree"/>
          <w:b w:val="0"/>
          <w:i w:val="0"/>
          <w:sz w:val="22"/>
        </w:rPr>
        <w:t>Address allow list — only nominated counterparties can hold</w:t>
      </w:r>
    </w:p>
    <w:p>
      <w:pPr>
        <w:pStyle w:val="ListParagraph"/>
        <w:numPr>
          <w:ilvl w:val="0"/>
          <w:numId w:val="14"/>
        </w:numPr>
      </w:pPr>
      <w:r>
        <w:rPr>
          <w:rFonts w:ascii="Figtree" w:hAnsi="Figtree"/>
          <w:b w:val="0"/>
          <w:i w:val="0"/>
          <w:sz w:val="22"/>
        </w:rPr>
        <w:t>Transfer approval — multi-party approval with configurable expiry</w:t>
      </w:r>
    </w:p>
    <w:p>
      <w:pPr>
        <w:pStyle w:val="ListParagraph"/>
        <w:numPr>
          <w:ilvl w:val="0"/>
          <w:numId w:val="14"/>
        </w:numPr>
      </w:pPr>
      <w:r>
        <w:rPr>
          <w:rFonts w:ascii="Figtree" w:hAnsi="Figtree"/>
          <w:b w:val="0"/>
          <w:i w:val="0"/>
          <w:sz w:val="22"/>
        </w:rPr>
        <w:t>Timelock — minimum holding period enforcement with FIFO batch tracking</w:t>
      </w:r>
    </w:p>
    <w:p>
      <w:pPr>
        <w:pStyle w:val="H3"/>
        <w:numPr>
          <w:ilvl w:val="2"/>
          <w:numId w:val="1"/>
        </w:numPr>
      </w:pPr>
      <w:r>
        <w:t>UUPS Proxy Upgrade Pattern</w:t>
      </w:r>
    </w:p>
    <w:p>
      <w:r>
        <w:rPr>
          <w:rFonts w:ascii="Figtree" w:hAnsi="Figtree"/>
          <w:b w:val="0"/>
          <w:i w:val="0"/>
          <w:sz w:val="22"/>
        </w:rPr>
        <w:t>DALPAsset contracts are deployable as either upgradeable (UUPS proxy pattern) or immutable:</w:t>
      </w:r>
    </w:p>
    <w:p>
      <w:pPr>
        <w:pStyle w:val="ListParagraph"/>
        <w:numPr>
          <w:ilvl w:val="0"/>
          <w:numId w:val="4"/>
        </w:numPr>
      </w:pPr>
      <w:r>
        <w:rPr>
          <w:rFonts w:ascii="Figtree" w:hAnsi="Figtree"/>
          <w:b w:val="0"/>
          <w:i w:val="0"/>
          <w:sz w:val="22"/>
        </w:rPr>
        <w:t>The proxy holds state (balances, compliance configuration, identity data) and delegates calls to an implementation contract</w:t>
      </w:r>
    </w:p>
    <w:p>
      <w:pPr>
        <w:pStyle w:val="ListParagraph"/>
        <w:numPr>
          <w:ilvl w:val="0"/>
          <w:numId w:val="4"/>
        </w:numPr>
      </w:pPr>
      <w:r>
        <w:rPr>
          <w:rFonts w:ascii="Figtree" w:hAnsi="Figtree"/>
          <w:b w:val="0"/>
          <w:i w:val="0"/>
          <w:sz w:val="22"/>
        </w:rPr>
        <w:t>Upgrade logic resides in the implementation, preventing unauthorized contract replacement</w:t>
      </w:r>
    </w:p>
    <w:p>
      <w:pPr>
        <w:pStyle w:val="ListParagraph"/>
        <w:numPr>
          <w:ilvl w:val="0"/>
          <w:numId w:val="4"/>
        </w:numPr>
      </w:pPr>
      <w:r>
        <w:rPr>
          <w:rFonts w:ascii="Figtree" w:hAnsi="Figtree"/>
          <w:b w:val="0"/>
          <w:i w:val="0"/>
          <w:sz w:val="22"/>
        </w:rPr>
        <w:t>Token addresses remain stable across upgrades</w:t>
      </w:r>
    </w:p>
    <w:p>
      <w:pPr>
        <w:pStyle w:val="ListParagraph"/>
        <w:numPr>
          <w:ilvl w:val="0"/>
          <w:numId w:val="4"/>
        </w:numPr>
      </w:pPr>
      <w:r>
        <w:rPr>
          <w:rFonts w:ascii="Figtree" w:hAnsi="Figtree"/>
          <w:b w:val="0"/>
          <w:i w:val="0"/>
          <w:sz w:val="22"/>
        </w:rPr>
        <w:t>Emirates NBD can choose immutable deployment for instruments where regulatory or legal frameworks require compile-time guarantees</w:t>
      </w:r>
    </w:p>
    <w:p>
      <w:r>
        <w:br w:type="page"/>
      </w:r>
    </w:p>
    <w:p>
      <w:pPr>
        <w:pStyle w:val="H2"/>
        <w:numPr>
          <w:ilvl w:val="1"/>
          <w:numId w:val="1"/>
        </w:numPr>
      </w:pPr>
      <w:r>
        <w:t>Identity, Compliance, and Regulatory Controls</w:t>
      </w:r>
    </w:p>
    <w:p>
      <w:pPr>
        <w:pStyle w:val="H3"/>
        <w:numPr>
          <w:ilvl w:val="2"/>
          <w:numId w:val="1"/>
        </w:numPr>
      </w:pPr>
      <w:r>
        <w:t>Identity Architecture</w:t>
      </w:r>
    </w:p>
    <w:p>
      <w:r>
        <w:rPr>
          <w:rFonts w:ascii="Figtree" w:hAnsi="Figtree"/>
          <w:b w:val="0"/>
          <w:i w:val="0"/>
          <w:sz w:val="22"/>
        </w:rPr>
        <w:t>OnchainID provides Emirates NBD with a sovereign identity layer for all participants: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63"/>
        <w:gridCol w:w="2563"/>
        <w:gridCol w:w="394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Participant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Identity Model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Claims Required</w:t>
            </w:r>
          </w:p>
        </w:tc>
      </w:tr>
      <w:tr>
        <w:trPr>
          <w:trHeight w:val="425" w:hRule="atLeast"/>
        </w:trPr>
        <w:tc>
          <w:tcPr>
            <w:tcW w:type="dxa" w:w="3249"/>
            <w:vAlign w:val="center"/>
          </w:tcPr>
          <w:p>
            <w:pPr>
              <w:spacing w:line="276" w:lineRule="auto" w:before="0" w:after="0"/>
            </w:pPr>
            <w:r/>
            <w:r>
              <w:rPr>
                <w:rFonts w:ascii="Figtree" w:hAnsi="Figtree"/>
                <w:b w:val="0"/>
                <w:i w:val="0"/>
                <w:sz w:val="20"/>
              </w:rPr>
              <w:t>Emirates NBD (issuer)</w:t>
            </w:r>
          </w:p>
        </w:tc>
        <w:tc>
          <w:tcPr>
            <w:tcW w:type="dxa" w:w="3249"/>
            <w:vAlign w:val="center"/>
          </w:tcPr>
          <w:p>
            <w:pPr>
              <w:spacing w:line="276" w:lineRule="auto" w:before="0" w:after="0"/>
            </w:pPr>
            <w:r/>
            <w:r>
              <w:rPr>
                <w:rFonts w:ascii="Figtree" w:hAnsi="Figtree"/>
                <w:b w:val="0"/>
                <w:i w:val="0"/>
                <w:sz w:val="20"/>
              </w:rPr>
              <w:t>OnchainID + Trusted Issuer</w:t>
            </w:r>
          </w:p>
        </w:tc>
        <w:tc>
          <w:tcPr>
            <w:tcW w:type="dxa" w:w="3249"/>
            <w:vAlign w:val="center"/>
          </w:tcPr>
          <w:p>
            <w:pPr>
              <w:spacing w:line="276" w:lineRule="auto" w:before="0" w:after="0"/>
            </w:pPr>
            <w:r/>
            <w:r>
              <w:rPr>
                <w:rFonts w:ascii="Figtree" w:hAnsi="Figtree"/>
                <w:b w:val="0"/>
                <w:i w:val="0"/>
                <w:sz w:val="20"/>
              </w:rPr>
              <w:t>System operator, issuer authority</w:t>
            </w:r>
          </w:p>
        </w:tc>
      </w:tr>
      <w:tr>
        <w:trPr>
          <w:trHeight w:val="425" w:hRule="atLeast"/>
        </w:trPr>
        <w:tc>
          <w:tcPr>
            <w:tcW w:type="dxa" w:w="3249"/>
            <w:vAlign w:val="center"/>
          </w:tcPr>
          <w:p>
            <w:pPr>
              <w:spacing w:line="276" w:lineRule="auto" w:before="0" w:after="0"/>
            </w:pPr>
            <w:r/>
            <w:r>
              <w:rPr>
                <w:rFonts w:ascii="Figtree" w:hAnsi="Figtree"/>
                <w:b w:val="0"/>
                <w:i w:val="0"/>
                <w:sz w:val="20"/>
              </w:rPr>
              <w:t>Institutional investors</w:t>
            </w:r>
          </w:p>
        </w:tc>
        <w:tc>
          <w:tcPr>
            <w:tcW w:type="dxa" w:w="3249"/>
            <w:vAlign w:val="center"/>
          </w:tcPr>
          <w:p>
            <w:pPr>
              <w:spacing w:line="276" w:lineRule="auto" w:before="0" w:after="0"/>
            </w:pPr>
            <w:r/>
            <w:r>
              <w:rPr>
                <w:rFonts w:ascii="Figtree" w:hAnsi="Figtree"/>
                <w:b w:val="0"/>
                <w:i w:val="0"/>
                <w:sz w:val="20"/>
              </w:rPr>
              <w:t>OnchainID + KYC claims</w:t>
            </w:r>
          </w:p>
        </w:tc>
        <w:tc>
          <w:tcPr>
            <w:tcW w:type="dxa" w:w="3249"/>
            <w:vAlign w:val="center"/>
          </w:tcPr>
          <w:p>
            <w:pPr>
              <w:spacing w:line="276" w:lineRule="auto" w:before="0" w:after="0"/>
            </w:pPr>
            <w:r/>
            <w:r>
              <w:rPr>
                <w:rFonts w:ascii="Figtree" w:hAnsi="Figtree"/>
                <w:b w:val="0"/>
                <w:i w:val="0"/>
                <w:sz w:val="20"/>
              </w:rPr>
              <w:t>Jurisdiction, accreditation, entity type</w:t>
            </w:r>
          </w:p>
        </w:tc>
      </w:tr>
      <w:tr>
        <w:trPr>
          <w:trHeight w:val="425" w:hRule="atLeast"/>
        </w:trPr>
        <w:tc>
          <w:tcPr>
            <w:tcW w:type="dxa" w:w="3249"/>
            <w:vAlign w:val="center"/>
          </w:tcPr>
          <w:p>
            <w:pPr>
              <w:spacing w:line="276" w:lineRule="auto" w:before="0" w:after="0"/>
            </w:pPr>
            <w:r/>
            <w:r>
              <w:rPr>
                <w:rFonts w:ascii="Figtree" w:hAnsi="Figtree"/>
                <w:b w:val="0"/>
                <w:i w:val="0"/>
                <w:sz w:val="20"/>
              </w:rPr>
              <w:t>Counterparty banks</w:t>
            </w:r>
          </w:p>
        </w:tc>
        <w:tc>
          <w:tcPr>
            <w:tcW w:type="dxa" w:w="3249"/>
            <w:vAlign w:val="center"/>
          </w:tcPr>
          <w:p>
            <w:pPr>
              <w:spacing w:line="276" w:lineRule="auto" w:before="0" w:after="0"/>
            </w:pPr>
            <w:r/>
            <w:r>
              <w:rPr>
                <w:rFonts w:ascii="Figtree" w:hAnsi="Figtree"/>
                <w:b w:val="0"/>
                <w:i w:val="0"/>
                <w:sz w:val="20"/>
              </w:rPr>
              <w:t>OnchainID + KYC claims</w:t>
            </w:r>
          </w:p>
        </w:tc>
        <w:tc>
          <w:tcPr>
            <w:tcW w:type="dxa" w:w="3249"/>
            <w:vAlign w:val="center"/>
          </w:tcPr>
          <w:p>
            <w:pPr>
              <w:spacing w:line="276" w:lineRule="auto" w:before="0" w:after="0"/>
            </w:pPr>
            <w:r/>
            <w:r>
              <w:rPr>
                <w:rFonts w:ascii="Figtree" w:hAnsi="Figtree"/>
                <w:b w:val="0"/>
                <w:i w:val="0"/>
                <w:sz w:val="20"/>
              </w:rPr>
              <w:t>Jurisdiction, bank license, entity type</w:t>
            </w:r>
          </w:p>
        </w:tc>
      </w:tr>
      <w:tr>
        <w:trPr>
          <w:trHeight w:val="425" w:hRule="atLeast"/>
        </w:trPr>
        <w:tc>
          <w:tcPr>
            <w:tcW w:type="dxa" w:w="3249"/>
            <w:vAlign w:val="center"/>
          </w:tcPr>
          <w:p>
            <w:pPr>
              <w:spacing w:line="276" w:lineRule="auto" w:before="0" w:after="0"/>
            </w:pPr>
            <w:r/>
            <w:r>
              <w:rPr>
                <w:rFonts w:ascii="Figtree" w:hAnsi="Figtree"/>
                <w:b w:val="0"/>
                <w:i w:val="0"/>
                <w:sz w:val="20"/>
              </w:rPr>
              <w:t>Trade finance participants</w:t>
            </w:r>
          </w:p>
        </w:tc>
        <w:tc>
          <w:tcPr>
            <w:tcW w:type="dxa" w:w="3249"/>
            <w:vAlign w:val="center"/>
          </w:tcPr>
          <w:p>
            <w:pPr>
              <w:spacing w:line="276" w:lineRule="auto" w:before="0" w:after="0"/>
            </w:pPr>
            <w:r/>
            <w:r>
              <w:rPr>
                <w:rFonts w:ascii="Figtree" w:hAnsi="Figtree"/>
                <w:b w:val="0"/>
                <w:i w:val="0"/>
                <w:sz w:val="20"/>
              </w:rPr>
              <w:t>OnchainID + KYC claims</w:t>
            </w:r>
          </w:p>
        </w:tc>
        <w:tc>
          <w:tcPr>
            <w:tcW w:type="dxa" w:w="3249"/>
            <w:vAlign w:val="center"/>
          </w:tcPr>
          <w:p>
            <w:pPr>
              <w:spacing w:line="276" w:lineRule="auto" w:before="0" w:after="0"/>
            </w:pPr>
            <w:r/>
            <w:r>
              <w:rPr>
                <w:rFonts w:ascii="Figtree" w:hAnsi="Figtree"/>
                <w:b w:val="0"/>
                <w:i w:val="0"/>
                <w:sz w:val="20"/>
              </w:rPr>
              <w:t>Jurisdiction, trade authorization</w:t>
            </w:r>
          </w:p>
        </w:tc>
      </w:tr>
    </w:tbl>
    <w:p>
      <w:pPr>
        <w:spacing w:before="0" w:after="0" w:line="120" w:lineRule="exact"/>
      </w:pPr>
    </w:p>
    <w:p>
      <w:r>
        <w:rPr>
          <w:rFonts w:ascii="Figtree" w:hAnsi="Figtree"/>
          <w:b/>
          <w:i w:val="0"/>
          <w:sz w:val="22"/>
        </w:rPr>
        <w:t>Identity lifecycle:</w:t>
      </w:r>
    </w:p>
    <w:p>
      <w:pPr>
        <w:pStyle w:val="ListParagraph"/>
        <w:numPr>
          <w:ilvl w:val="0"/>
          <w:numId w:val="15"/>
        </w:numPr>
      </w:pPr>
      <w:r>
        <w:rPr>
          <w:rFonts w:ascii="Figtree" w:hAnsi="Figtree"/>
          <w:b w:val="0"/>
          <w:i w:val="0"/>
          <w:sz w:val="22"/>
        </w:rPr>
        <w:t>Entity registered in Emirates NBD's KYC/AML systems</w:t>
      </w:r>
    </w:p>
    <w:p>
      <w:pPr>
        <w:pStyle w:val="ListParagraph"/>
        <w:numPr>
          <w:ilvl w:val="0"/>
          <w:numId w:val="15"/>
        </w:numPr>
      </w:pPr>
      <w:r>
        <w:rPr>
          <w:rFonts w:ascii="Figtree" w:hAnsi="Figtree"/>
          <w:b w:val="0"/>
          <w:i w:val="0"/>
          <w:sz w:val="22"/>
        </w:rPr>
        <w:t>Verification outcome pushed to DALP via SDK integration</w:t>
      </w:r>
    </w:p>
    <w:p>
      <w:pPr>
        <w:pStyle w:val="ListParagraph"/>
        <w:numPr>
          <w:ilvl w:val="0"/>
          <w:numId w:val="15"/>
        </w:numPr>
      </w:pPr>
      <w:r>
        <w:rPr>
          <w:rFonts w:ascii="Figtree" w:hAnsi="Figtree"/>
          <w:b w:val="0"/>
          <w:i w:val="0"/>
          <w:sz w:val="22"/>
        </w:rPr>
        <w:t>OnchainID created with verifiable claims</w:t>
      </w:r>
    </w:p>
    <w:p>
      <w:pPr>
        <w:pStyle w:val="ListParagraph"/>
        <w:numPr>
          <w:ilvl w:val="0"/>
          <w:numId w:val="15"/>
        </w:numPr>
      </w:pPr>
      <w:r>
        <w:rPr>
          <w:rFonts w:ascii="Figtree" w:hAnsi="Figtree"/>
          <w:b w:val="0"/>
          <w:i w:val="0"/>
          <w:sz w:val="22"/>
        </w:rPr>
        <w:t>Claims periodically refreshed based on review cycles</w:t>
      </w:r>
    </w:p>
    <w:p>
      <w:pPr>
        <w:pStyle w:val="ListParagraph"/>
        <w:numPr>
          <w:ilvl w:val="0"/>
          <w:numId w:val="15"/>
        </w:numPr>
      </w:pPr>
      <w:r>
        <w:rPr>
          <w:rFonts w:ascii="Figtree" w:hAnsi="Figtree"/>
          <w:b w:val="0"/>
          <w:i w:val="0"/>
          <w:sz w:val="22"/>
        </w:rPr>
        <w:t>Revocation capability for expired or invalidated identities</w:t>
      </w:r>
    </w:p>
    <w:p>
      <w:pPr>
        <w:pStyle w:val="H3"/>
        <w:numPr>
          <w:ilvl w:val="2"/>
          <w:numId w:val="1"/>
        </w:numPr>
      </w:pPr>
      <w:r>
        <w:t>Compliance Module Library</w:t>
      </w:r>
    </w:p>
    <w:p>
      <w:r>
        <w:rPr>
          <w:rFonts w:ascii="Figtree" w:hAnsi="Figtree"/>
          <w:b w:val="0"/>
          <w:i w:val="0"/>
          <w:sz w:val="22"/>
        </w:rPr>
        <w:t>DALP ships 18 compliance module types. The following are directly applicable to Emirates NBD's scope: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33"/>
        <w:gridCol w:w="3540"/>
        <w:gridCol w:w="1216"/>
        <w:gridCol w:w="188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Module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Deposit Use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Trade Finance Use</w:t>
            </w:r>
          </w:p>
        </w:tc>
      </w:tr>
      <w:tr>
        <w:trPr>
          <w:trHeight w:val="425" w:hRule="atLeast"/>
        </w:trPr>
        <w:tc>
          <w:tcPr>
            <w:tcW w:type="dxa" w:w="2436"/>
            <w:vAlign w:val="center"/>
          </w:tcPr>
          <w:p>
            <w:pPr>
              <w:spacing w:line="276" w:lineRule="auto" w:before="0" w:after="0"/>
            </w:pPr>
            <w:r/>
            <w:r>
              <w:rPr>
                <w:rFonts w:ascii="Figtree" w:hAnsi="Figtree"/>
                <w:b w:val="0"/>
                <w:i w:val="0"/>
                <w:sz w:val="20"/>
              </w:rPr>
              <w:t>Identity verification</w:t>
            </w:r>
          </w:p>
        </w:tc>
        <w:tc>
          <w:tcPr>
            <w:tcW w:type="dxa" w:w="2436"/>
            <w:vAlign w:val="center"/>
          </w:tcPr>
          <w:p>
            <w:pPr>
              <w:spacing w:line="276" w:lineRule="auto" w:before="0" w:after="0"/>
            </w:pPr>
            <w:r/>
            <w:r>
              <w:rPr>
                <w:rFonts w:ascii="Figtree" w:hAnsi="Figtree"/>
                <w:b w:val="0"/>
                <w:i w:val="0"/>
                <w:sz w:val="20"/>
              </w:rPr>
              <w:t>Verified OnchainID required</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w:t>
            </w:r>
          </w:p>
        </w:tc>
      </w:tr>
      <w:tr>
        <w:trPr>
          <w:trHeight w:val="425" w:hRule="atLeast"/>
        </w:trPr>
        <w:tc>
          <w:tcPr>
            <w:tcW w:type="dxa" w:w="2436"/>
            <w:vAlign w:val="center"/>
          </w:tcPr>
          <w:p>
            <w:pPr>
              <w:spacing w:line="276" w:lineRule="auto" w:before="0" w:after="0"/>
            </w:pPr>
            <w:r/>
            <w:r>
              <w:rPr>
                <w:rFonts w:ascii="Figtree" w:hAnsi="Figtree"/>
                <w:b w:val="0"/>
                <w:i w:val="0"/>
                <w:sz w:val="20"/>
              </w:rPr>
              <w:t>Country allow list</w:t>
            </w:r>
          </w:p>
        </w:tc>
        <w:tc>
          <w:tcPr>
            <w:tcW w:type="dxa" w:w="2436"/>
            <w:vAlign w:val="center"/>
          </w:tcPr>
          <w:p>
            <w:pPr>
              <w:spacing w:line="276" w:lineRule="auto" w:before="0" w:after="0"/>
            </w:pPr>
            <w:r/>
            <w:r>
              <w:rPr>
                <w:rFonts w:ascii="Figtree" w:hAnsi="Figtree"/>
                <w:b w:val="0"/>
                <w:i w:val="0"/>
                <w:sz w:val="20"/>
              </w:rPr>
              <w:t>Jurisdiction restriction</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w:t>
            </w:r>
          </w:p>
        </w:tc>
      </w:tr>
      <w:tr>
        <w:trPr>
          <w:trHeight w:val="425" w:hRule="atLeast"/>
        </w:trPr>
        <w:tc>
          <w:tcPr>
            <w:tcW w:type="dxa" w:w="2436"/>
            <w:vAlign w:val="center"/>
          </w:tcPr>
          <w:p>
            <w:pPr>
              <w:spacing w:line="276" w:lineRule="auto" w:before="0" w:after="0"/>
            </w:pPr>
            <w:r/>
            <w:r>
              <w:rPr>
                <w:rFonts w:ascii="Figtree" w:hAnsi="Figtree"/>
                <w:b w:val="0"/>
                <w:i w:val="0"/>
                <w:sz w:val="20"/>
              </w:rPr>
              <w:t>Country block list</w:t>
            </w:r>
          </w:p>
        </w:tc>
        <w:tc>
          <w:tcPr>
            <w:tcW w:type="dxa" w:w="2436"/>
            <w:vAlign w:val="center"/>
          </w:tcPr>
          <w:p>
            <w:pPr>
              <w:spacing w:line="276" w:lineRule="auto" w:before="0" w:after="0"/>
            </w:pPr>
            <w:r/>
            <w:r>
              <w:rPr>
                <w:rFonts w:ascii="Figtree" w:hAnsi="Figtree"/>
                <w:b w:val="0"/>
                <w:i w:val="0"/>
                <w:sz w:val="20"/>
              </w:rPr>
              <w:t>Sanctioned jurisdiction blocking</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w:t>
            </w:r>
          </w:p>
        </w:tc>
      </w:tr>
      <w:tr>
        <w:trPr>
          <w:trHeight w:val="425" w:hRule="atLeast"/>
        </w:trPr>
        <w:tc>
          <w:tcPr>
            <w:tcW w:type="dxa" w:w="2436"/>
            <w:vAlign w:val="center"/>
          </w:tcPr>
          <w:p>
            <w:pPr>
              <w:spacing w:line="276" w:lineRule="auto" w:before="0" w:after="0"/>
            </w:pPr>
            <w:r/>
            <w:r>
              <w:rPr>
                <w:rFonts w:ascii="Figtree" w:hAnsi="Figtree"/>
                <w:b w:val="0"/>
                <w:i w:val="0"/>
                <w:sz w:val="20"/>
              </w:rPr>
              <w:t>Address block list</w:t>
            </w:r>
          </w:p>
        </w:tc>
        <w:tc>
          <w:tcPr>
            <w:tcW w:type="dxa" w:w="2436"/>
            <w:vAlign w:val="center"/>
          </w:tcPr>
          <w:p>
            <w:pPr>
              <w:spacing w:line="276" w:lineRule="auto" w:before="0" w:after="0"/>
            </w:pPr>
            <w:r/>
            <w:r>
              <w:rPr>
                <w:rFonts w:ascii="Figtree" w:hAnsi="Figtree"/>
                <w:b w:val="0"/>
                <w:i w:val="0"/>
                <w:sz w:val="20"/>
              </w:rPr>
              <w:t>Explicit wallet blocking</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w:t>
            </w:r>
          </w:p>
        </w:tc>
      </w:tr>
      <w:tr>
        <w:trPr>
          <w:trHeight w:val="425" w:hRule="atLeast"/>
        </w:trPr>
        <w:tc>
          <w:tcPr>
            <w:tcW w:type="dxa" w:w="2436"/>
            <w:vAlign w:val="center"/>
          </w:tcPr>
          <w:p>
            <w:pPr>
              <w:spacing w:line="276" w:lineRule="auto" w:before="0" w:after="0"/>
            </w:pPr>
            <w:r/>
            <w:r>
              <w:rPr>
                <w:rFonts w:ascii="Figtree" w:hAnsi="Figtree"/>
                <w:b w:val="0"/>
                <w:i w:val="0"/>
                <w:sz w:val="20"/>
              </w:rPr>
              <w:t>Investor count limit</w:t>
            </w:r>
          </w:p>
        </w:tc>
        <w:tc>
          <w:tcPr>
            <w:tcW w:type="dxa" w:w="2436"/>
            <w:vAlign w:val="center"/>
          </w:tcPr>
          <w:p>
            <w:pPr>
              <w:spacing w:line="276" w:lineRule="auto" w:before="0" w:after="0"/>
            </w:pPr>
            <w:r/>
            <w:r>
              <w:rPr>
                <w:rFonts w:ascii="Figtree" w:hAnsi="Figtree"/>
                <w:b w:val="0"/>
                <w:i w:val="0"/>
                <w:sz w:val="20"/>
              </w:rPr>
              <w:t>Cap on unique holders</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w:t>
            </w:r>
          </w:p>
        </w:tc>
      </w:tr>
      <w:tr>
        <w:trPr>
          <w:trHeight w:val="425" w:hRule="atLeast"/>
        </w:trPr>
        <w:tc>
          <w:tcPr>
            <w:tcW w:type="dxa" w:w="2436"/>
            <w:vAlign w:val="center"/>
          </w:tcPr>
          <w:p>
            <w:pPr>
              <w:spacing w:line="276" w:lineRule="auto" w:before="0" w:after="0"/>
            </w:pPr>
            <w:r/>
            <w:r>
              <w:rPr>
                <w:rFonts w:ascii="Figtree" w:hAnsi="Figtree"/>
                <w:b w:val="0"/>
                <w:i w:val="0"/>
                <w:sz w:val="20"/>
              </w:rPr>
              <w:t>Timelock</w:t>
            </w:r>
          </w:p>
        </w:tc>
        <w:tc>
          <w:tcPr>
            <w:tcW w:type="dxa" w:w="2436"/>
            <w:vAlign w:val="center"/>
          </w:tcPr>
          <w:p>
            <w:pPr>
              <w:spacing w:line="276" w:lineRule="auto" w:before="0" w:after="0"/>
            </w:pPr>
            <w:r/>
            <w:r>
              <w:rPr>
                <w:rFonts w:ascii="Figtree" w:hAnsi="Figtree"/>
                <w:b w:val="0"/>
                <w:i w:val="0"/>
                <w:sz w:val="20"/>
              </w:rPr>
              <w:t>Minimum holding period</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w:t>
            </w:r>
          </w:p>
        </w:tc>
      </w:tr>
      <w:tr>
        <w:trPr>
          <w:trHeight w:val="425" w:hRule="atLeast"/>
        </w:trPr>
        <w:tc>
          <w:tcPr>
            <w:tcW w:type="dxa" w:w="2436"/>
            <w:vAlign w:val="center"/>
          </w:tcPr>
          <w:p>
            <w:pPr>
              <w:spacing w:line="276" w:lineRule="auto" w:before="0" w:after="0"/>
            </w:pPr>
            <w:r/>
            <w:r>
              <w:rPr>
                <w:rFonts w:ascii="Figtree" w:hAnsi="Figtree"/>
                <w:b w:val="0"/>
                <w:i w:val="0"/>
                <w:sz w:val="20"/>
              </w:rPr>
              <w:t>Transfer approval</w:t>
            </w:r>
          </w:p>
        </w:tc>
        <w:tc>
          <w:tcPr>
            <w:tcW w:type="dxa" w:w="2436"/>
            <w:vAlign w:val="center"/>
          </w:tcPr>
          <w:p>
            <w:pPr>
              <w:spacing w:line="276" w:lineRule="auto" w:before="0" w:after="0"/>
            </w:pPr>
            <w:r/>
            <w:r>
              <w:rPr>
                <w:rFonts w:ascii="Figtree" w:hAnsi="Figtree"/>
                <w:b w:val="0"/>
                <w:i w:val="0"/>
                <w:sz w:val="20"/>
              </w:rPr>
              <w:t>Manual approval workflow</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w:t>
            </w:r>
          </w:p>
        </w:tc>
      </w:tr>
      <w:tr>
        <w:trPr>
          <w:trHeight w:val="425" w:hRule="atLeast"/>
        </w:trPr>
        <w:tc>
          <w:tcPr>
            <w:tcW w:type="dxa" w:w="2436"/>
            <w:vAlign w:val="center"/>
          </w:tcPr>
          <w:p>
            <w:pPr>
              <w:spacing w:line="276" w:lineRule="auto" w:before="0" w:after="0"/>
            </w:pPr>
            <w:r/>
            <w:r>
              <w:rPr>
                <w:rFonts w:ascii="Figtree" w:hAnsi="Figtree"/>
                <w:b w:val="0"/>
                <w:i w:val="0"/>
                <w:sz w:val="20"/>
              </w:rPr>
              <w:t>Collateral requirement</w:t>
            </w:r>
          </w:p>
        </w:tc>
        <w:tc>
          <w:tcPr>
            <w:tcW w:type="dxa" w:w="2436"/>
            <w:vAlign w:val="center"/>
          </w:tcPr>
          <w:p>
            <w:pPr>
              <w:spacing w:line="276" w:lineRule="auto" w:before="0" w:after="0"/>
            </w:pPr>
            <w:r/>
            <w:r>
              <w:rPr>
                <w:rFonts w:ascii="Figtree" w:hAnsi="Figtree"/>
                <w:b w:val="0"/>
                <w:i w:val="0"/>
                <w:sz w:val="20"/>
              </w:rPr>
              <w:t>On-chain proof of reserves</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w:t>
            </w:r>
          </w:p>
        </w:tc>
      </w:tr>
    </w:tbl>
    <w:p>
      <w:pPr>
        <w:spacing w:before="0" w:after="0" w:line="120" w:lineRule="exact"/>
      </w:pPr>
    </w:p>
    <w:p>
      <w:pPr>
        <w:pStyle w:val="H3"/>
        <w:numPr>
          <w:ilvl w:val="2"/>
          <w:numId w:val="1"/>
        </w:numPr>
      </w:pPr>
      <w:r>
        <w:t>Regulatory Context: UAE</w:t>
      </w:r>
    </w:p>
    <w:p>
      <w:r>
        <w:rPr>
          <w:rFonts w:ascii="Figtree" w:hAnsi="Figtree"/>
          <w:b w:val="0"/>
          <w:i w:val="0"/>
          <w:sz w:val="22"/>
        </w:rPr>
        <w:t>Emirates NBD operates within a multi-regulator environment. DALP's compliance engine is configured to address: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25"/>
        <w:gridCol w:w="3532"/>
        <w:gridCol w:w="401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Regulator/Framework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Relevant Requirements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r>
      <w:tr>
        <w:trPr>
          <w:trHeight w:val="425" w:hRule="atLeast"/>
        </w:trPr>
        <w:tc>
          <w:tcPr>
            <w:tcW w:type="dxa" w:w="3249"/>
            <w:vAlign w:val="center"/>
          </w:tcPr>
          <w:p>
            <w:pPr>
              <w:spacing w:line="276" w:lineRule="auto" w:before="0" w:after="0"/>
            </w:pPr>
            <w:r/>
            <w:r>
              <w:rPr>
                <w:rFonts w:ascii="Figtree" w:hAnsi="Figtree"/>
                <w:b w:val="0"/>
                <w:i w:val="0"/>
                <w:sz w:val="20"/>
              </w:rPr>
              <w:t>CBUAE</w:t>
            </w:r>
          </w:p>
        </w:tc>
        <w:tc>
          <w:tcPr>
            <w:tcW w:type="dxa" w:w="3249"/>
            <w:vAlign w:val="center"/>
          </w:tcPr>
          <w:p>
            <w:pPr>
              <w:spacing w:line="276" w:lineRule="auto" w:before="0" w:after="0"/>
            </w:pPr>
            <w:r/>
            <w:r>
              <w:rPr>
                <w:rFonts w:ascii="Figtree" w:hAnsi="Figtree"/>
                <w:b w:val="0"/>
                <w:i w:val="0"/>
                <w:sz w:val="20"/>
              </w:rPr>
              <w:t>Payment and stored value, deposit regulation</w:t>
            </w:r>
          </w:p>
        </w:tc>
        <w:tc>
          <w:tcPr>
            <w:tcW w:type="dxa" w:w="3249"/>
            <w:vAlign w:val="center"/>
          </w:tcPr>
          <w:p>
            <w:pPr>
              <w:spacing w:line="276" w:lineRule="auto" w:before="0" w:after="0"/>
            </w:pPr>
            <w:r/>
            <w:r>
              <w:rPr>
                <w:rFonts w:ascii="Figtree" w:hAnsi="Figtree"/>
                <w:b w:val="0"/>
                <w:i w:val="0"/>
                <w:sz w:val="20"/>
              </w:rPr>
              <w:t>Deposit lifecycle controls, capital reporting data</w:t>
            </w:r>
          </w:p>
        </w:tc>
      </w:tr>
      <w:tr>
        <w:trPr>
          <w:trHeight w:val="425" w:hRule="atLeast"/>
        </w:trPr>
        <w:tc>
          <w:tcPr>
            <w:tcW w:type="dxa" w:w="3249"/>
            <w:vAlign w:val="center"/>
          </w:tcPr>
          <w:p>
            <w:pPr>
              <w:spacing w:line="276" w:lineRule="auto" w:before="0" w:after="0"/>
            </w:pPr>
            <w:r/>
            <w:r>
              <w:rPr>
                <w:rFonts w:ascii="Figtree" w:hAnsi="Figtree"/>
                <w:b w:val="0"/>
                <w:i w:val="0"/>
                <w:sz w:val="20"/>
              </w:rPr>
              <w:t>DFSA</w:t>
            </w:r>
          </w:p>
        </w:tc>
        <w:tc>
          <w:tcPr>
            <w:tcW w:type="dxa" w:w="3249"/>
            <w:vAlign w:val="center"/>
          </w:tcPr>
          <w:p>
            <w:pPr>
              <w:spacing w:line="276" w:lineRule="auto" w:before="0" w:after="0"/>
            </w:pPr>
            <w:r/>
            <w:r>
              <w:rPr>
                <w:rFonts w:ascii="Figtree" w:hAnsi="Figtree"/>
                <w:b w:val="0"/>
                <w:i w:val="0"/>
                <w:sz w:val="20"/>
              </w:rPr>
              <w:t>Digital asset regime (if DIFC-scoped)</w:t>
            </w:r>
          </w:p>
        </w:tc>
        <w:tc>
          <w:tcPr>
            <w:tcW w:type="dxa" w:w="3249"/>
            <w:vAlign w:val="center"/>
          </w:tcPr>
          <w:p>
            <w:pPr>
              <w:spacing w:line="276" w:lineRule="auto" w:before="0" w:after="0"/>
            </w:pPr>
            <w:r/>
            <w:r>
              <w:rPr>
                <w:rFonts w:ascii="Figtree" w:hAnsi="Figtree"/>
                <w:b w:val="0"/>
                <w:i w:val="0"/>
                <w:sz w:val="20"/>
              </w:rPr>
              <w:t>Investor eligibility, transfer restrictions</w:t>
            </w:r>
          </w:p>
        </w:tc>
      </w:tr>
      <w:tr>
        <w:trPr>
          <w:trHeight w:val="425" w:hRule="atLeast"/>
        </w:trPr>
        <w:tc>
          <w:tcPr>
            <w:tcW w:type="dxa" w:w="3249"/>
            <w:vAlign w:val="center"/>
          </w:tcPr>
          <w:p>
            <w:pPr>
              <w:spacing w:line="276" w:lineRule="auto" w:before="0" w:after="0"/>
            </w:pPr>
            <w:r/>
            <w:r>
              <w:rPr>
                <w:rFonts w:ascii="Figtree" w:hAnsi="Figtree"/>
                <w:b w:val="0"/>
                <w:i w:val="0"/>
                <w:sz w:val="20"/>
              </w:rPr>
              <w:t>ADGM FSMR</w:t>
            </w:r>
          </w:p>
        </w:tc>
        <w:tc>
          <w:tcPr>
            <w:tcW w:type="dxa" w:w="3249"/>
            <w:vAlign w:val="center"/>
          </w:tcPr>
          <w:p>
            <w:pPr>
              <w:spacing w:line="276" w:lineRule="auto" w:before="0" w:after="0"/>
            </w:pPr>
            <w:r/>
            <w:r>
              <w:rPr>
                <w:rFonts w:ascii="Figtree" w:hAnsi="Figtree"/>
                <w:b w:val="0"/>
                <w:i w:val="0"/>
                <w:sz w:val="20"/>
              </w:rPr>
              <w:t>Financial services (if ADGM-scoped)</w:t>
            </w:r>
          </w:p>
        </w:tc>
        <w:tc>
          <w:tcPr>
            <w:tcW w:type="dxa" w:w="3249"/>
            <w:vAlign w:val="center"/>
          </w:tcPr>
          <w:p>
            <w:pPr>
              <w:spacing w:line="276" w:lineRule="auto" w:before="0" w:after="0"/>
            </w:pPr>
            <w:r/>
            <w:r>
              <w:rPr>
                <w:rFonts w:ascii="Figtree" w:hAnsi="Figtree"/>
                <w:b w:val="0"/>
                <w:i w:val="0"/>
                <w:sz w:val="20"/>
              </w:rPr>
              <w:t>Compliance module composition</w:t>
            </w:r>
          </w:p>
        </w:tc>
      </w:tr>
      <w:tr>
        <w:trPr>
          <w:trHeight w:val="425" w:hRule="atLeast"/>
        </w:trPr>
        <w:tc>
          <w:tcPr>
            <w:tcW w:type="dxa" w:w="3249"/>
            <w:vAlign w:val="center"/>
          </w:tcPr>
          <w:p>
            <w:pPr>
              <w:spacing w:line="276" w:lineRule="auto" w:before="0" w:after="0"/>
            </w:pPr>
            <w:r/>
            <w:r>
              <w:rPr>
                <w:rFonts w:ascii="Figtree" w:hAnsi="Figtree"/>
                <w:b w:val="0"/>
                <w:i w:val="0"/>
                <w:sz w:val="20"/>
              </w:rPr>
              <w:t>UAE SCA</w:t>
            </w:r>
          </w:p>
        </w:tc>
        <w:tc>
          <w:tcPr>
            <w:tcW w:type="dxa" w:w="3249"/>
            <w:vAlign w:val="center"/>
          </w:tcPr>
          <w:p>
            <w:pPr>
              <w:spacing w:line="276" w:lineRule="auto" w:before="0" w:after="0"/>
            </w:pPr>
            <w:r/>
            <w:r>
              <w:rPr>
                <w:rFonts w:ascii="Figtree" w:hAnsi="Figtree"/>
                <w:b w:val="0"/>
                <w:i w:val="0"/>
                <w:sz w:val="20"/>
              </w:rPr>
              <w:t>Securities regulation</w:t>
            </w:r>
          </w:p>
        </w:tc>
        <w:tc>
          <w:tcPr>
            <w:tcW w:type="dxa" w:w="3249"/>
            <w:vAlign w:val="center"/>
          </w:tcPr>
          <w:p>
            <w:pPr>
              <w:spacing w:line="276" w:lineRule="auto" w:before="0" w:after="0"/>
            </w:pPr>
            <w:r/>
            <w:r>
              <w:rPr>
                <w:rFonts w:ascii="Figtree" w:hAnsi="Figtree"/>
                <w:b w:val="0"/>
                <w:i w:val="0"/>
                <w:sz w:val="20"/>
              </w:rPr>
              <w:t>Asset class governance</w:t>
            </w:r>
          </w:p>
        </w:tc>
      </w:tr>
      <w:tr>
        <w:trPr>
          <w:trHeight w:val="425" w:hRule="atLeast"/>
        </w:trPr>
        <w:tc>
          <w:tcPr>
            <w:tcW w:type="dxa" w:w="3249"/>
            <w:vAlign w:val="center"/>
          </w:tcPr>
          <w:p>
            <w:pPr>
              <w:spacing w:line="276" w:lineRule="auto" w:before="0" w:after="0"/>
            </w:pPr>
            <w:r/>
            <w:r>
              <w:rPr>
                <w:rFonts w:ascii="Figtree" w:hAnsi="Figtree"/>
                <w:b w:val="0"/>
                <w:i w:val="0"/>
                <w:sz w:val="20"/>
              </w:rPr>
              <w:t>UAE AML/CFT</w:t>
            </w:r>
          </w:p>
        </w:tc>
        <w:tc>
          <w:tcPr>
            <w:tcW w:type="dxa" w:w="3249"/>
            <w:vAlign w:val="center"/>
          </w:tcPr>
          <w:p>
            <w:pPr>
              <w:spacing w:line="276" w:lineRule="auto" w:before="0" w:after="0"/>
            </w:pPr>
            <w:r/>
            <w:r>
              <w:rPr>
                <w:rFonts w:ascii="Figtree" w:hAnsi="Figtree"/>
                <w:b w:val="0"/>
                <w:i w:val="0"/>
                <w:sz w:val="20"/>
              </w:rPr>
              <w:t>Anti-money laundering, counter-terrorism</w:t>
            </w:r>
          </w:p>
        </w:tc>
        <w:tc>
          <w:tcPr>
            <w:tcW w:type="dxa" w:w="3249"/>
            <w:vAlign w:val="center"/>
          </w:tcPr>
          <w:p>
            <w:pPr>
              <w:spacing w:line="276" w:lineRule="auto" w:before="0" w:after="0"/>
            </w:pPr>
            <w:r/>
            <w:r>
              <w:rPr>
                <w:rFonts w:ascii="Figtree" w:hAnsi="Figtree"/>
                <w:b w:val="0"/>
                <w:i w:val="0"/>
                <w:sz w:val="20"/>
              </w:rPr>
              <w:t>OnchainID with KYC claims, sanctions integration</w:t>
            </w:r>
          </w:p>
        </w:tc>
      </w:tr>
      <w:tr>
        <w:trPr>
          <w:trHeight w:val="425" w:hRule="atLeast"/>
        </w:trPr>
        <w:tc>
          <w:tcPr>
            <w:tcW w:type="dxa" w:w="3249"/>
            <w:vAlign w:val="center"/>
          </w:tcPr>
          <w:p>
            <w:pPr>
              <w:spacing w:line="276" w:lineRule="auto" w:before="0" w:after="0"/>
            </w:pPr>
            <w:r/>
            <w:r>
              <w:rPr>
                <w:rFonts w:ascii="Figtree" w:hAnsi="Figtree"/>
                <w:b w:val="0"/>
                <w:i w:val="0"/>
                <w:sz w:val="20"/>
              </w:rPr>
              <w:t>CBUAE Cyber</w:t>
            </w:r>
          </w:p>
        </w:tc>
        <w:tc>
          <w:tcPr>
            <w:tcW w:type="dxa" w:w="3249"/>
            <w:vAlign w:val="center"/>
          </w:tcPr>
          <w:p>
            <w:pPr>
              <w:spacing w:line="276" w:lineRule="auto" w:before="0" w:after="0"/>
            </w:pPr>
            <w:r/>
            <w:r>
              <w:rPr>
                <w:rFonts w:ascii="Figtree" w:hAnsi="Figtree"/>
                <w:b w:val="0"/>
                <w:i w:val="0"/>
                <w:sz w:val="20"/>
              </w:rPr>
              <w:t>Cyber resilience expectations</w:t>
            </w:r>
          </w:p>
        </w:tc>
        <w:tc>
          <w:tcPr>
            <w:tcW w:type="dxa" w:w="3249"/>
            <w:vAlign w:val="center"/>
          </w:tcPr>
          <w:p>
            <w:pPr>
              <w:spacing w:line="276" w:lineRule="auto" w:before="0" w:after="0"/>
            </w:pPr>
            <w:r/>
            <w:r>
              <w:rPr>
                <w:rFonts w:ascii="Figtree" w:hAnsi="Figtree"/>
                <w:b w:val="0"/>
                <w:i w:val="0"/>
                <w:sz w:val="20"/>
              </w:rPr>
              <w:t>Defense-in-depth security model</w:t>
            </w:r>
          </w:p>
        </w:tc>
      </w:tr>
    </w:tbl>
    <w:p>
      <w:pPr>
        <w:spacing w:before="0" w:after="0" w:line="120" w:lineRule="exact"/>
      </w:pPr>
    </w:p>
    <w:p>
      <w:r>
        <w:rPr>
          <w:rFonts w:ascii="Figtree" w:hAnsi="Figtree"/>
          <w:b/>
          <w:i w:val="0"/>
          <w:sz w:val="22"/>
        </w:rPr>
        <w:t>Important qualification:</w:t>
      </w:r>
      <w:r>
        <w:rPr>
          <w:rFonts w:ascii="Figtree" w:hAnsi="Figtree"/>
          <w:b w:val="0"/>
          <w:i w:val="0"/>
          <w:sz w:val="22"/>
        </w:rPr>
        <w:t xml:space="preserve"> DALP provides the technical infrastructure for compliance enforcement. It does not provide legal or regulatory advice. Emirates NBD retains responsibility for regulatory interpretation and policy decisions. DALP enforces whatever rules Emirates NBD configures — the platform is a compliance enforcement engine, not a compliance advisory service.</w:t>
      </w:r>
    </w:p>
    <w:p>
      <w:r>
        <w:br w:type="page"/>
      </w:r>
    </w:p>
    <w:p>
      <w:pPr>
        <w:pStyle w:val="H2"/>
        <w:numPr>
          <w:ilvl w:val="1"/>
          <w:numId w:val="1"/>
        </w:numPr>
      </w:pPr>
      <w:r>
        <w:t>Settlement, Servicing, and Lifecycle Management</w:t>
      </w:r>
    </w:p>
    <w:p>
      <w:pPr>
        <w:pStyle w:val="H3"/>
        <w:numPr>
          <w:ilvl w:val="2"/>
          <w:numId w:val="1"/>
        </w:numPr>
      </w:pPr>
      <w:r>
        <w:t>Settlement Architecture</w:t>
      </w:r>
    </w:p>
    <w:p>
      <w:pPr>
        <w:jc w:val="center"/>
      </w:pPr>
      <w:r>
        <w:drawing>
          <wp:inline xmlns:a="http://schemas.openxmlformats.org/drawingml/2006/main" xmlns:pic="http://schemas.openxmlformats.org/drawingml/2006/picture">
            <wp:extent cx="5486400" cy="3547965"/>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3547965"/>
                    </a:xfrm>
                    <a:prstGeom prst="rect"/>
                  </pic:spPr>
                </pic:pic>
              </a:graphicData>
            </a:graphic>
          </wp:inline>
        </w:drawing>
      </w:r>
    </w:p>
    <w:p>
      <w:pPr>
        <w:pStyle w:val="H3"/>
        <w:numPr>
          <w:ilvl w:val="2"/>
          <w:numId w:val="1"/>
        </w:numPr>
      </w:pPr>
      <w:r>
        <w:t>Deposit Lifecycle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35"/>
        <w:gridCol w:w="3273"/>
        <w:gridCol w:w="2618"/>
        <w:gridCol w:w="224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Stage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Operation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Component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Automation</w:t>
            </w:r>
          </w:p>
        </w:tc>
      </w:tr>
      <w:tr>
        <w:trPr>
          <w:trHeight w:val="425" w:hRule="atLeast"/>
        </w:trPr>
        <w:tc>
          <w:tcPr>
            <w:tcW w:type="dxa" w:w="2436"/>
            <w:vAlign w:val="center"/>
          </w:tcPr>
          <w:p>
            <w:pPr>
              <w:spacing w:line="276" w:lineRule="auto" w:before="0" w:after="0"/>
            </w:pPr>
            <w:r/>
            <w:r>
              <w:rPr>
                <w:rFonts w:ascii="Figtree" w:hAnsi="Figtree"/>
                <w:b w:val="0"/>
                <w:i w:val="0"/>
                <w:sz w:val="20"/>
              </w:rPr>
              <w:t>Design</w:t>
            </w:r>
          </w:p>
        </w:tc>
        <w:tc>
          <w:tcPr>
            <w:tcW w:type="dxa" w:w="2436"/>
            <w:vAlign w:val="center"/>
          </w:tcPr>
          <w:p>
            <w:pPr>
              <w:spacing w:line="276" w:lineRule="auto" w:before="0" w:after="0"/>
            </w:pPr>
            <w:r/>
            <w:r>
              <w:rPr>
                <w:rFonts w:ascii="Figtree" w:hAnsi="Figtree"/>
                <w:b w:val="0"/>
                <w:i w:val="0"/>
                <w:sz w:val="20"/>
              </w:rPr>
              <w:t>Configure deposit parameters</w:t>
            </w:r>
          </w:p>
        </w:tc>
        <w:tc>
          <w:tcPr>
            <w:tcW w:type="dxa" w:w="2436"/>
            <w:vAlign w:val="center"/>
          </w:tcPr>
          <w:p>
            <w:pPr>
              <w:spacing w:line="276" w:lineRule="auto" w:before="0" w:after="0"/>
            </w:pPr>
            <w:r/>
            <w:r>
              <w:rPr>
                <w:rFonts w:ascii="Figtree" w:hAnsi="Figtree"/>
                <w:b w:val="0"/>
                <w:i w:val="0"/>
                <w:sz w:val="20"/>
              </w:rPr>
              <w:t>Asset Designer</w:t>
            </w:r>
          </w:p>
        </w:tc>
        <w:tc>
          <w:tcPr>
            <w:tcW w:type="dxa" w:w="2436"/>
            <w:vAlign w:val="center"/>
          </w:tcPr>
          <w:p>
            <w:pPr>
              <w:spacing w:line="276" w:lineRule="auto" w:before="0" w:after="0"/>
            </w:pPr>
            <w:r/>
            <w:r>
              <w:rPr>
                <w:rFonts w:ascii="Figtree" w:hAnsi="Figtree"/>
                <w:b w:val="0"/>
                <w:i w:val="0"/>
                <w:sz w:val="20"/>
              </w:rPr>
              <w:t>Wizard-guided</w:t>
            </w:r>
          </w:p>
        </w:tc>
      </w:tr>
      <w:tr>
        <w:trPr>
          <w:trHeight w:val="425" w:hRule="atLeast"/>
        </w:trPr>
        <w:tc>
          <w:tcPr>
            <w:tcW w:type="dxa" w:w="2436"/>
            <w:vAlign w:val="center"/>
          </w:tcPr>
          <w:p>
            <w:pPr>
              <w:spacing w:line="276" w:lineRule="auto" w:before="0" w:after="0"/>
            </w:pPr>
            <w:r/>
            <w:r>
              <w:rPr>
                <w:rFonts w:ascii="Figtree" w:hAnsi="Figtree"/>
                <w:b w:val="0"/>
                <w:i w:val="0"/>
                <w:sz w:val="20"/>
              </w:rPr>
              <w:t>Create</w:t>
            </w:r>
          </w:p>
        </w:tc>
        <w:tc>
          <w:tcPr>
            <w:tcW w:type="dxa" w:w="2436"/>
            <w:vAlign w:val="center"/>
          </w:tcPr>
          <w:p>
            <w:pPr>
              <w:spacing w:line="276" w:lineRule="auto" w:before="0" w:after="0"/>
            </w:pPr>
            <w:r/>
            <w:r>
              <w:rPr>
                <w:rFonts w:ascii="Figtree" w:hAnsi="Figtree"/>
                <w:b w:val="0"/>
                <w:i w:val="0"/>
                <w:sz w:val="20"/>
              </w:rPr>
              <w:t>Deploy deposit token contract</w:t>
            </w:r>
          </w:p>
        </w:tc>
        <w:tc>
          <w:tcPr>
            <w:tcW w:type="dxa" w:w="2436"/>
            <w:vAlign w:val="center"/>
          </w:tcPr>
          <w:p>
            <w:pPr>
              <w:spacing w:line="276" w:lineRule="auto" w:before="0" w:after="0"/>
            </w:pPr>
            <w:r/>
            <w:r>
              <w:rPr>
                <w:rFonts w:ascii="Figtree" w:hAnsi="Figtree"/>
                <w:b w:val="0"/>
                <w:i w:val="0"/>
                <w:sz w:val="20"/>
              </w:rPr>
              <w:t>Factory pattern (CREATE2)</w:t>
            </w:r>
          </w:p>
        </w:tc>
        <w:tc>
          <w:tcPr>
            <w:tcW w:type="dxa" w:w="2436"/>
            <w:vAlign w:val="center"/>
          </w:tcPr>
          <w:p>
            <w:pPr>
              <w:spacing w:line="276" w:lineRule="auto" w:before="0" w:after="0"/>
            </w:pPr>
            <w:r/>
            <w:r>
              <w:rPr>
                <w:rFonts w:ascii="Figtree" w:hAnsi="Figtree"/>
                <w:b w:val="0"/>
                <w:i w:val="0"/>
                <w:sz w:val="20"/>
              </w:rPr>
              <w:t>Deterministic addressing</w:t>
            </w:r>
          </w:p>
        </w:tc>
      </w:tr>
      <w:tr>
        <w:trPr>
          <w:trHeight w:val="425" w:hRule="atLeast"/>
        </w:trPr>
        <w:tc>
          <w:tcPr>
            <w:tcW w:type="dxa" w:w="2436"/>
            <w:vAlign w:val="center"/>
          </w:tcPr>
          <w:p>
            <w:pPr>
              <w:spacing w:line="276" w:lineRule="auto" w:before="0" w:after="0"/>
            </w:pPr>
            <w:r/>
            <w:r>
              <w:rPr>
                <w:rFonts w:ascii="Figtree" w:hAnsi="Figtree"/>
                <w:b w:val="0"/>
                <w:i w:val="0"/>
                <w:sz w:val="20"/>
              </w:rPr>
              <w:t>Issue</w:t>
            </w:r>
          </w:p>
        </w:tc>
        <w:tc>
          <w:tcPr>
            <w:tcW w:type="dxa" w:w="2436"/>
            <w:vAlign w:val="center"/>
          </w:tcPr>
          <w:p>
            <w:pPr>
              <w:spacing w:line="276" w:lineRule="auto" w:before="0" w:after="0"/>
            </w:pPr>
            <w:r/>
            <w:r>
              <w:rPr>
                <w:rFonts w:ascii="Figtree" w:hAnsi="Figtree"/>
                <w:b w:val="0"/>
                <w:i w:val="0"/>
                <w:sz w:val="20"/>
              </w:rPr>
              <w:t>Mint tokens to represent deposits</w:t>
            </w:r>
          </w:p>
        </w:tc>
        <w:tc>
          <w:tcPr>
            <w:tcW w:type="dxa" w:w="2436"/>
            <w:vAlign w:val="center"/>
          </w:tcPr>
          <w:p>
            <w:pPr>
              <w:spacing w:line="276" w:lineRule="auto" w:before="0" w:after="0"/>
            </w:pPr>
            <w:r/>
            <w:r>
              <w:rPr>
                <w:rFonts w:ascii="Figtree" w:hAnsi="Figtree"/>
                <w:b w:val="0"/>
                <w:i w:val="0"/>
                <w:sz w:val="20"/>
              </w:rPr>
              <w:t>Mint operation + compliance</w:t>
            </w:r>
          </w:p>
        </w:tc>
        <w:tc>
          <w:tcPr>
            <w:tcW w:type="dxa" w:w="2436"/>
            <w:vAlign w:val="center"/>
          </w:tcPr>
          <w:p>
            <w:pPr>
              <w:spacing w:line="276" w:lineRule="auto" w:before="0" w:after="0"/>
            </w:pPr>
            <w:r/>
            <w:r>
              <w:rPr>
                <w:rFonts w:ascii="Figtree" w:hAnsi="Figtree"/>
                <w:b w:val="0"/>
                <w:i w:val="0"/>
                <w:sz w:val="20"/>
              </w:rPr>
              <w:t>Automated with approval</w:t>
            </w:r>
          </w:p>
        </w:tc>
      </w:tr>
      <w:tr>
        <w:trPr>
          <w:trHeight w:val="425" w:hRule="atLeast"/>
        </w:trPr>
        <w:tc>
          <w:tcPr>
            <w:tcW w:type="dxa" w:w="2436"/>
            <w:vAlign w:val="center"/>
          </w:tcPr>
          <w:p>
            <w:pPr>
              <w:spacing w:line="276" w:lineRule="auto" w:before="0" w:after="0"/>
            </w:pPr>
            <w:r/>
            <w:r>
              <w:rPr>
                <w:rFonts w:ascii="Figtree" w:hAnsi="Figtree"/>
                <w:b w:val="0"/>
                <w:i w:val="0"/>
                <w:sz w:val="20"/>
              </w:rPr>
              <w:t>Distribute</w:t>
            </w:r>
          </w:p>
        </w:tc>
        <w:tc>
          <w:tcPr>
            <w:tcW w:type="dxa" w:w="2436"/>
            <w:vAlign w:val="center"/>
          </w:tcPr>
          <w:p>
            <w:pPr>
              <w:spacing w:line="276" w:lineRule="auto" w:before="0" w:after="0"/>
            </w:pPr>
            <w:r/>
            <w:r>
              <w:rPr>
                <w:rFonts w:ascii="Figtree" w:hAnsi="Figtree"/>
                <w:b w:val="0"/>
                <w:i w:val="0"/>
                <w:sz w:val="20"/>
              </w:rPr>
              <w:t>Transfer to institutional investors</w:t>
            </w:r>
          </w:p>
        </w:tc>
        <w:tc>
          <w:tcPr>
            <w:tcW w:type="dxa" w:w="2436"/>
            <w:vAlign w:val="center"/>
          </w:tcPr>
          <w:p>
            <w:pPr>
              <w:spacing w:line="276" w:lineRule="auto" w:before="0" w:after="0"/>
            </w:pPr>
            <w:r/>
            <w:r>
              <w:rPr>
                <w:rFonts w:ascii="Figtree" w:hAnsi="Figtree"/>
                <w:b w:val="0"/>
                <w:i w:val="0"/>
                <w:sz w:val="20"/>
              </w:rPr>
              <w:t>XvP settlement (atomic DvP)</w:t>
            </w:r>
          </w:p>
        </w:tc>
        <w:tc>
          <w:tcPr>
            <w:tcW w:type="dxa" w:w="2436"/>
            <w:vAlign w:val="center"/>
          </w:tcPr>
          <w:p>
            <w:pPr>
              <w:spacing w:line="276" w:lineRule="auto" w:before="0" w:after="0"/>
            </w:pPr>
            <w:r/>
            <w:r>
              <w:rPr>
                <w:rFonts w:ascii="Figtree" w:hAnsi="Figtree"/>
                <w:b w:val="0"/>
                <w:i w:val="0"/>
                <w:sz w:val="20"/>
              </w:rPr>
              <w:t>Automated</w:t>
            </w:r>
          </w:p>
        </w:tc>
      </w:tr>
      <w:tr>
        <w:trPr>
          <w:trHeight w:val="425" w:hRule="atLeast"/>
        </w:trPr>
        <w:tc>
          <w:tcPr>
            <w:tcW w:type="dxa" w:w="2436"/>
            <w:vAlign w:val="center"/>
          </w:tcPr>
          <w:p>
            <w:pPr>
              <w:spacing w:line="276" w:lineRule="auto" w:before="0" w:after="0"/>
            </w:pPr>
            <w:r/>
            <w:r>
              <w:rPr>
                <w:rFonts w:ascii="Figtree" w:hAnsi="Figtree"/>
                <w:b w:val="0"/>
                <w:i w:val="0"/>
                <w:sz w:val="20"/>
              </w:rPr>
              <w:t>Service</w:t>
            </w:r>
          </w:p>
        </w:tc>
        <w:tc>
          <w:tcPr>
            <w:tcW w:type="dxa" w:w="2436"/>
            <w:vAlign w:val="center"/>
          </w:tcPr>
          <w:p>
            <w:pPr>
              <w:spacing w:line="276" w:lineRule="auto" w:before="0" w:after="0"/>
            </w:pPr>
            <w:r/>
            <w:r>
              <w:rPr>
                <w:rFonts w:ascii="Figtree" w:hAnsi="Figtree"/>
                <w:b w:val="0"/>
                <w:i w:val="0"/>
                <w:sz w:val="20"/>
              </w:rPr>
              <w:t>Interest accrual and distribution</w:t>
            </w:r>
          </w:p>
        </w:tc>
        <w:tc>
          <w:tcPr>
            <w:tcW w:type="dxa" w:w="2436"/>
            <w:vAlign w:val="center"/>
          </w:tcPr>
          <w:p>
            <w:pPr>
              <w:spacing w:line="276" w:lineRule="auto" w:before="0" w:after="0"/>
            </w:pPr>
            <w:r/>
            <w:r>
              <w:rPr>
                <w:rFonts w:ascii="Figtree" w:hAnsi="Figtree"/>
                <w:b w:val="0"/>
                <w:i w:val="0"/>
                <w:sz w:val="20"/>
              </w:rPr>
              <w:t>Fixed treasury yield feature</w:t>
            </w:r>
          </w:p>
        </w:tc>
        <w:tc>
          <w:tcPr>
            <w:tcW w:type="dxa" w:w="2436"/>
            <w:vAlign w:val="center"/>
          </w:tcPr>
          <w:p>
            <w:pPr>
              <w:spacing w:line="276" w:lineRule="auto" w:before="0" w:after="0"/>
            </w:pPr>
            <w:r/>
            <w:r>
              <w:rPr>
                <w:rFonts w:ascii="Figtree" w:hAnsi="Figtree"/>
                <w:b w:val="0"/>
                <w:i w:val="0"/>
                <w:sz w:val="20"/>
              </w:rPr>
              <w:t>Automated, periodic</w:t>
            </w:r>
          </w:p>
        </w:tc>
      </w:tr>
      <w:tr>
        <w:trPr>
          <w:trHeight w:val="425" w:hRule="atLeast"/>
        </w:trPr>
        <w:tc>
          <w:tcPr>
            <w:tcW w:type="dxa" w:w="2436"/>
            <w:vAlign w:val="center"/>
          </w:tcPr>
          <w:p>
            <w:pPr>
              <w:spacing w:line="276" w:lineRule="auto" w:before="0" w:after="0"/>
            </w:pPr>
            <w:r/>
            <w:r>
              <w:rPr>
                <w:rFonts w:ascii="Figtree" w:hAnsi="Figtree"/>
                <w:b w:val="0"/>
                <w:i w:val="0"/>
                <w:sz w:val="20"/>
              </w:rPr>
              <w:t>Monitor</w:t>
            </w:r>
          </w:p>
        </w:tc>
        <w:tc>
          <w:tcPr>
            <w:tcW w:type="dxa" w:w="2436"/>
            <w:vAlign w:val="center"/>
          </w:tcPr>
          <w:p>
            <w:pPr>
              <w:spacing w:line="276" w:lineRule="auto" w:before="0" w:after="0"/>
            </w:pPr>
            <w:r/>
            <w:r>
              <w:rPr>
                <w:rFonts w:ascii="Figtree" w:hAnsi="Figtree"/>
                <w:b w:val="0"/>
                <w:i w:val="0"/>
                <w:sz w:val="20"/>
              </w:rPr>
              <w:t>Real-time portfolio and compliance</w:t>
            </w:r>
          </w:p>
        </w:tc>
        <w:tc>
          <w:tcPr>
            <w:tcW w:type="dxa" w:w="2436"/>
            <w:vAlign w:val="center"/>
          </w:tcPr>
          <w:p>
            <w:pPr>
              <w:spacing w:line="276" w:lineRule="auto" w:before="0" w:after="0"/>
            </w:pPr>
            <w:r/>
            <w:r>
              <w:rPr>
                <w:rFonts w:ascii="Figtree" w:hAnsi="Figtree"/>
                <w:b w:val="0"/>
                <w:i w:val="0"/>
                <w:sz w:val="20"/>
              </w:rPr>
              <w:t>Dashboard + GraphQL</w:t>
            </w:r>
          </w:p>
        </w:tc>
        <w:tc>
          <w:tcPr>
            <w:tcW w:type="dxa" w:w="2436"/>
            <w:vAlign w:val="center"/>
          </w:tcPr>
          <w:p>
            <w:pPr>
              <w:spacing w:line="276" w:lineRule="auto" w:before="0" w:after="0"/>
            </w:pPr>
            <w:r/>
            <w:r>
              <w:rPr>
                <w:rFonts w:ascii="Figtree" w:hAnsi="Figtree"/>
                <w:b w:val="0"/>
                <w:i w:val="0"/>
                <w:sz w:val="20"/>
              </w:rPr>
              <w:t>Continuous</w:t>
            </w:r>
          </w:p>
        </w:tc>
      </w:tr>
      <w:tr>
        <w:trPr>
          <w:trHeight w:val="425" w:hRule="atLeast"/>
        </w:trPr>
        <w:tc>
          <w:tcPr>
            <w:tcW w:type="dxa" w:w="2436"/>
            <w:vAlign w:val="center"/>
          </w:tcPr>
          <w:p>
            <w:pPr>
              <w:spacing w:line="276" w:lineRule="auto" w:before="0" w:after="0"/>
            </w:pPr>
            <w:r/>
            <w:r>
              <w:rPr>
                <w:rFonts w:ascii="Figtree" w:hAnsi="Figtree"/>
                <w:b w:val="0"/>
                <w:i w:val="0"/>
                <w:sz w:val="20"/>
              </w:rPr>
              <w:t>Mature</w:t>
            </w:r>
          </w:p>
        </w:tc>
        <w:tc>
          <w:tcPr>
            <w:tcW w:type="dxa" w:w="2436"/>
            <w:vAlign w:val="center"/>
          </w:tcPr>
          <w:p>
            <w:pPr>
              <w:spacing w:line="276" w:lineRule="auto" w:before="0" w:after="0"/>
            </w:pPr>
            <w:r/>
            <w:r>
              <w:rPr>
                <w:rFonts w:ascii="Figtree" w:hAnsi="Figtree"/>
                <w:b w:val="0"/>
                <w:i w:val="0"/>
                <w:sz w:val="20"/>
              </w:rPr>
              <w:t>Redemption at maturity</w:t>
            </w:r>
          </w:p>
        </w:tc>
        <w:tc>
          <w:tcPr>
            <w:tcW w:type="dxa" w:w="2436"/>
            <w:vAlign w:val="center"/>
          </w:tcPr>
          <w:p>
            <w:pPr>
              <w:spacing w:line="276" w:lineRule="auto" w:before="0" w:after="0"/>
            </w:pPr>
            <w:r/>
            <w:r>
              <w:rPr>
                <w:rFonts w:ascii="Figtree" w:hAnsi="Figtree"/>
                <w:b w:val="0"/>
                <w:i w:val="0"/>
                <w:sz w:val="20"/>
              </w:rPr>
              <w:t>Maturity feature</w:t>
            </w:r>
          </w:p>
        </w:tc>
        <w:tc>
          <w:tcPr>
            <w:tcW w:type="dxa" w:w="2436"/>
            <w:vAlign w:val="center"/>
          </w:tcPr>
          <w:p>
            <w:pPr>
              <w:spacing w:line="276" w:lineRule="auto" w:before="0" w:after="0"/>
            </w:pPr>
            <w:r/>
            <w:r>
              <w:rPr>
                <w:rFonts w:ascii="Figtree" w:hAnsi="Figtree"/>
                <w:b w:val="0"/>
                <w:i w:val="0"/>
                <w:sz w:val="20"/>
              </w:rPr>
              <w:t>Automated at date</w:t>
            </w:r>
          </w:p>
        </w:tc>
      </w:tr>
      <w:tr>
        <w:trPr>
          <w:trHeight w:val="425" w:hRule="atLeast"/>
        </w:trPr>
        <w:tc>
          <w:tcPr>
            <w:tcW w:type="dxa" w:w="2436"/>
            <w:vAlign w:val="center"/>
          </w:tcPr>
          <w:p>
            <w:pPr>
              <w:spacing w:line="276" w:lineRule="auto" w:before="0" w:after="0"/>
            </w:pPr>
            <w:r/>
            <w:r>
              <w:rPr>
                <w:rFonts w:ascii="Figtree" w:hAnsi="Figtree"/>
                <w:b w:val="0"/>
                <w:i w:val="0"/>
                <w:sz w:val="20"/>
              </w:rPr>
              <w:t>Retire</w:t>
            </w:r>
          </w:p>
        </w:tc>
        <w:tc>
          <w:tcPr>
            <w:tcW w:type="dxa" w:w="2436"/>
            <w:vAlign w:val="center"/>
          </w:tcPr>
          <w:p>
            <w:pPr>
              <w:spacing w:line="276" w:lineRule="auto" w:before="0" w:after="0"/>
            </w:pPr>
            <w:r/>
            <w:r>
              <w:rPr>
                <w:rFonts w:ascii="Figtree" w:hAnsi="Figtree"/>
                <w:b w:val="0"/>
                <w:i w:val="0"/>
                <w:sz w:val="20"/>
              </w:rPr>
              <w:t>Burn tokens post-redemption</w:t>
            </w:r>
          </w:p>
        </w:tc>
        <w:tc>
          <w:tcPr>
            <w:tcW w:type="dxa" w:w="2436"/>
            <w:vAlign w:val="center"/>
          </w:tcPr>
          <w:p>
            <w:pPr>
              <w:spacing w:line="276" w:lineRule="auto" w:before="0" w:after="0"/>
            </w:pPr>
            <w:r/>
            <w:r>
              <w:rPr>
                <w:rFonts w:ascii="Figtree" w:hAnsi="Figtree"/>
                <w:b w:val="0"/>
                <w:i w:val="0"/>
                <w:sz w:val="20"/>
              </w:rPr>
              <w:t>Burn operation</w:t>
            </w:r>
          </w:p>
        </w:tc>
        <w:tc>
          <w:tcPr>
            <w:tcW w:type="dxa" w:w="2436"/>
            <w:vAlign w:val="center"/>
          </w:tcPr>
          <w:p>
            <w:pPr>
              <w:spacing w:line="276" w:lineRule="auto" w:before="0" w:after="0"/>
            </w:pPr>
            <w:r/>
            <w:r>
              <w:rPr>
                <w:rFonts w:ascii="Figtree" w:hAnsi="Figtree"/>
                <w:b w:val="0"/>
                <w:i w:val="0"/>
                <w:sz w:val="20"/>
              </w:rPr>
              <w:t>Automated</w:t>
            </w:r>
          </w:p>
        </w:tc>
      </w:tr>
    </w:tbl>
    <w:p>
      <w:pPr>
        <w:spacing w:before="0" w:after="0" w:line="120" w:lineRule="exact"/>
      </w:pPr>
    </w:p>
    <w:p>
      <w:pPr>
        <w:pStyle w:val="H3"/>
        <w:numPr>
          <w:ilvl w:val="2"/>
          <w:numId w:val="1"/>
        </w:numPr>
      </w:pPr>
      <w:r>
        <w:t>Trade Finance Lifecycle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60"/>
        <w:gridCol w:w="3628"/>
        <w:gridCol w:w="2881"/>
        <w:gridCol w:w="160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Stage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Operation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Component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Automation</w:t>
            </w:r>
          </w:p>
        </w:tc>
      </w:tr>
      <w:tr>
        <w:trPr>
          <w:trHeight w:val="425" w:hRule="atLeast"/>
        </w:trPr>
        <w:tc>
          <w:tcPr>
            <w:tcW w:type="dxa" w:w="2436"/>
            <w:vAlign w:val="center"/>
          </w:tcPr>
          <w:p>
            <w:pPr>
              <w:spacing w:line="276" w:lineRule="auto" w:before="0" w:after="0"/>
            </w:pPr>
            <w:r/>
            <w:r>
              <w:rPr>
                <w:rFonts w:ascii="Figtree" w:hAnsi="Figtree"/>
                <w:b w:val="0"/>
                <w:i w:val="0"/>
                <w:sz w:val="20"/>
              </w:rPr>
              <w:t>Initiate</w:t>
            </w:r>
          </w:p>
        </w:tc>
        <w:tc>
          <w:tcPr>
            <w:tcW w:type="dxa" w:w="2436"/>
            <w:vAlign w:val="center"/>
          </w:tcPr>
          <w:p>
            <w:pPr>
              <w:spacing w:line="276" w:lineRule="auto" w:before="0" w:after="0"/>
            </w:pPr>
            <w:r/>
            <w:r>
              <w:rPr>
                <w:rFonts w:ascii="Figtree" w:hAnsi="Figtree"/>
                <w:b w:val="0"/>
                <w:i w:val="0"/>
                <w:sz w:val="20"/>
              </w:rPr>
              <w:t>Create trade finance instrument</w:t>
            </w:r>
          </w:p>
        </w:tc>
        <w:tc>
          <w:tcPr>
            <w:tcW w:type="dxa" w:w="2436"/>
            <w:vAlign w:val="center"/>
          </w:tcPr>
          <w:p>
            <w:pPr>
              <w:spacing w:line="276" w:lineRule="auto" w:before="0" w:after="0"/>
            </w:pPr>
            <w:r/>
            <w:r>
              <w:rPr>
                <w:rFonts w:ascii="Figtree" w:hAnsi="Figtree"/>
                <w:b w:val="0"/>
                <w:i w:val="0"/>
                <w:sz w:val="20"/>
              </w:rPr>
              <w:t>DALPAsset configuration</w:t>
            </w:r>
          </w:p>
        </w:tc>
        <w:tc>
          <w:tcPr>
            <w:tcW w:type="dxa" w:w="2436"/>
            <w:vAlign w:val="center"/>
          </w:tcPr>
          <w:p>
            <w:pPr>
              <w:spacing w:line="276" w:lineRule="auto" w:before="0" w:after="0"/>
            </w:pPr>
            <w:r/>
            <w:r>
              <w:rPr>
                <w:rFonts w:ascii="Figtree" w:hAnsi="Figtree"/>
                <w:b w:val="0"/>
                <w:i w:val="0"/>
                <w:sz w:val="20"/>
              </w:rPr>
              <w:t>API or wizard</w:t>
            </w:r>
          </w:p>
        </w:tc>
      </w:tr>
      <w:tr>
        <w:trPr>
          <w:trHeight w:val="425" w:hRule="atLeast"/>
        </w:trPr>
        <w:tc>
          <w:tcPr>
            <w:tcW w:type="dxa" w:w="2436"/>
            <w:vAlign w:val="center"/>
          </w:tcPr>
          <w:p>
            <w:pPr>
              <w:spacing w:line="276" w:lineRule="auto" w:before="0" w:after="0"/>
            </w:pPr>
            <w:r/>
            <w:r>
              <w:rPr>
                <w:rFonts w:ascii="Figtree" w:hAnsi="Figtree"/>
                <w:b w:val="0"/>
                <w:i w:val="0"/>
                <w:sz w:val="20"/>
              </w:rPr>
              <w:t>Document</w:t>
            </w:r>
          </w:p>
        </w:tc>
        <w:tc>
          <w:tcPr>
            <w:tcW w:type="dxa" w:w="2436"/>
            <w:vAlign w:val="center"/>
          </w:tcPr>
          <w:p>
            <w:pPr>
              <w:spacing w:line="276" w:lineRule="auto" w:before="0" w:after="0"/>
            </w:pPr>
            <w:r/>
            <w:r>
              <w:rPr>
                <w:rFonts w:ascii="Figtree" w:hAnsi="Figtree"/>
                <w:b w:val="0"/>
                <w:i w:val="0"/>
                <w:sz w:val="20"/>
              </w:rPr>
              <w:t>Link trade documents</w:t>
            </w:r>
          </w:p>
        </w:tc>
        <w:tc>
          <w:tcPr>
            <w:tcW w:type="dxa" w:w="2436"/>
            <w:vAlign w:val="center"/>
          </w:tcPr>
          <w:p>
            <w:pPr>
              <w:spacing w:line="276" w:lineRule="auto" w:before="0" w:after="0"/>
            </w:pPr>
            <w:r/>
            <w:r>
              <w:rPr>
                <w:rFonts w:ascii="Figtree" w:hAnsi="Figtree"/>
                <w:b w:val="0"/>
                <w:i w:val="0"/>
                <w:sz w:val="20"/>
              </w:rPr>
              <w:t>Metadata + object storage</w:t>
            </w:r>
          </w:p>
        </w:tc>
        <w:tc>
          <w:tcPr>
            <w:tcW w:type="dxa" w:w="2436"/>
            <w:vAlign w:val="center"/>
          </w:tcPr>
          <w:p>
            <w:pPr>
              <w:spacing w:line="276" w:lineRule="auto" w:before="0" w:after="0"/>
            </w:pPr>
            <w:r/>
            <w:r>
              <w:rPr>
                <w:rFonts w:ascii="Figtree" w:hAnsi="Figtree"/>
                <w:b w:val="0"/>
                <w:i w:val="0"/>
                <w:sz w:val="20"/>
              </w:rPr>
              <w:t>API-driven</w:t>
            </w:r>
          </w:p>
        </w:tc>
      </w:tr>
      <w:tr>
        <w:trPr>
          <w:trHeight w:val="425" w:hRule="atLeast"/>
        </w:trPr>
        <w:tc>
          <w:tcPr>
            <w:tcW w:type="dxa" w:w="2436"/>
            <w:vAlign w:val="center"/>
          </w:tcPr>
          <w:p>
            <w:pPr>
              <w:spacing w:line="276" w:lineRule="auto" w:before="0" w:after="0"/>
            </w:pPr>
            <w:r/>
            <w:r>
              <w:rPr>
                <w:rFonts w:ascii="Figtree" w:hAnsi="Figtree"/>
                <w:b w:val="0"/>
                <w:i w:val="0"/>
                <w:sz w:val="20"/>
              </w:rPr>
              <w:t>Verify</w:t>
            </w:r>
          </w:p>
        </w:tc>
        <w:tc>
          <w:tcPr>
            <w:tcW w:type="dxa" w:w="2436"/>
            <w:vAlign w:val="center"/>
          </w:tcPr>
          <w:p>
            <w:pPr>
              <w:spacing w:line="276" w:lineRule="auto" w:before="0" w:after="0"/>
            </w:pPr>
            <w:r/>
            <w:r>
              <w:rPr>
                <w:rFonts w:ascii="Figtree" w:hAnsi="Figtree"/>
                <w:b w:val="0"/>
                <w:i w:val="0"/>
                <w:sz w:val="20"/>
              </w:rPr>
              <w:t>Counterparty document verification</w:t>
            </w:r>
          </w:p>
        </w:tc>
        <w:tc>
          <w:tcPr>
            <w:tcW w:type="dxa" w:w="2436"/>
            <w:vAlign w:val="center"/>
          </w:tcPr>
          <w:p>
            <w:pPr>
              <w:spacing w:line="276" w:lineRule="auto" w:before="0" w:after="0"/>
            </w:pPr>
            <w:r/>
            <w:r>
              <w:rPr>
                <w:rFonts w:ascii="Figtree" w:hAnsi="Figtree"/>
                <w:b w:val="0"/>
                <w:i w:val="0"/>
                <w:sz w:val="20"/>
              </w:rPr>
              <w:t>Transfer approval module</w:t>
            </w:r>
          </w:p>
        </w:tc>
        <w:tc>
          <w:tcPr>
            <w:tcW w:type="dxa" w:w="2436"/>
            <w:vAlign w:val="center"/>
          </w:tcPr>
          <w:p>
            <w:pPr>
              <w:spacing w:line="276" w:lineRule="auto" w:before="0" w:after="0"/>
            </w:pPr>
            <w:r/>
            <w:r>
              <w:rPr>
                <w:rFonts w:ascii="Figtree" w:hAnsi="Figtree"/>
                <w:b w:val="0"/>
                <w:i w:val="0"/>
                <w:sz w:val="20"/>
              </w:rPr>
              <w:t>Multi-party</w:t>
            </w:r>
          </w:p>
        </w:tc>
      </w:tr>
      <w:tr>
        <w:trPr>
          <w:trHeight w:val="425" w:hRule="atLeast"/>
        </w:trPr>
        <w:tc>
          <w:tcPr>
            <w:tcW w:type="dxa" w:w="2436"/>
            <w:vAlign w:val="center"/>
          </w:tcPr>
          <w:p>
            <w:pPr>
              <w:spacing w:line="276" w:lineRule="auto" w:before="0" w:after="0"/>
            </w:pPr>
            <w:r/>
            <w:r>
              <w:rPr>
                <w:rFonts w:ascii="Figtree" w:hAnsi="Figtree"/>
                <w:b w:val="0"/>
                <w:i w:val="0"/>
                <w:sz w:val="20"/>
              </w:rPr>
              <w:t>Milestone</w:t>
            </w:r>
          </w:p>
        </w:tc>
        <w:tc>
          <w:tcPr>
            <w:tcW w:type="dxa" w:w="2436"/>
            <w:vAlign w:val="center"/>
          </w:tcPr>
          <w:p>
            <w:pPr>
              <w:spacing w:line="276" w:lineRule="auto" w:before="0" w:after="0"/>
            </w:pPr>
            <w:r/>
            <w:r>
              <w:rPr>
                <w:rFonts w:ascii="Figtree" w:hAnsi="Figtree"/>
                <w:b w:val="0"/>
                <w:i w:val="0"/>
                <w:sz w:val="20"/>
              </w:rPr>
              <w:t>Record trade milestones</w:t>
            </w:r>
          </w:p>
        </w:tc>
        <w:tc>
          <w:tcPr>
            <w:tcW w:type="dxa" w:w="2436"/>
            <w:vAlign w:val="center"/>
          </w:tcPr>
          <w:p>
            <w:pPr>
              <w:spacing w:line="276" w:lineRule="auto" w:before="0" w:after="0"/>
            </w:pPr>
            <w:r/>
            <w:r>
              <w:rPr>
                <w:rFonts w:ascii="Figtree" w:hAnsi="Figtree"/>
                <w:b w:val="0"/>
                <w:i w:val="0"/>
                <w:sz w:val="20"/>
              </w:rPr>
              <w:t>Durable workflow engine</w:t>
            </w:r>
          </w:p>
        </w:tc>
        <w:tc>
          <w:tcPr>
            <w:tcW w:type="dxa" w:w="2436"/>
            <w:vAlign w:val="center"/>
          </w:tcPr>
          <w:p>
            <w:pPr>
              <w:spacing w:line="276" w:lineRule="auto" w:before="0" w:after="0"/>
            </w:pPr>
            <w:r/>
            <w:r>
              <w:rPr>
                <w:rFonts w:ascii="Figtree" w:hAnsi="Figtree"/>
                <w:b w:val="0"/>
                <w:i w:val="0"/>
                <w:sz w:val="20"/>
              </w:rPr>
              <w:t>Event-driven</w:t>
            </w:r>
          </w:p>
        </w:tc>
      </w:tr>
      <w:tr>
        <w:trPr>
          <w:trHeight w:val="425" w:hRule="atLeast"/>
        </w:trPr>
        <w:tc>
          <w:tcPr>
            <w:tcW w:type="dxa" w:w="2436"/>
            <w:vAlign w:val="center"/>
          </w:tcPr>
          <w:p>
            <w:pPr>
              <w:spacing w:line="276" w:lineRule="auto" w:before="0" w:after="0"/>
            </w:pPr>
            <w:r/>
            <w:r>
              <w:rPr>
                <w:rFonts w:ascii="Figtree" w:hAnsi="Figtree"/>
                <w:b w:val="0"/>
                <w:i w:val="0"/>
                <w:sz w:val="20"/>
              </w:rPr>
              <w:t>Release</w:t>
            </w:r>
          </w:p>
        </w:tc>
        <w:tc>
          <w:tcPr>
            <w:tcW w:type="dxa" w:w="2436"/>
            <w:vAlign w:val="center"/>
          </w:tcPr>
          <w:p>
            <w:pPr>
              <w:spacing w:line="276" w:lineRule="auto" w:before="0" w:after="0"/>
            </w:pPr>
            <w:r/>
            <w:r>
              <w:rPr>
                <w:rFonts w:ascii="Figtree" w:hAnsi="Figtree"/>
                <w:b w:val="0"/>
                <w:i w:val="0"/>
                <w:sz w:val="20"/>
              </w:rPr>
              <w:t>Conditional liquidity release</w:t>
            </w:r>
          </w:p>
        </w:tc>
        <w:tc>
          <w:tcPr>
            <w:tcW w:type="dxa" w:w="2436"/>
            <w:vAlign w:val="center"/>
          </w:tcPr>
          <w:p>
            <w:pPr>
              <w:spacing w:line="276" w:lineRule="auto" w:before="0" w:after="0"/>
            </w:pPr>
            <w:r/>
            <w:r>
              <w:rPr>
                <w:rFonts w:ascii="Figtree" w:hAnsi="Figtree"/>
                <w:b w:val="0"/>
                <w:i w:val="0"/>
                <w:sz w:val="20"/>
              </w:rPr>
              <w:t>XvP + compliance check</w:t>
            </w:r>
          </w:p>
        </w:tc>
        <w:tc>
          <w:tcPr>
            <w:tcW w:type="dxa" w:w="2436"/>
            <w:vAlign w:val="center"/>
          </w:tcPr>
          <w:p>
            <w:pPr>
              <w:spacing w:line="276" w:lineRule="auto" w:before="0" w:after="0"/>
            </w:pPr>
            <w:r/>
            <w:r>
              <w:rPr>
                <w:rFonts w:ascii="Figtree" w:hAnsi="Figtree"/>
                <w:b w:val="0"/>
                <w:i w:val="0"/>
                <w:sz w:val="20"/>
              </w:rPr>
              <w:t>Milestone-gated</w:t>
            </w:r>
          </w:p>
        </w:tc>
      </w:tr>
      <w:tr>
        <w:trPr>
          <w:trHeight w:val="425" w:hRule="atLeast"/>
        </w:trPr>
        <w:tc>
          <w:tcPr>
            <w:tcW w:type="dxa" w:w="2436"/>
            <w:vAlign w:val="center"/>
          </w:tcPr>
          <w:p>
            <w:pPr>
              <w:spacing w:line="276" w:lineRule="auto" w:before="0" w:after="0"/>
            </w:pPr>
            <w:r/>
            <w:r>
              <w:rPr>
                <w:rFonts w:ascii="Figtree" w:hAnsi="Figtree"/>
                <w:b w:val="0"/>
                <w:i w:val="0"/>
                <w:sz w:val="20"/>
              </w:rPr>
              <w:t>Reconcile</w:t>
            </w:r>
          </w:p>
        </w:tc>
        <w:tc>
          <w:tcPr>
            <w:tcW w:type="dxa" w:w="2436"/>
            <w:vAlign w:val="center"/>
          </w:tcPr>
          <w:p>
            <w:pPr>
              <w:spacing w:line="276" w:lineRule="auto" w:before="0" w:after="0"/>
            </w:pPr>
            <w:r/>
            <w:r>
              <w:rPr>
                <w:rFonts w:ascii="Figtree" w:hAnsi="Figtree"/>
                <w:b w:val="0"/>
                <w:i w:val="0"/>
                <w:sz w:val="20"/>
              </w:rPr>
              <w:t>Sync to core trade books</w:t>
            </w:r>
          </w:p>
        </w:tc>
        <w:tc>
          <w:tcPr>
            <w:tcW w:type="dxa" w:w="2436"/>
            <w:vAlign w:val="center"/>
          </w:tcPr>
          <w:p>
            <w:pPr>
              <w:spacing w:line="276" w:lineRule="auto" w:before="0" w:after="0"/>
            </w:pPr>
            <w:r/>
            <w:r>
              <w:rPr>
                <w:rFonts w:ascii="Figtree" w:hAnsi="Figtree"/>
                <w:b w:val="0"/>
                <w:i w:val="0"/>
                <w:sz w:val="20"/>
              </w:rPr>
              <w:t>REST API integration</w:t>
            </w:r>
          </w:p>
        </w:tc>
        <w:tc>
          <w:tcPr>
            <w:tcW w:type="dxa" w:w="2436"/>
            <w:vAlign w:val="center"/>
          </w:tcPr>
          <w:p>
            <w:pPr>
              <w:spacing w:line="276" w:lineRule="auto" w:before="0" w:after="0"/>
            </w:pPr>
            <w:r/>
            <w:r>
              <w:rPr>
                <w:rFonts w:ascii="Figtree" w:hAnsi="Figtree"/>
                <w:b w:val="0"/>
                <w:i w:val="0"/>
                <w:sz w:val="20"/>
              </w:rPr>
              <w:t>Webhook-driven</w:t>
            </w:r>
          </w:p>
        </w:tc>
      </w:tr>
      <w:tr>
        <w:trPr>
          <w:trHeight w:val="425" w:hRule="atLeast"/>
        </w:trPr>
        <w:tc>
          <w:tcPr>
            <w:tcW w:type="dxa" w:w="2436"/>
            <w:vAlign w:val="center"/>
          </w:tcPr>
          <w:p>
            <w:pPr>
              <w:spacing w:line="276" w:lineRule="auto" w:before="0" w:after="0"/>
            </w:pPr>
            <w:r/>
            <w:r>
              <w:rPr>
                <w:rFonts w:ascii="Figtree" w:hAnsi="Figtree"/>
                <w:b w:val="0"/>
                <w:i w:val="0"/>
                <w:sz w:val="20"/>
              </w:rPr>
              <w:t>Complete</w:t>
            </w:r>
          </w:p>
        </w:tc>
        <w:tc>
          <w:tcPr>
            <w:tcW w:type="dxa" w:w="2436"/>
            <w:vAlign w:val="center"/>
          </w:tcPr>
          <w:p>
            <w:pPr>
              <w:spacing w:line="276" w:lineRule="auto" w:before="0" w:after="0"/>
            </w:pPr>
            <w:r/>
            <w:r>
              <w:rPr>
                <w:rFonts w:ascii="Figtree" w:hAnsi="Figtree"/>
                <w:b w:val="0"/>
                <w:i w:val="0"/>
                <w:sz w:val="20"/>
              </w:rPr>
              <w:t>Final settlement and close</w:t>
            </w:r>
          </w:p>
        </w:tc>
        <w:tc>
          <w:tcPr>
            <w:tcW w:type="dxa" w:w="2436"/>
            <w:vAlign w:val="center"/>
          </w:tcPr>
          <w:p>
            <w:pPr>
              <w:spacing w:line="276" w:lineRule="auto" w:before="0" w:after="0"/>
            </w:pPr>
            <w:r/>
            <w:r>
              <w:rPr>
                <w:rFonts w:ascii="Figtree" w:hAnsi="Figtree"/>
                <w:b w:val="0"/>
                <w:i w:val="0"/>
                <w:sz w:val="20"/>
              </w:rPr>
              <w:t>Burn + final reconciliation</w:t>
            </w:r>
          </w:p>
        </w:tc>
        <w:tc>
          <w:tcPr>
            <w:tcW w:type="dxa" w:w="2436"/>
            <w:vAlign w:val="center"/>
          </w:tcPr>
          <w:p>
            <w:pPr>
              <w:spacing w:line="276" w:lineRule="auto" w:before="0" w:after="0"/>
            </w:pPr>
            <w:r/>
            <w:r>
              <w:rPr>
                <w:rFonts w:ascii="Figtree" w:hAnsi="Figtree"/>
                <w:b w:val="0"/>
                <w:i w:val="0"/>
                <w:sz w:val="20"/>
              </w:rPr>
              <w:t>Semi-automated</w:t>
            </w:r>
          </w:p>
        </w:tc>
      </w:tr>
    </w:tbl>
    <w:p>
      <w:pPr>
        <w:spacing w:before="0" w:after="0" w:line="120" w:lineRule="exact"/>
      </w:pPr>
    </w:p>
    <w:p>
      <w:r>
        <w:br w:type="page"/>
      </w:r>
    </w:p>
    <w:p>
      <w:pPr>
        <w:pStyle w:val="H2"/>
        <w:numPr>
          <w:ilvl w:val="1"/>
          <w:numId w:val="1"/>
        </w:numPr>
      </w:pPr>
      <w:r>
        <w:t>Security, Resilience, and Operational Assurance</w:t>
      </w:r>
    </w:p>
    <w:p>
      <w:pPr>
        <w:pStyle w:val="H3"/>
        <w:numPr>
          <w:ilvl w:val="2"/>
          <w:numId w:val="1"/>
        </w:numPr>
      </w:pPr>
      <w:r>
        <w:t>Security Model Overview</w:t>
      </w:r>
    </w:p>
    <w:p>
      <w:r>
        <w:rPr>
          <w:rFonts w:ascii="Figtree" w:hAnsi="Figtree"/>
          <w:b w:val="0"/>
          <w:i w:val="0"/>
          <w:sz w:val="22"/>
        </w:rPr>
        <w:t>DALP enforces defense-in-depth across five independent control layers:</w:t>
      </w:r>
    </w:p>
    <w:p>
      <w:pPr>
        <w:jc w:val="center"/>
      </w:pPr>
      <w:r>
        <w:drawing>
          <wp:inline xmlns:a="http://schemas.openxmlformats.org/drawingml/2006/main" xmlns:pic="http://schemas.openxmlformats.org/drawingml/2006/picture">
            <wp:extent cx="2934723" cy="8229600"/>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2934723" cy="8229600"/>
                    </a:xfrm>
                    <a:prstGeom prst="rect"/>
                  </pic:spPr>
                </pic:pic>
              </a:graphicData>
            </a:graphic>
          </wp:inline>
        </w:drawing>
      </w:r>
    </w:p>
    <w:p>
      <w:r>
        <w:rPr>
          <w:rFonts w:ascii="Figtree" w:hAnsi="Figtree"/>
          <w:b/>
          <w:i w:val="0"/>
          <w:sz w:val="22"/>
        </w:rPr>
        <w:t>No single-layer failure grants unauthorized access.</w:t>
      </w:r>
      <w:r>
        <w:rPr>
          <w:rFonts w:ascii="Figtree" w:hAnsi="Figtree"/>
          <w:b w:val="0"/>
          <w:i w:val="0"/>
          <w:sz w:val="22"/>
        </w:rPr>
        <w:t xml:space="preserve"> Even if an attacker compromises a session, they face RBAC enforcement, wallet verification, on-chain compliance checks, and custody provider policies before any digital asset operation can execute.</w:t>
      </w:r>
    </w:p>
    <w:p>
      <w:pPr>
        <w:pStyle w:val="H3"/>
        <w:numPr>
          <w:ilvl w:val="2"/>
          <w:numId w:val="1"/>
        </w:numPr>
      </w:pPr>
      <w:r>
        <w:t>Authentication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09"/>
        <w:gridCol w:w="4005"/>
        <w:gridCol w:w="235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Method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3249"/>
            <w:vAlign w:val="center"/>
          </w:tcPr>
          <w:p>
            <w:pPr>
              <w:spacing w:line="276" w:lineRule="auto" w:before="0" w:after="0"/>
            </w:pPr>
            <w:r/>
            <w:r>
              <w:rPr>
                <w:rFonts w:ascii="Figtree" w:hAnsi="Figtree"/>
                <w:b w:val="0"/>
                <w:i w:val="0"/>
                <w:sz w:val="20"/>
              </w:rPr>
              <w:t>Email and password</w:t>
            </w:r>
          </w:p>
        </w:tc>
        <w:tc>
          <w:tcPr>
            <w:tcW w:type="dxa" w:w="3249"/>
            <w:vAlign w:val="center"/>
          </w:tcPr>
          <w:p>
            <w:pPr>
              <w:spacing w:line="276" w:lineRule="auto" w:before="0" w:after="0"/>
            </w:pPr>
            <w:r/>
            <w:r>
              <w:rPr>
                <w:rFonts w:ascii="Figtree" w:hAnsi="Figtree"/>
                <w:b w:val="0"/>
                <w:i w:val="0"/>
                <w:sz w:val="20"/>
              </w:rPr>
              <w:t>Standard operator access</w:t>
            </w:r>
          </w:p>
        </w:tc>
        <w:tc>
          <w:tcPr>
            <w:tcW w:type="dxa" w:w="3249"/>
            <w:vAlign w:val="center"/>
          </w:tcPr>
          <w:p>
            <w:pPr>
              <w:spacing w:line="276" w:lineRule="auto" w:before="0" w:after="0"/>
            </w:pPr>
            <w:r/>
            <w:r>
              <w:rPr>
                <w:rFonts w:ascii="Figtree" w:hAnsi="Figtree"/>
                <w:b w:val="0"/>
                <w:i w:val="0"/>
                <w:sz w:val="20"/>
              </w:rPr>
              <w:t>Active</w:t>
            </w:r>
          </w:p>
        </w:tc>
      </w:tr>
      <w:tr>
        <w:trPr>
          <w:trHeight w:val="425" w:hRule="atLeast"/>
        </w:trPr>
        <w:tc>
          <w:tcPr>
            <w:tcW w:type="dxa" w:w="3249"/>
            <w:vAlign w:val="center"/>
          </w:tcPr>
          <w:p>
            <w:pPr>
              <w:spacing w:line="276" w:lineRule="auto" w:before="0" w:after="0"/>
            </w:pPr>
            <w:r/>
            <w:r>
              <w:rPr>
                <w:rFonts w:ascii="Figtree" w:hAnsi="Figtree"/>
                <w:b w:val="0"/>
                <w:i w:val="0"/>
                <w:sz w:val="20"/>
              </w:rPr>
              <w:t>Passkeys (WebAuthn)</w:t>
            </w:r>
          </w:p>
        </w:tc>
        <w:tc>
          <w:tcPr>
            <w:tcW w:type="dxa" w:w="3249"/>
            <w:vAlign w:val="center"/>
          </w:tcPr>
          <w:p>
            <w:pPr>
              <w:spacing w:line="276" w:lineRule="auto" w:before="0" w:after="0"/>
            </w:pPr>
            <w:r/>
            <w:r>
              <w:rPr>
                <w:rFonts w:ascii="Figtree" w:hAnsi="Figtree"/>
                <w:b w:val="0"/>
                <w:i w:val="0"/>
                <w:sz w:val="20"/>
              </w:rPr>
              <w:t>Phishing-resistant, biometric</w:t>
            </w:r>
          </w:p>
        </w:tc>
        <w:tc>
          <w:tcPr>
            <w:tcW w:type="dxa" w:w="3249"/>
            <w:vAlign w:val="center"/>
          </w:tcPr>
          <w:p>
            <w:pPr>
              <w:spacing w:line="276" w:lineRule="auto" w:before="0" w:after="0"/>
            </w:pPr>
            <w:r/>
            <w:r>
              <w:rPr>
                <w:rFonts w:ascii="Figtree" w:hAnsi="Figtree"/>
                <w:b w:val="0"/>
                <w:i w:val="0"/>
                <w:sz w:val="20"/>
              </w:rPr>
              <w:t>Active</w:t>
            </w:r>
          </w:p>
        </w:tc>
      </w:tr>
      <w:tr>
        <w:trPr>
          <w:trHeight w:val="425" w:hRule="atLeast"/>
        </w:trPr>
        <w:tc>
          <w:tcPr>
            <w:tcW w:type="dxa" w:w="3249"/>
            <w:vAlign w:val="center"/>
          </w:tcPr>
          <w:p>
            <w:pPr>
              <w:spacing w:line="276" w:lineRule="auto" w:before="0" w:after="0"/>
            </w:pPr>
            <w:r/>
            <w:r>
              <w:rPr>
                <w:rFonts w:ascii="Figtree" w:hAnsi="Figtree"/>
                <w:b w:val="0"/>
                <w:i w:val="0"/>
                <w:sz w:val="20"/>
              </w:rPr>
              <w:t>LDAP / Active Directory</w:t>
            </w:r>
          </w:p>
        </w:tc>
        <w:tc>
          <w:tcPr>
            <w:tcW w:type="dxa" w:w="3249"/>
            <w:vAlign w:val="center"/>
          </w:tcPr>
          <w:p>
            <w:pPr>
              <w:spacing w:line="276" w:lineRule="auto" w:before="0" w:after="0"/>
            </w:pPr>
            <w:r/>
            <w:r>
              <w:rPr>
                <w:rFonts w:ascii="Figtree" w:hAnsi="Figtree"/>
                <w:b w:val="0"/>
                <w:i w:val="0"/>
                <w:sz w:val="20"/>
              </w:rPr>
              <w:t>Corporate directory (Emirates NBD)</w:t>
            </w:r>
          </w:p>
        </w:tc>
        <w:tc>
          <w:tcPr>
            <w:tcW w:type="dxa" w:w="3249"/>
            <w:vAlign w:val="center"/>
          </w:tcPr>
          <w:p>
            <w:pPr>
              <w:spacing w:line="276" w:lineRule="auto" w:before="0" w:after="0"/>
            </w:pPr>
            <w:r/>
            <w:r>
              <w:rPr>
                <w:rFonts w:ascii="Figtree" w:hAnsi="Figtree"/>
                <w:b w:val="0"/>
                <w:i w:val="0"/>
                <w:sz w:val="20"/>
              </w:rPr>
              <w:t>Available via plugin</w:t>
            </w:r>
          </w:p>
        </w:tc>
      </w:tr>
      <w:tr>
        <w:trPr>
          <w:trHeight w:val="425" w:hRule="atLeast"/>
        </w:trPr>
        <w:tc>
          <w:tcPr>
            <w:tcW w:type="dxa" w:w="3249"/>
            <w:vAlign w:val="center"/>
          </w:tcPr>
          <w:p>
            <w:pPr>
              <w:spacing w:line="276" w:lineRule="auto" w:before="0" w:after="0"/>
            </w:pPr>
            <w:r/>
            <w:r>
              <w:rPr>
                <w:rFonts w:ascii="Figtree" w:hAnsi="Figtree"/>
                <w:b w:val="0"/>
                <w:i w:val="0"/>
                <w:sz w:val="20"/>
              </w:rPr>
              <w:t>OAuth 2.0 / OIDC</w:t>
            </w:r>
          </w:p>
        </w:tc>
        <w:tc>
          <w:tcPr>
            <w:tcW w:type="dxa" w:w="3249"/>
            <w:vAlign w:val="center"/>
          </w:tcPr>
          <w:p>
            <w:pPr>
              <w:spacing w:line="276" w:lineRule="auto" w:before="0" w:after="0"/>
            </w:pPr>
            <w:r/>
            <w:r>
              <w:rPr>
                <w:rFonts w:ascii="Figtree" w:hAnsi="Figtree"/>
                <w:b w:val="0"/>
                <w:i w:val="0"/>
                <w:sz w:val="20"/>
              </w:rPr>
              <w:t>Okta, Auth0, Azure AD</w:t>
            </w:r>
          </w:p>
        </w:tc>
        <w:tc>
          <w:tcPr>
            <w:tcW w:type="dxa" w:w="3249"/>
            <w:vAlign w:val="center"/>
          </w:tcPr>
          <w:p>
            <w:pPr>
              <w:spacing w:line="276" w:lineRule="auto" w:before="0" w:after="0"/>
            </w:pPr>
            <w:r/>
            <w:r>
              <w:rPr>
                <w:rFonts w:ascii="Figtree" w:hAnsi="Figtree"/>
                <w:b w:val="0"/>
                <w:i w:val="0"/>
                <w:sz w:val="20"/>
              </w:rPr>
              <w:t>Available via plugin</w:t>
            </w:r>
          </w:p>
        </w:tc>
      </w:tr>
      <w:tr>
        <w:trPr>
          <w:trHeight w:val="425" w:hRule="atLeast"/>
        </w:trPr>
        <w:tc>
          <w:tcPr>
            <w:tcW w:type="dxa" w:w="3249"/>
            <w:vAlign w:val="center"/>
          </w:tcPr>
          <w:p>
            <w:pPr>
              <w:spacing w:line="276" w:lineRule="auto" w:before="0" w:after="0"/>
            </w:pPr>
            <w:r/>
            <w:r>
              <w:rPr>
                <w:rFonts w:ascii="Figtree" w:hAnsi="Figtree"/>
                <w:b w:val="0"/>
                <w:i w:val="0"/>
                <w:sz w:val="20"/>
              </w:rPr>
              <w:t>SAML 2.0</w:t>
            </w:r>
          </w:p>
        </w:tc>
        <w:tc>
          <w:tcPr>
            <w:tcW w:type="dxa" w:w="3249"/>
            <w:vAlign w:val="center"/>
          </w:tcPr>
          <w:p>
            <w:pPr>
              <w:spacing w:line="276" w:lineRule="auto" w:before="0" w:after="0"/>
            </w:pPr>
            <w:r/>
            <w:r>
              <w:rPr>
                <w:rFonts w:ascii="Figtree" w:hAnsi="Figtree"/>
                <w:b w:val="0"/>
                <w:i w:val="0"/>
                <w:sz w:val="20"/>
              </w:rPr>
              <w:t>Legacy enterprise SSO</w:t>
            </w:r>
          </w:p>
        </w:tc>
        <w:tc>
          <w:tcPr>
            <w:tcW w:type="dxa" w:w="3249"/>
            <w:vAlign w:val="center"/>
          </w:tcPr>
          <w:p>
            <w:pPr>
              <w:spacing w:line="276" w:lineRule="auto" w:before="0" w:after="0"/>
            </w:pPr>
            <w:r/>
            <w:r>
              <w:rPr>
                <w:rFonts w:ascii="Figtree" w:hAnsi="Figtree"/>
                <w:b w:val="0"/>
                <w:i w:val="0"/>
                <w:sz w:val="20"/>
              </w:rPr>
              <w:t>Available via plugin</w:t>
            </w:r>
          </w:p>
        </w:tc>
      </w:tr>
    </w:tbl>
    <w:p>
      <w:pPr>
        <w:spacing w:before="0" w:after="0" w:line="120" w:lineRule="exact"/>
      </w:pPr>
    </w:p>
    <w:p>
      <w:r>
        <w:rPr>
          <w:rFonts w:ascii="Figtree" w:hAnsi="Figtree"/>
          <w:b w:val="0"/>
          <w:i w:val="0"/>
          <w:sz w:val="22"/>
        </w:rPr>
        <w:t>Session management uses HTTP-only cookies with Secure flag, SameSite attribute, 7-day expiry with 24-hour refresh, and cookie caching (10-minute max age). Every authentication event is logged with timestamp, method, and result.</w:t>
      </w:r>
    </w:p>
    <w:p>
      <w:pPr>
        <w:pStyle w:val="H3"/>
        <w:numPr>
          <w:ilvl w:val="2"/>
          <w:numId w:val="1"/>
        </w:numPr>
      </w:pPr>
      <w:r>
        <w:t>API Key Security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32"/>
        <w:gridCol w:w="643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Aspect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Format</w:t>
            </w:r>
          </w:p>
        </w:tc>
        <w:tc>
          <w:tcPr>
            <w:tcW w:type="dxa" w:w="4873"/>
            <w:vAlign w:val="center"/>
          </w:tcPr>
          <w:p>
            <w:pPr>
              <w:spacing w:line="276" w:lineRule="auto" w:before="0" w:after="0"/>
            </w:pPr>
            <w:r/>
            <w:r>
              <w:rPr>
                <w:rFonts w:ascii="Figtree" w:hAnsi="Figtree"/>
                <w:b w:val="0"/>
                <w:i w:val="0"/>
                <w:sz w:val="20"/>
              </w:rPr>
              <w:t>"sm</w:t>
            </w:r>
            <w:r>
              <w:rPr>
                <w:rFonts w:ascii="Figtree" w:hAnsi="Figtree"/>
                <w:b w:val="0"/>
                <w:i/>
                <w:sz w:val="20"/>
              </w:rPr>
              <w:t>atk</w:t>
            </w:r>
            <w:r>
              <w:rPr>
                <w:rFonts w:ascii="Figtree" w:hAnsi="Figtree"/>
                <w:b w:val="0"/>
                <w:i w:val="0"/>
                <w:sz w:val="20"/>
              </w:rPr>
              <w:t>" prefix + 16 random characters</w:t>
            </w:r>
          </w:p>
        </w:tc>
      </w:tr>
      <w:tr>
        <w:trPr>
          <w:trHeight w:val="425" w:hRule="atLeast"/>
        </w:trPr>
        <w:tc>
          <w:tcPr>
            <w:tcW w:type="dxa" w:w="4873"/>
            <w:vAlign w:val="center"/>
          </w:tcPr>
          <w:p>
            <w:pPr>
              <w:spacing w:line="276" w:lineRule="auto" w:before="0" w:after="0"/>
            </w:pPr>
            <w:r/>
            <w:r>
              <w:rPr>
                <w:rFonts w:ascii="Figtree" w:hAnsi="Figtree"/>
                <w:b w:val="0"/>
                <w:i w:val="0"/>
                <w:sz w:val="20"/>
              </w:rPr>
              <w:t>Storage</w:t>
            </w:r>
          </w:p>
        </w:tc>
        <w:tc>
          <w:tcPr>
            <w:tcW w:type="dxa" w:w="4873"/>
            <w:vAlign w:val="center"/>
          </w:tcPr>
          <w:p>
            <w:pPr>
              <w:spacing w:line="276" w:lineRule="auto" w:before="0" w:after="0"/>
            </w:pPr>
            <w:r/>
            <w:r>
              <w:rPr>
                <w:rFonts w:ascii="Figtree" w:hAnsi="Figtree"/>
                <w:b w:val="0"/>
                <w:i w:val="0"/>
                <w:sz w:val="20"/>
              </w:rPr>
              <w:t>Hashed in database; cleartext shown once</w:t>
            </w:r>
          </w:p>
        </w:tc>
      </w:tr>
      <w:tr>
        <w:trPr>
          <w:trHeight w:val="425" w:hRule="atLeast"/>
        </w:trPr>
        <w:tc>
          <w:tcPr>
            <w:tcW w:type="dxa" w:w="4873"/>
            <w:vAlign w:val="center"/>
          </w:tcPr>
          <w:p>
            <w:pPr>
              <w:spacing w:line="276" w:lineRule="auto" w:before="0" w:after="0"/>
            </w:pPr>
            <w:r/>
            <w:r>
              <w:rPr>
                <w:rFonts w:ascii="Figtree" w:hAnsi="Figtree"/>
                <w:b w:val="0"/>
                <w:i w:val="0"/>
                <w:sz w:val="20"/>
              </w:rPr>
              <w:t>Scoping</w:t>
            </w:r>
          </w:p>
        </w:tc>
        <w:tc>
          <w:tcPr>
            <w:tcW w:type="dxa" w:w="4873"/>
            <w:vAlign w:val="center"/>
          </w:tcPr>
          <w:p>
            <w:pPr>
              <w:spacing w:line="276" w:lineRule="auto" w:before="0" w:after="0"/>
            </w:pPr>
            <w:r/>
            <w:r>
              <w:rPr>
                <w:rFonts w:ascii="Figtree" w:hAnsi="Figtree"/>
                <w:b w:val="0"/>
                <w:i w:val="0"/>
                <w:sz w:val="20"/>
              </w:rPr>
              <w:t>Per-key permissions, namespace-level</w:t>
            </w:r>
          </w:p>
        </w:tc>
      </w:tr>
      <w:tr>
        <w:trPr>
          <w:trHeight w:val="425" w:hRule="atLeast"/>
        </w:trPr>
        <w:tc>
          <w:tcPr>
            <w:tcW w:type="dxa" w:w="4873"/>
            <w:vAlign w:val="center"/>
          </w:tcPr>
          <w:p>
            <w:pPr>
              <w:spacing w:line="276" w:lineRule="auto" w:before="0" w:after="0"/>
            </w:pPr>
            <w:r/>
            <w:r>
              <w:rPr>
                <w:rFonts w:ascii="Figtree" w:hAnsi="Figtree"/>
                <w:b w:val="0"/>
                <w:i w:val="0"/>
                <w:sz w:val="20"/>
              </w:rPr>
              <w:t>Rate limiting</w:t>
            </w:r>
          </w:p>
        </w:tc>
        <w:tc>
          <w:tcPr>
            <w:tcW w:type="dxa" w:w="4873"/>
            <w:vAlign w:val="center"/>
          </w:tcPr>
          <w:p>
            <w:pPr>
              <w:spacing w:line="276" w:lineRule="auto" w:before="0" w:after="0"/>
            </w:pPr>
            <w:r/>
            <w:r>
              <w:rPr>
                <w:rFonts w:ascii="Figtree" w:hAnsi="Figtree"/>
                <w:b w:val="0"/>
                <w:i w:val="0"/>
                <w:sz w:val="20"/>
              </w:rPr>
              <w:t>10,000 requests per 60-second window</w:t>
            </w:r>
          </w:p>
        </w:tc>
      </w:tr>
      <w:tr>
        <w:trPr>
          <w:trHeight w:val="425" w:hRule="atLeast"/>
        </w:trPr>
        <w:tc>
          <w:tcPr>
            <w:tcW w:type="dxa" w:w="4873"/>
            <w:vAlign w:val="center"/>
          </w:tcPr>
          <w:p>
            <w:pPr>
              <w:spacing w:line="276" w:lineRule="auto" w:before="0" w:after="0"/>
            </w:pPr>
            <w:r/>
            <w:r>
              <w:rPr>
                <w:rFonts w:ascii="Figtree" w:hAnsi="Figtree"/>
                <w:b w:val="0"/>
                <w:i w:val="0"/>
                <w:sz w:val="20"/>
              </w:rPr>
              <w:t>Lifecycle</w:t>
            </w:r>
          </w:p>
        </w:tc>
        <w:tc>
          <w:tcPr>
            <w:tcW w:type="dxa" w:w="4873"/>
            <w:vAlign w:val="center"/>
          </w:tcPr>
          <w:p>
            <w:pPr>
              <w:spacing w:line="276" w:lineRule="auto" w:before="0" w:after="0"/>
            </w:pPr>
            <w:r/>
            <w:r>
              <w:rPr>
                <w:rFonts w:ascii="Figtree" w:hAnsi="Figtree"/>
                <w:b w:val="0"/>
                <w:i w:val="0"/>
                <w:sz w:val="20"/>
              </w:rPr>
              <w:t>Create, rotate, revoke (immediate)</w:t>
            </w:r>
          </w:p>
        </w:tc>
      </w:tr>
    </w:tbl>
    <w:p>
      <w:pPr>
        <w:spacing w:before="0" w:after="0" w:line="120" w:lineRule="exact"/>
      </w:pPr>
    </w:p>
    <w:p>
      <w:pPr>
        <w:pStyle w:val="H3"/>
        <w:numPr>
          <w:ilvl w:val="2"/>
          <w:numId w:val="1"/>
        </w:numPr>
      </w:pPr>
      <w:r>
        <w:t>Key Management</w:t>
      </w:r>
    </w:p>
    <w:p>
      <w:r>
        <w:rPr>
          <w:rFonts w:ascii="Figtree" w:hAnsi="Figtree"/>
          <w:b w:val="0"/>
          <w:i w:val="0"/>
          <w:sz w:val="22"/>
        </w:rPr>
        <w:t>Key Guardian provides tiered key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06"/>
        <w:gridCol w:w="3229"/>
        <w:gridCol w:w="353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Security Level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r>
      <w:tr>
        <w:trPr>
          <w:trHeight w:val="425" w:hRule="atLeast"/>
        </w:trPr>
        <w:tc>
          <w:tcPr>
            <w:tcW w:type="dxa" w:w="3249"/>
            <w:vAlign w:val="center"/>
          </w:tcPr>
          <w:p>
            <w:pPr>
              <w:spacing w:line="276" w:lineRule="auto" w:before="0" w:after="0"/>
            </w:pPr>
            <w:r/>
            <w:r>
              <w:rPr>
                <w:rFonts w:ascii="Figtree" w:hAnsi="Figtree"/>
                <w:b w:val="0"/>
                <w:i w:val="0"/>
                <w:sz w:val="20"/>
              </w:rPr>
              <w:t>Platform signer</w:t>
            </w:r>
          </w:p>
        </w:tc>
        <w:tc>
          <w:tcPr>
            <w:tcW w:type="dxa" w:w="3249"/>
            <w:vAlign w:val="center"/>
          </w:tcPr>
          <w:p>
            <w:pPr>
              <w:spacing w:line="276" w:lineRule="auto" w:before="0" w:after="0"/>
            </w:pPr>
            <w:r/>
            <w:r>
              <w:rPr>
                <w:rFonts w:ascii="Figtree" w:hAnsi="Figtree"/>
                <w:b w:val="0"/>
                <w:i w:val="0"/>
                <w:sz w:val="20"/>
              </w:rPr>
              <w:t>SettleMint-managed</w:t>
            </w:r>
          </w:p>
        </w:tc>
        <w:tc>
          <w:tcPr>
            <w:tcW w:type="dxa" w:w="3249"/>
            <w:vAlign w:val="center"/>
          </w:tcPr>
          <w:p>
            <w:pPr>
              <w:spacing w:line="276" w:lineRule="auto" w:before="0" w:after="0"/>
            </w:pPr>
            <w:r/>
            <w:r>
              <w:rPr>
                <w:rFonts w:ascii="Figtree" w:hAnsi="Figtree"/>
                <w:b w:val="0"/>
                <w:i w:val="0"/>
                <w:sz w:val="20"/>
              </w:rPr>
              <w:t>Development, testing</w:t>
            </w:r>
          </w:p>
        </w:tc>
      </w:tr>
      <w:tr>
        <w:trPr>
          <w:trHeight w:val="425" w:hRule="atLeast"/>
        </w:trPr>
        <w:tc>
          <w:tcPr>
            <w:tcW w:type="dxa" w:w="3249"/>
            <w:vAlign w:val="center"/>
          </w:tcPr>
          <w:p>
            <w:pPr>
              <w:spacing w:line="276" w:lineRule="auto" w:before="0" w:after="0"/>
            </w:pPr>
            <w:r/>
            <w:r>
              <w:rPr>
                <w:rFonts w:ascii="Figtree" w:hAnsi="Figtree"/>
                <w:b w:val="0"/>
                <w:i w:val="0"/>
                <w:sz w:val="20"/>
              </w:rPr>
              <w:t>DFNS</w:t>
            </w:r>
          </w:p>
        </w:tc>
        <w:tc>
          <w:tcPr>
            <w:tcW w:type="dxa" w:w="3249"/>
            <w:vAlign w:val="center"/>
          </w:tcPr>
          <w:p>
            <w:pPr>
              <w:spacing w:line="276" w:lineRule="auto" w:before="0" w:after="0"/>
            </w:pPr>
            <w:r/>
            <w:r>
              <w:rPr>
                <w:rFonts w:ascii="Figtree" w:hAnsi="Figtree"/>
                <w:b w:val="0"/>
                <w:i w:val="0"/>
                <w:sz w:val="20"/>
              </w:rPr>
              <w:t>Institutional custody</w:t>
            </w:r>
          </w:p>
        </w:tc>
        <w:tc>
          <w:tcPr>
            <w:tcW w:type="dxa" w:w="3249"/>
            <w:vAlign w:val="center"/>
          </w:tcPr>
          <w:p>
            <w:pPr>
              <w:spacing w:line="276" w:lineRule="auto" w:before="0" w:after="0"/>
            </w:pPr>
            <w:r/>
            <w:r>
              <w:rPr>
                <w:rFonts w:ascii="Figtree" w:hAnsi="Figtree"/>
                <w:b w:val="0"/>
                <w:i w:val="0"/>
                <w:sz w:val="20"/>
              </w:rPr>
              <w:t>Production with MPC</w:t>
            </w:r>
          </w:p>
        </w:tc>
      </w:tr>
      <w:tr>
        <w:trPr>
          <w:trHeight w:val="425" w:hRule="atLeast"/>
        </w:trPr>
        <w:tc>
          <w:tcPr>
            <w:tcW w:type="dxa" w:w="3249"/>
            <w:vAlign w:val="center"/>
          </w:tcPr>
          <w:p>
            <w:pPr>
              <w:spacing w:line="276" w:lineRule="auto" w:before="0" w:after="0"/>
            </w:pPr>
            <w:r/>
            <w:r>
              <w:rPr>
                <w:rFonts w:ascii="Figtree" w:hAnsi="Figtree"/>
                <w:b w:val="0"/>
                <w:i w:val="0"/>
                <w:sz w:val="20"/>
              </w:rPr>
              <w:t>Fireblocks</w:t>
            </w:r>
          </w:p>
        </w:tc>
        <w:tc>
          <w:tcPr>
            <w:tcW w:type="dxa" w:w="3249"/>
            <w:vAlign w:val="center"/>
          </w:tcPr>
          <w:p>
            <w:pPr>
              <w:spacing w:line="276" w:lineRule="auto" w:before="0" w:after="0"/>
            </w:pPr>
            <w:r/>
            <w:r>
              <w:rPr>
                <w:rFonts w:ascii="Figtree" w:hAnsi="Figtree"/>
                <w:b w:val="0"/>
                <w:i w:val="0"/>
                <w:sz w:val="20"/>
              </w:rPr>
              <w:t>Institutional custody</w:t>
            </w:r>
          </w:p>
        </w:tc>
        <w:tc>
          <w:tcPr>
            <w:tcW w:type="dxa" w:w="3249"/>
            <w:vAlign w:val="center"/>
          </w:tcPr>
          <w:p>
            <w:pPr>
              <w:spacing w:line="276" w:lineRule="auto" w:before="0" w:after="0"/>
            </w:pPr>
            <w:r/>
            <w:r>
              <w:rPr>
                <w:rFonts w:ascii="Figtree" w:hAnsi="Figtree"/>
                <w:b w:val="0"/>
                <w:i w:val="0"/>
                <w:sz w:val="20"/>
              </w:rPr>
              <w:t>Production with MPC/HSM</w:t>
            </w:r>
          </w:p>
        </w:tc>
      </w:tr>
      <w:tr>
        <w:trPr>
          <w:trHeight w:val="425" w:hRule="atLeast"/>
        </w:trPr>
        <w:tc>
          <w:tcPr>
            <w:tcW w:type="dxa" w:w="3249"/>
            <w:vAlign w:val="center"/>
          </w:tcPr>
          <w:p>
            <w:pPr>
              <w:spacing w:line="276" w:lineRule="auto" w:before="0" w:after="0"/>
            </w:pPr>
            <w:r/>
            <w:r>
              <w:rPr>
                <w:rFonts w:ascii="Figtree" w:hAnsi="Figtree"/>
                <w:b w:val="0"/>
                <w:i w:val="0"/>
                <w:sz w:val="20"/>
              </w:rPr>
              <w:t>Local signer</w:t>
            </w:r>
          </w:p>
        </w:tc>
        <w:tc>
          <w:tcPr>
            <w:tcW w:type="dxa" w:w="3249"/>
            <w:vAlign w:val="center"/>
          </w:tcPr>
          <w:p>
            <w:pPr>
              <w:spacing w:line="276" w:lineRule="auto" w:before="0" w:after="0"/>
            </w:pPr>
            <w:r/>
            <w:r>
              <w:rPr>
                <w:rFonts w:ascii="Figtree" w:hAnsi="Figtree"/>
                <w:b w:val="0"/>
                <w:i w:val="0"/>
                <w:sz w:val="20"/>
              </w:rPr>
              <w:t>Self-managed</w:t>
            </w:r>
          </w:p>
        </w:tc>
        <w:tc>
          <w:tcPr>
            <w:tcW w:type="dxa" w:w="3249"/>
            <w:vAlign w:val="center"/>
          </w:tcPr>
          <w:p>
            <w:pPr>
              <w:spacing w:line="276" w:lineRule="auto" w:before="0" w:after="0"/>
            </w:pPr>
            <w:r/>
            <w:r>
              <w:rPr>
                <w:rFonts w:ascii="Figtree" w:hAnsi="Figtree"/>
                <w:b w:val="0"/>
                <w:i w:val="0"/>
                <w:sz w:val="20"/>
              </w:rPr>
              <w:t>Air-gapped environments</w:t>
            </w:r>
          </w:p>
        </w:tc>
      </w:tr>
    </w:tbl>
    <w:p>
      <w:pPr>
        <w:spacing w:before="0" w:after="0" w:line="120" w:lineRule="exact"/>
      </w:pPr>
    </w:p>
    <w:p>
      <w:r>
        <w:rPr>
          <w:rFonts w:ascii="Figtree" w:hAnsi="Figtree"/>
          <w:b w:val="0"/>
          <w:i w:val="0"/>
          <w:sz w:val="22"/>
        </w:rPr>
        <w:t>Maker-checker workflows for key operations, HSM/secret manager integration, and separation of signing authority from operational authority.</w:t>
      </w:r>
    </w:p>
    <w:p>
      <w:pPr>
        <w:pStyle w:val="H3"/>
        <w:numPr>
          <w:ilvl w:val="2"/>
          <w:numId w:val="1"/>
        </w:numPr>
      </w:pPr>
      <w:r>
        <w:t>Certifications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19"/>
        <w:gridCol w:w="1087"/>
        <w:gridCol w:w="596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Certification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r>
      <w:tr>
        <w:trPr>
          <w:trHeight w:val="425" w:hRule="atLeast"/>
        </w:trPr>
        <w:tc>
          <w:tcPr>
            <w:tcW w:type="dxa" w:w="3249"/>
            <w:vAlign w:val="center"/>
          </w:tcPr>
          <w:p>
            <w:pPr>
              <w:spacing w:line="276" w:lineRule="auto" w:before="0" w:after="0"/>
            </w:pPr>
            <w:r/>
            <w:r>
              <w:rPr>
                <w:rFonts w:ascii="Figtree" w:hAnsi="Figtree"/>
                <w:b w:val="0"/>
                <w:i w:val="0"/>
                <w:sz w:val="20"/>
              </w:rPr>
              <w:t>ISO 27001</w:t>
            </w:r>
          </w:p>
        </w:tc>
        <w:tc>
          <w:tcPr>
            <w:tcW w:type="dxa" w:w="3249"/>
            <w:vAlign w:val="center"/>
          </w:tcPr>
          <w:p>
            <w:pPr>
              <w:spacing w:line="276" w:lineRule="auto" w:before="0" w:after="0"/>
            </w:pPr>
            <w:r/>
            <w:r>
              <w:rPr>
                <w:rFonts w:ascii="Figtree" w:hAnsi="Figtree"/>
                <w:b w:val="0"/>
                <w:i w:val="0"/>
                <w:sz w:val="20"/>
              </w:rPr>
              <w:t>Current</w:t>
            </w:r>
          </w:p>
        </w:tc>
        <w:tc>
          <w:tcPr>
            <w:tcW w:type="dxa" w:w="3249"/>
            <w:vAlign w:val="center"/>
          </w:tcPr>
          <w:p>
            <w:pPr>
              <w:spacing w:line="276" w:lineRule="auto" w:before="0" w:after="0"/>
            </w:pPr>
            <w:r/>
            <w:r>
              <w:rPr>
                <w:rFonts w:ascii="Figtree" w:hAnsi="Figtree"/>
                <w:b w:val="0"/>
                <w:i w:val="0"/>
                <w:sz w:val="20"/>
              </w:rPr>
              <w:t>Information security management</w:t>
            </w:r>
          </w:p>
        </w:tc>
      </w:tr>
      <w:tr>
        <w:trPr>
          <w:trHeight w:val="425" w:hRule="atLeast"/>
        </w:trPr>
        <w:tc>
          <w:tcPr>
            <w:tcW w:type="dxa" w:w="3249"/>
            <w:vAlign w:val="center"/>
          </w:tcPr>
          <w:p>
            <w:pPr>
              <w:spacing w:line="276" w:lineRule="auto" w:before="0" w:after="0"/>
            </w:pPr>
            <w:r/>
            <w:r>
              <w:rPr>
                <w:rFonts w:ascii="Figtree" w:hAnsi="Figtree"/>
                <w:b w:val="0"/>
                <w:i w:val="0"/>
                <w:sz w:val="20"/>
              </w:rPr>
              <w:t>SOC 2 Type II</w:t>
            </w:r>
          </w:p>
        </w:tc>
        <w:tc>
          <w:tcPr>
            <w:tcW w:type="dxa" w:w="3249"/>
            <w:vAlign w:val="center"/>
          </w:tcPr>
          <w:p>
            <w:pPr>
              <w:spacing w:line="276" w:lineRule="auto" w:before="0" w:after="0"/>
            </w:pPr>
            <w:r/>
            <w:r>
              <w:rPr>
                <w:rFonts w:ascii="Figtree" w:hAnsi="Figtree"/>
                <w:b w:val="0"/>
                <w:i w:val="0"/>
                <w:sz w:val="20"/>
              </w:rPr>
              <w:t>Current</w:t>
            </w:r>
          </w:p>
        </w:tc>
        <w:tc>
          <w:tcPr>
            <w:tcW w:type="dxa" w:w="3249"/>
            <w:vAlign w:val="center"/>
          </w:tcPr>
          <w:p>
            <w:pPr>
              <w:spacing w:line="276" w:lineRule="auto" w:before="0" w:after="0"/>
            </w:pPr>
            <w:r/>
            <w:r>
              <w:rPr>
                <w:rFonts w:ascii="Figtree" w:hAnsi="Figtree"/>
                <w:b w:val="0"/>
                <w:i w:val="0"/>
                <w:sz w:val="20"/>
              </w:rPr>
              <w:t>Security, availability, processing integrity</w:t>
            </w:r>
          </w:p>
        </w:tc>
      </w:tr>
    </w:tbl>
    <w:p>
      <w:pPr>
        <w:spacing w:before="0" w:after="0" w:line="120" w:lineRule="exact"/>
      </w:pPr>
    </w:p>
    <w:p>
      <w:pPr>
        <w:pStyle w:val="H3"/>
        <w:numPr>
          <w:ilvl w:val="2"/>
          <w:numId w:val="1"/>
        </w:numPr>
      </w:pPr>
      <w:r>
        <w:t>Data Protection</w:t>
      </w:r>
    </w:p>
    <w:p>
      <w:pPr>
        <w:pStyle w:val="ListParagraph"/>
        <w:numPr>
          <w:ilvl w:val="0"/>
          <w:numId w:val="4"/>
        </w:numPr>
      </w:pPr>
      <w:r>
        <w:rPr>
          <w:rFonts w:ascii="Figtree" w:hAnsi="Figtree"/>
          <w:b/>
          <w:i w:val="0"/>
          <w:sz w:val="22"/>
        </w:rPr>
        <w:t>At rest:</w:t>
      </w:r>
      <w:r>
        <w:rPr>
          <w:rFonts w:ascii="Figtree" w:hAnsi="Figtree"/>
          <w:b w:val="0"/>
          <w:i w:val="0"/>
          <w:sz w:val="22"/>
        </w:rPr>
        <w:t xml:space="preserve"> AES-256 encryption for all persistent data stores</w:t>
      </w:r>
    </w:p>
    <w:p>
      <w:pPr>
        <w:pStyle w:val="ListParagraph"/>
        <w:numPr>
          <w:ilvl w:val="0"/>
          <w:numId w:val="4"/>
        </w:numPr>
      </w:pPr>
      <w:r>
        <w:rPr>
          <w:rFonts w:ascii="Figtree" w:hAnsi="Figtree"/>
          <w:b/>
          <w:i w:val="0"/>
          <w:sz w:val="22"/>
        </w:rPr>
        <w:t>In transit:</w:t>
      </w:r>
      <w:r>
        <w:rPr>
          <w:rFonts w:ascii="Figtree" w:hAnsi="Figtree"/>
          <w:b w:val="0"/>
          <w:i w:val="0"/>
          <w:sz w:val="22"/>
        </w:rPr>
        <w:t xml:space="preserve"> TLS 1.3 for all network communication</w:t>
      </w:r>
    </w:p>
    <w:p>
      <w:pPr>
        <w:pStyle w:val="ListParagraph"/>
        <w:numPr>
          <w:ilvl w:val="0"/>
          <w:numId w:val="4"/>
        </w:numPr>
      </w:pPr>
      <w:r>
        <w:rPr>
          <w:rFonts w:ascii="Figtree" w:hAnsi="Figtree"/>
          <w:b/>
          <w:i w:val="0"/>
          <w:sz w:val="22"/>
        </w:rPr>
        <w:t>Secrets:</w:t>
      </w:r>
      <w:r>
        <w:rPr>
          <w:rFonts w:ascii="Figtree" w:hAnsi="Figtree"/>
          <w:b w:val="0"/>
          <w:i w:val="0"/>
          <w:sz w:val="22"/>
        </w:rPr>
        <w:t xml:space="preserve"> Dedicated secret manager integration (AWS Secrets Manager, Azure Key Vault, HashiCorp Vault)</w:t>
      </w:r>
    </w:p>
    <w:p>
      <w:pPr>
        <w:pStyle w:val="ListParagraph"/>
        <w:numPr>
          <w:ilvl w:val="0"/>
          <w:numId w:val="4"/>
        </w:numPr>
      </w:pPr>
      <w:r>
        <w:rPr>
          <w:rFonts w:ascii="Figtree" w:hAnsi="Figtree"/>
          <w:b/>
          <w:i w:val="0"/>
          <w:sz w:val="22"/>
        </w:rPr>
        <w:t>Data residency:</w:t>
      </w:r>
      <w:r>
        <w:rPr>
          <w:rFonts w:ascii="Figtree" w:hAnsi="Figtree"/>
          <w:b w:val="0"/>
          <w:i w:val="0"/>
          <w:sz w:val="22"/>
        </w:rPr>
        <w:t xml:space="preserve"> UAE-resident infrastructure ensures data remains within regulatory jurisdiction</w:t>
      </w:r>
    </w:p>
    <w:p>
      <w:pPr>
        <w:pStyle w:val="H3"/>
        <w:numPr>
          <w:ilvl w:val="2"/>
          <w:numId w:val="1"/>
        </w:numPr>
      </w:pPr>
      <w:r>
        <w:t>Availability and DR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92"/>
        <w:gridCol w:w="657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Aspect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r>
      <w:tr>
        <w:trPr>
          <w:trHeight w:val="425" w:hRule="atLeast"/>
        </w:trPr>
        <w:tc>
          <w:tcPr>
            <w:tcW w:type="dxa" w:w="4873"/>
            <w:vAlign w:val="center"/>
          </w:tcPr>
          <w:p>
            <w:pPr>
              <w:spacing w:line="276" w:lineRule="auto" w:before="0" w:after="0"/>
            </w:pPr>
            <w:r/>
            <w:r>
              <w:rPr>
                <w:rFonts w:ascii="Figtree" w:hAnsi="Figtree"/>
                <w:b w:val="0"/>
                <w:i w:val="0"/>
                <w:sz w:val="20"/>
              </w:rPr>
              <w:t>Uptime SLA (Premium)</w:t>
            </w:r>
          </w:p>
        </w:tc>
        <w:tc>
          <w:tcPr>
            <w:tcW w:type="dxa" w:w="4873"/>
            <w:vAlign w:val="center"/>
          </w:tcPr>
          <w:p>
            <w:pPr>
              <w:spacing w:line="276" w:lineRule="auto" w:before="0" w:after="0"/>
            </w:pPr>
            <w:r/>
            <w:r>
              <w:rPr>
                <w:rFonts w:ascii="Figtree" w:hAnsi="Figtree"/>
                <w:b w:val="0"/>
                <w:i w:val="0"/>
                <w:sz w:val="20"/>
              </w:rPr>
              <w:t>99.95% monthly</w:t>
            </w:r>
          </w:p>
        </w:tc>
      </w:tr>
      <w:tr>
        <w:trPr>
          <w:trHeight w:val="425" w:hRule="atLeast"/>
        </w:trPr>
        <w:tc>
          <w:tcPr>
            <w:tcW w:type="dxa" w:w="4873"/>
            <w:vAlign w:val="center"/>
          </w:tcPr>
          <w:p>
            <w:pPr>
              <w:spacing w:line="276" w:lineRule="auto" w:before="0" w:after="0"/>
            </w:pPr>
            <w:r/>
            <w:r>
              <w:rPr>
                <w:rFonts w:ascii="Figtree" w:hAnsi="Figtree"/>
                <w:b w:val="0"/>
                <w:i w:val="0"/>
                <w:sz w:val="20"/>
              </w:rPr>
              <w:t>RTO</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RPO</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Backup frequency</w:t>
            </w:r>
          </w:p>
        </w:tc>
        <w:tc>
          <w:tcPr>
            <w:tcW w:type="dxa" w:w="4873"/>
            <w:vAlign w:val="center"/>
          </w:tcPr>
          <w:p>
            <w:pPr>
              <w:spacing w:line="276" w:lineRule="auto" w:before="0" w:after="0"/>
            </w:pPr>
            <w:r/>
            <w:r>
              <w:rPr>
                <w:rFonts w:ascii="Figtree" w:hAnsi="Figtree"/>
                <w:b w:val="0"/>
                <w:i w:val="0"/>
                <w:sz w:val="20"/>
              </w:rPr>
              <w:t>Continuous for blockchain state; hourly for application state</w:t>
            </w:r>
          </w:p>
        </w:tc>
      </w:tr>
      <w:tr>
        <w:trPr>
          <w:trHeight w:val="425" w:hRule="atLeast"/>
        </w:trPr>
        <w:tc>
          <w:tcPr>
            <w:tcW w:type="dxa" w:w="4873"/>
            <w:vAlign w:val="center"/>
          </w:tcPr>
          <w:p>
            <w:pPr>
              <w:spacing w:line="276" w:lineRule="auto" w:before="0" w:after="0"/>
            </w:pPr>
            <w:r/>
            <w:r>
              <w:rPr>
                <w:rFonts w:ascii="Figtree" w:hAnsi="Figtree"/>
                <w:b w:val="0"/>
                <w:i w:val="0"/>
                <w:sz w:val="20"/>
              </w:rPr>
              <w:t>Failover</w:t>
            </w:r>
          </w:p>
        </w:tc>
        <w:tc>
          <w:tcPr>
            <w:tcW w:type="dxa" w:w="4873"/>
            <w:vAlign w:val="center"/>
          </w:tcPr>
          <w:p>
            <w:pPr>
              <w:spacing w:line="276" w:lineRule="auto" w:before="0" w:after="0"/>
            </w:pPr>
            <w:r/>
            <w:r>
              <w:rPr>
                <w:rFonts w:ascii="Figtree" w:hAnsi="Figtree"/>
                <w:b w:val="0"/>
                <w:i w:val="0"/>
                <w:sz w:val="20"/>
              </w:rPr>
              <w:t>Active-passive with automated failover for infrastructure components</w:t>
            </w:r>
          </w:p>
        </w:tc>
      </w:tr>
      <w:tr>
        <w:trPr>
          <w:trHeight w:val="425" w:hRule="atLeast"/>
        </w:trPr>
        <w:tc>
          <w:tcPr>
            <w:tcW w:type="dxa" w:w="4873"/>
            <w:vAlign w:val="center"/>
          </w:tcPr>
          <w:p>
            <w:pPr>
              <w:spacing w:line="276" w:lineRule="auto" w:before="0" w:after="0"/>
            </w:pPr>
            <w:r/>
            <w:r>
              <w:rPr>
                <w:rFonts w:ascii="Figtree" w:hAnsi="Figtree"/>
                <w:b w:val="0"/>
                <w:i w:val="0"/>
                <w:sz w:val="20"/>
              </w:rPr>
              <w:t>Zone distribution</w:t>
            </w:r>
          </w:p>
        </w:tc>
        <w:tc>
          <w:tcPr>
            <w:tcW w:type="dxa" w:w="4873"/>
            <w:vAlign w:val="center"/>
          </w:tcPr>
          <w:p>
            <w:pPr>
              <w:spacing w:line="276" w:lineRule="auto" w:before="0" w:after="0"/>
            </w:pPr>
            <w:r/>
            <w:r>
              <w:rPr>
                <w:rFonts w:ascii="Figtree" w:hAnsi="Figtree"/>
                <w:b w:val="0"/>
                <w:i w:val="0"/>
                <w:sz w:val="20"/>
              </w:rPr>
              <w:t>Multi-AZ deployment within UAE region</w:t>
            </w:r>
          </w:p>
        </w:tc>
      </w:tr>
    </w:tbl>
    <w:p>
      <w:pPr>
        <w:spacing w:before="0" w:after="0" w:line="120" w:lineRule="exact"/>
      </w:pPr>
    </w:p>
    <w:p>
      <w:pPr>
        <w:pStyle w:val="H3"/>
        <w:numPr>
          <w:ilvl w:val="2"/>
          <w:numId w:val="1"/>
        </w:numPr>
      </w:pPr>
      <w:r>
        <w:t>Security 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60"/>
        <w:gridCol w:w="864"/>
        <w:gridCol w:w="1036"/>
        <w:gridCol w:w="501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Emirates NBD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Platform security patches</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Monthly release cycle (Premium)</w:t>
            </w:r>
          </w:p>
        </w:tc>
      </w:tr>
      <w:tr>
        <w:trPr>
          <w:trHeight w:val="425" w:hRule="atLeast"/>
        </w:trPr>
        <w:tc>
          <w:tcPr>
            <w:tcW w:type="dxa" w:w="2436"/>
            <w:vAlign w:val="center"/>
          </w:tcPr>
          <w:p>
            <w:pPr>
              <w:spacing w:line="276" w:lineRule="auto" w:before="0" w:after="0"/>
            </w:pPr>
            <w:r/>
            <w:r>
              <w:rPr>
                <w:rFonts w:ascii="Figtree" w:hAnsi="Figtree"/>
                <w:b w:val="0"/>
                <w:i w:val="0"/>
                <w:sz w:val="20"/>
              </w:rPr>
              <w:t>Infrastructure hardening</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Managed deployment</w:t>
            </w:r>
          </w:p>
        </w:tc>
      </w:tr>
      <w:tr>
        <w:trPr>
          <w:trHeight w:val="425" w:hRule="atLeast"/>
        </w:trPr>
        <w:tc>
          <w:tcPr>
            <w:tcW w:type="dxa" w:w="2436"/>
            <w:vAlign w:val="center"/>
          </w:tcPr>
          <w:p>
            <w:pPr>
              <w:spacing w:line="276" w:lineRule="auto" w:before="0" w:after="0"/>
            </w:pPr>
            <w:r/>
            <w:r>
              <w:rPr>
                <w:rFonts w:ascii="Figtree" w:hAnsi="Figtree"/>
                <w:b w:val="0"/>
                <w:i w:val="0"/>
                <w:sz w:val="20"/>
              </w:rPr>
              <w:t>Network firewall rules</w:t>
            </w:r>
          </w:p>
        </w:tc>
        <w:tc>
          <w:tcPr>
            <w:tcW w:type="dxa" w:w="2436"/>
            <w:vAlign w:val="center"/>
          </w:tcPr>
          <w:p>
            <w:pPr>
              <w:spacing w:line="276" w:lineRule="auto" w:before="0" w:after="0"/>
            </w:pPr>
            <w:r/>
            <w:r>
              <w:rPr>
                <w:rFonts w:ascii="Figtree" w:hAnsi="Figtree"/>
                <w:b w:val="0"/>
                <w:i w:val="0"/>
                <w:sz w:val="20"/>
              </w:rPr>
              <w:t>Shared</w:t>
            </w:r>
          </w:p>
        </w:tc>
        <w:tc>
          <w:tcPr>
            <w:tcW w:type="dxa" w:w="2436"/>
            <w:vAlign w:val="center"/>
          </w:tcPr>
          <w:p>
            <w:pPr>
              <w:spacing w:line="276" w:lineRule="auto" w:before="0" w:after="0"/>
            </w:pPr>
            <w:r/>
            <w:r>
              <w:rPr>
                <w:rFonts w:ascii="Figtree" w:hAnsi="Figtree"/>
                <w:b w:val="0"/>
                <w:i w:val="0"/>
                <w:sz w:val="20"/>
              </w:rPr>
              <w:t>Shared</w:t>
            </w:r>
          </w:p>
        </w:tc>
        <w:tc>
          <w:tcPr>
            <w:tcW w:type="dxa" w:w="2436"/>
            <w:vAlign w:val="center"/>
          </w:tcPr>
          <w:p>
            <w:pPr>
              <w:spacing w:line="276" w:lineRule="auto" w:before="0" w:after="0"/>
            </w:pPr>
            <w:r/>
            <w:r>
              <w:rPr>
                <w:rFonts w:ascii="Figtree" w:hAnsi="Figtree"/>
                <w:b w:val="0"/>
                <w:i w:val="0"/>
                <w:sz w:val="20"/>
              </w:rPr>
              <w:t>SettleMint provides defaults; Emirates NBD customizes</w:t>
            </w:r>
          </w:p>
        </w:tc>
      </w:tr>
      <w:tr>
        <w:trPr>
          <w:trHeight w:val="425" w:hRule="atLeast"/>
        </w:trPr>
        <w:tc>
          <w:tcPr>
            <w:tcW w:type="dxa" w:w="2436"/>
            <w:vAlign w:val="center"/>
          </w:tcPr>
          <w:p>
            <w:pPr>
              <w:spacing w:line="276" w:lineRule="auto" w:before="0" w:after="0"/>
            </w:pPr>
            <w:r/>
            <w:r>
              <w:rPr>
                <w:rFonts w:ascii="Figtree" w:hAnsi="Figtree"/>
                <w:b w:val="0"/>
                <w:i w:val="0"/>
                <w:sz w:val="20"/>
              </w:rPr>
              <w:t>User access management</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Emirates NBD controls RBAC assignments</w:t>
            </w:r>
          </w:p>
        </w:tc>
      </w:tr>
      <w:tr>
        <w:trPr>
          <w:trHeight w:val="425" w:hRule="atLeast"/>
        </w:trPr>
        <w:tc>
          <w:tcPr>
            <w:tcW w:type="dxa" w:w="2436"/>
            <w:vAlign w:val="center"/>
          </w:tcPr>
          <w:p>
            <w:pPr>
              <w:spacing w:line="276" w:lineRule="auto" w:before="0" w:after="0"/>
            </w:pPr>
            <w:r/>
            <w:r>
              <w:rPr>
                <w:rFonts w:ascii="Figtree" w:hAnsi="Figtree"/>
                <w:b w:val="0"/>
                <w:i w:val="0"/>
                <w:sz w:val="20"/>
              </w:rPr>
              <w:t>Compliance module config</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Emirates NBD defines business rules</w:t>
            </w:r>
          </w:p>
        </w:tc>
      </w:tr>
      <w:tr>
        <w:trPr>
          <w:trHeight w:val="425" w:hRule="atLeast"/>
        </w:trPr>
        <w:tc>
          <w:tcPr>
            <w:tcW w:type="dxa" w:w="2436"/>
            <w:vAlign w:val="center"/>
          </w:tcPr>
          <w:p>
            <w:pPr>
              <w:spacing w:line="276" w:lineRule="auto" w:before="0" w:after="0"/>
            </w:pPr>
            <w:r/>
            <w:r>
              <w:rPr>
                <w:rFonts w:ascii="Figtree" w:hAnsi="Figtree"/>
                <w:b w:val="0"/>
                <w:i w:val="0"/>
                <w:sz w:val="20"/>
              </w:rPr>
              <w:t>Custody policy</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Emirates NBD configures custody provider rules</w:t>
            </w:r>
          </w:p>
        </w:tc>
      </w:tr>
      <w:tr>
        <w:trPr>
          <w:trHeight w:val="425" w:hRule="atLeast"/>
        </w:trPr>
        <w:tc>
          <w:tcPr>
            <w:tcW w:type="dxa" w:w="2436"/>
            <w:vAlign w:val="center"/>
          </w:tcPr>
          <w:p>
            <w:pPr>
              <w:spacing w:line="276" w:lineRule="auto" w:before="0" w:after="0"/>
            </w:pPr>
            <w:r/>
            <w:r>
              <w:rPr>
                <w:rFonts w:ascii="Figtree" w:hAnsi="Figtree"/>
                <w:b w:val="0"/>
                <w:i w:val="0"/>
                <w:sz w:val="20"/>
              </w:rPr>
              <w:t>Penetration testing</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Annual third-party testing; results shared</w:t>
            </w:r>
          </w:p>
        </w:tc>
      </w:tr>
      <w:tr>
        <w:trPr>
          <w:trHeight w:val="425" w:hRule="atLeast"/>
        </w:trPr>
        <w:tc>
          <w:tcPr>
            <w:tcW w:type="dxa" w:w="2436"/>
            <w:vAlign w:val="center"/>
          </w:tcPr>
          <w:p>
            <w:pPr>
              <w:spacing w:line="276" w:lineRule="auto" w:before="0" w:after="0"/>
            </w:pPr>
            <w:r/>
            <w:r>
              <w:rPr>
                <w:rFonts w:ascii="Figtree" w:hAnsi="Figtree"/>
                <w:b w:val="0"/>
                <w:i w:val="0"/>
                <w:sz w:val="20"/>
              </w:rPr>
              <w:t>Incident response</w:t>
            </w:r>
          </w:p>
        </w:tc>
        <w:tc>
          <w:tcPr>
            <w:tcW w:type="dxa" w:w="2436"/>
            <w:vAlign w:val="center"/>
          </w:tcPr>
          <w:p>
            <w:pPr>
              <w:spacing w:line="276" w:lineRule="auto" w:before="0" w:after="0"/>
            </w:pPr>
            <w:r/>
            <w:r>
              <w:rPr>
                <w:rFonts w:ascii="Figtree" w:hAnsi="Figtree"/>
                <w:b w:val="0"/>
                <w:i w:val="0"/>
                <w:sz w:val="20"/>
              </w:rPr>
              <w:t>Shared</w:t>
            </w:r>
          </w:p>
        </w:tc>
        <w:tc>
          <w:tcPr>
            <w:tcW w:type="dxa" w:w="2436"/>
            <w:vAlign w:val="center"/>
          </w:tcPr>
          <w:p>
            <w:pPr>
              <w:spacing w:line="276" w:lineRule="auto" w:before="0" w:after="0"/>
            </w:pPr>
            <w:r/>
            <w:r>
              <w:rPr>
                <w:rFonts w:ascii="Figtree" w:hAnsi="Figtree"/>
                <w:b w:val="0"/>
                <w:i w:val="0"/>
                <w:sz w:val="20"/>
              </w:rPr>
              <w:t>Shared</w:t>
            </w:r>
          </w:p>
        </w:tc>
        <w:tc>
          <w:tcPr>
            <w:tcW w:type="dxa" w:w="2436"/>
            <w:vAlign w:val="center"/>
          </w:tcPr>
          <w:p>
            <w:pPr>
              <w:spacing w:line="276" w:lineRule="auto" w:before="0" w:after="0"/>
            </w:pPr>
            <w:r/>
            <w:r>
              <w:rPr>
                <w:rFonts w:ascii="Figtree" w:hAnsi="Figtree"/>
                <w:b w:val="0"/>
                <w:i w:val="0"/>
                <w:sz w:val="20"/>
              </w:rPr>
              <w:t>SettleMint handles platform; Emirates NBD handles business</w:t>
            </w:r>
          </w:p>
        </w:tc>
      </w:tr>
    </w:tbl>
    <w:p>
      <w:pPr>
        <w:spacing w:before="0" w:after="0" w:line="120" w:lineRule="exact"/>
      </w:pPr>
    </w:p>
    <w:p>
      <w:r>
        <w:br w:type="page"/>
      </w:r>
    </w:p>
    <w:p>
      <w:pPr>
        <w:pStyle w:val="H2"/>
        <w:numPr>
          <w:ilvl w:val="1"/>
          <w:numId w:val="1"/>
        </w:numPr>
      </w:pPr>
      <w:r>
        <w:t>Implementation Approach and Delivery Phases</w:t>
      </w:r>
    </w:p>
    <w:p>
      <w:pPr>
        <w:pStyle w:val="H3"/>
        <w:numPr>
          <w:ilvl w:val="2"/>
          <w:numId w:val="1"/>
        </w:numPr>
      </w:pPr>
      <w:r>
        <w:t>Delivery Overview</w:t>
      </w:r>
    </w:p>
    <w:p>
      <w:r>
        <w:rPr>
          <w:rFonts w:ascii="Figtree" w:hAnsi="Figtree"/>
          <w:b w:val="0"/>
          <w:i w:val="0"/>
          <w:sz w:val="22"/>
        </w:rPr>
        <w:t>SettleMint follows a structured, phase-gated implementation methodology refined through production deployments with regulated institutions. The standard implementation spans 19 weeks from kickoff to hypercare completion.</w:t>
      </w:r>
    </w:p>
    <w:p>
      <w:pPr>
        <w:jc w:val="center"/>
      </w:pPr>
      <w:r>
        <w:drawing>
          <wp:inline xmlns:a="http://schemas.openxmlformats.org/drawingml/2006/main" xmlns:pic="http://schemas.openxmlformats.org/drawingml/2006/picture">
            <wp:extent cx="5486400" cy="3219061"/>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3219061"/>
                    </a:xfrm>
                    <a:prstGeom prst="rect"/>
                  </pic:spPr>
                </pic:pic>
              </a:graphicData>
            </a:graphic>
          </wp:inline>
        </w:drawing>
      </w:r>
    </w:p>
    <w:p>
      <w:pPr>
        <w:pStyle w:val="H3"/>
        <w:numPr>
          <w:ilvl w:val="2"/>
          <w:numId w:val="1"/>
        </w:numPr>
      </w:pPr>
      <w:r>
        <w:t>Phase 1: Discovery and Requirements (Weeks 1–2)</w:t>
      </w:r>
    </w:p>
    <w:p>
      <w:r>
        <w:rPr>
          <w:rFonts w:ascii="Figtree" w:hAnsi="Figtree"/>
          <w:b/>
          <w:i w:val="0"/>
          <w:sz w:val="22"/>
        </w:rPr>
        <w:t>Objective:</w:t>
      </w:r>
      <w:r>
        <w:rPr>
          <w:rFonts w:ascii="Figtree" w:hAnsi="Figtree"/>
          <w:b w:val="0"/>
          <w:i w:val="0"/>
          <w:sz w:val="22"/>
        </w:rPr>
        <w:t xml:space="preserve"> Establish validated understanding of Emirates NBD's business objectives, technical landscape, regulatory environment, and operational requirements.</w:t>
      </w:r>
    </w:p>
    <w:p>
      <w:r>
        <w:rPr>
          <w:rFonts w:ascii="Figtree" w:hAnsi="Figtree"/>
          <w:b/>
          <w:i w:val="0"/>
          <w:sz w:val="22"/>
        </w:rPr>
        <w:t>Activities:</w:t>
      </w:r>
    </w:p>
    <w:p>
      <w:pPr>
        <w:pStyle w:val="ListParagraph"/>
        <w:numPr>
          <w:ilvl w:val="0"/>
          <w:numId w:val="4"/>
        </w:numPr>
      </w:pPr>
      <w:r>
        <w:rPr>
          <w:rFonts w:ascii="Figtree" w:hAnsi="Figtree"/>
          <w:b w:val="0"/>
          <w:i w:val="0"/>
          <w:sz w:val="22"/>
        </w:rPr>
        <w:t>Stakeholder interviews with business sponsors, technology leadership, compliance/risk officers, trade finance operations, treasury</w:t>
      </w:r>
    </w:p>
    <w:p>
      <w:pPr>
        <w:pStyle w:val="ListParagraph"/>
        <w:numPr>
          <w:ilvl w:val="0"/>
          <w:numId w:val="4"/>
        </w:numPr>
      </w:pPr>
      <w:r>
        <w:rPr>
          <w:rFonts w:ascii="Figtree" w:hAnsi="Figtree"/>
          <w:b w:val="0"/>
          <w:i w:val="0"/>
          <w:sz w:val="22"/>
        </w:rPr>
        <w:t>Current-state assessment of core banking, trade finance back-office, identity management, compliance tooling</w:t>
      </w:r>
    </w:p>
    <w:p>
      <w:pPr>
        <w:pStyle w:val="ListParagraph"/>
        <w:numPr>
          <w:ilvl w:val="0"/>
          <w:numId w:val="4"/>
        </w:numPr>
      </w:pPr>
      <w:r>
        <w:rPr>
          <w:rFonts w:ascii="Figtree" w:hAnsi="Figtree"/>
          <w:b w:val="0"/>
          <w:i w:val="0"/>
          <w:sz w:val="22"/>
        </w:rPr>
        <w:t>Regulatory mapping for CBUAE, DFSA, ADGM, SCA, AML/CFT frameworks</w:t>
      </w:r>
    </w:p>
    <w:p>
      <w:pPr>
        <w:pStyle w:val="ListParagraph"/>
        <w:numPr>
          <w:ilvl w:val="0"/>
          <w:numId w:val="4"/>
        </w:numPr>
      </w:pPr>
      <w:r>
        <w:rPr>
          <w:rFonts w:ascii="Figtree" w:hAnsi="Figtree"/>
          <w:b w:val="0"/>
          <w:i w:val="0"/>
          <w:sz w:val="22"/>
        </w:rPr>
        <w:t>Asset class and lifecycle scoping for deposits and trade finance instruments</w:t>
      </w:r>
    </w:p>
    <w:p>
      <w:pPr>
        <w:pStyle w:val="ListParagraph"/>
        <w:numPr>
          <w:ilvl w:val="0"/>
          <w:numId w:val="4"/>
        </w:numPr>
      </w:pPr>
      <w:r>
        <w:rPr>
          <w:rFonts w:ascii="Figtree" w:hAnsi="Figtree"/>
          <w:b w:val="0"/>
          <w:i w:val="0"/>
          <w:sz w:val="22"/>
        </w:rPr>
        <w:t>Architecture design covering deployment topology, network selection, custody integration model</w:t>
      </w:r>
    </w:p>
    <w:p>
      <w:r>
        <w:rPr>
          <w:rFonts w:ascii="Figtree" w:hAnsi="Figtree"/>
          <w:b/>
          <w:i w:val="0"/>
          <w:sz w:val="22"/>
        </w:rPr>
        <w:t>Deliverables:</w:t>
      </w:r>
    </w:p>
    <w:p>
      <w:pPr>
        <w:pStyle w:val="ListParagraph"/>
        <w:numPr>
          <w:ilvl w:val="0"/>
          <w:numId w:val="4"/>
        </w:numPr>
      </w:pPr>
      <w:r>
        <w:rPr>
          <w:rFonts w:ascii="Figtree" w:hAnsi="Figtree"/>
          <w:b w:val="0"/>
          <w:i w:val="0"/>
          <w:sz w:val="22"/>
        </w:rPr>
        <w:t>Validated requirements document</w:t>
      </w:r>
    </w:p>
    <w:p>
      <w:pPr>
        <w:pStyle w:val="ListParagraph"/>
        <w:numPr>
          <w:ilvl w:val="0"/>
          <w:numId w:val="4"/>
        </w:numPr>
      </w:pPr>
      <w:r>
        <w:rPr>
          <w:rFonts w:ascii="Figtree" w:hAnsi="Figtree"/>
          <w:b w:val="0"/>
          <w:i w:val="0"/>
          <w:sz w:val="22"/>
        </w:rPr>
        <w:t>Target architecture document</w:t>
      </w:r>
    </w:p>
    <w:p>
      <w:pPr>
        <w:pStyle w:val="ListParagraph"/>
        <w:numPr>
          <w:ilvl w:val="0"/>
          <w:numId w:val="4"/>
        </w:numPr>
      </w:pPr>
      <w:r>
        <w:rPr>
          <w:rFonts w:ascii="Figtree" w:hAnsi="Figtree"/>
          <w:b w:val="0"/>
          <w:i w:val="0"/>
          <w:sz w:val="22"/>
        </w:rPr>
        <w:t>Regulatory compliance mapping</w:t>
      </w:r>
    </w:p>
    <w:p>
      <w:pPr>
        <w:pStyle w:val="ListParagraph"/>
        <w:numPr>
          <w:ilvl w:val="0"/>
          <w:numId w:val="4"/>
        </w:numPr>
      </w:pPr>
      <w:r>
        <w:rPr>
          <w:rFonts w:ascii="Figtree" w:hAnsi="Figtree"/>
          <w:b w:val="0"/>
          <w:i w:val="0"/>
          <w:sz w:val="22"/>
        </w:rPr>
        <w:t>Implementation roadmap</w:t>
      </w:r>
    </w:p>
    <w:p>
      <w:pPr>
        <w:pStyle w:val="ListParagraph"/>
        <w:numPr>
          <w:ilvl w:val="0"/>
          <w:numId w:val="4"/>
        </w:numPr>
      </w:pPr>
      <w:r>
        <w:rPr>
          <w:rFonts w:ascii="Figtree" w:hAnsi="Figtree"/>
          <w:b w:val="0"/>
          <w:i w:val="0"/>
          <w:sz w:val="22"/>
        </w:rPr>
        <w:t>RAID register (initial)</w:t>
      </w:r>
    </w:p>
    <w:p>
      <w:r>
        <w:rPr>
          <w:rFonts w:ascii="Figtree" w:hAnsi="Figtree"/>
          <w:b/>
          <w:i w:val="0"/>
          <w:sz w:val="22"/>
        </w:rPr>
        <w:t>Gate 1 criteria:</w:t>
      </w:r>
      <w:r>
        <w:rPr>
          <w:rFonts w:ascii="Figtree" w:hAnsi="Figtree"/>
          <w:b w:val="0"/>
          <w:i w:val="0"/>
          <w:sz w:val="22"/>
        </w:rPr>
        <w:t xml:space="preserve"> Requirements signed off, architecture approved, compliance mapping validated.</w:t>
      </w:r>
    </w:p>
    <w:p>
      <w:pPr>
        <w:pStyle w:val="H3"/>
        <w:numPr>
          <w:ilvl w:val="2"/>
          <w:numId w:val="1"/>
        </w:numPr>
      </w:pPr>
      <w:r>
        <w:t>Phase 2: Foundation and Setup (Weeks 3–5)</w:t>
      </w:r>
    </w:p>
    <w:p>
      <w:r>
        <w:rPr>
          <w:rFonts w:ascii="Figtree" w:hAnsi="Figtree"/>
          <w:b/>
          <w:i w:val="0"/>
          <w:sz w:val="22"/>
        </w:rPr>
        <w:t>Objective:</w:t>
      </w:r>
      <w:r>
        <w:rPr>
          <w:rFonts w:ascii="Figtree" w:hAnsi="Figtree"/>
          <w:b w:val="0"/>
          <w:i w:val="0"/>
          <w:sz w:val="22"/>
        </w:rPr>
        <w:t xml:space="preserve"> Establish functional platform environments ready for configuration.</w:t>
      </w:r>
    </w:p>
    <w:p>
      <w:r>
        <w:rPr>
          <w:rFonts w:ascii="Figtree" w:hAnsi="Figtree"/>
          <w:b/>
          <w:i w:val="0"/>
          <w:sz w:val="22"/>
        </w:rPr>
        <w:t>Activities:</w:t>
      </w:r>
    </w:p>
    <w:p>
      <w:pPr>
        <w:pStyle w:val="ListParagraph"/>
        <w:numPr>
          <w:ilvl w:val="0"/>
          <w:numId w:val="4"/>
        </w:numPr>
      </w:pPr>
      <w:r>
        <w:rPr>
          <w:rFonts w:ascii="Figtree" w:hAnsi="Figtree"/>
          <w:b w:val="0"/>
          <w:i w:val="0"/>
          <w:sz w:val="22"/>
        </w:rPr>
        <w:t>Provision development, UAT, DR, and production environments on UAE-resident infrastructure</w:t>
      </w:r>
    </w:p>
    <w:p>
      <w:pPr>
        <w:pStyle w:val="ListParagraph"/>
        <w:numPr>
          <w:ilvl w:val="0"/>
          <w:numId w:val="4"/>
        </w:numPr>
      </w:pPr>
      <w:r>
        <w:rPr>
          <w:rFonts w:ascii="Figtree" w:hAnsi="Figtree"/>
          <w:b w:val="0"/>
          <w:i w:val="0"/>
          <w:sz w:val="22"/>
        </w:rPr>
        <w:t>Deploy Hyperledger Besu network with IBFT 2.0 consensus (4 validator nodes)</w:t>
      </w:r>
    </w:p>
    <w:p>
      <w:pPr>
        <w:pStyle w:val="ListParagraph"/>
        <w:numPr>
          <w:ilvl w:val="0"/>
          <w:numId w:val="4"/>
        </w:numPr>
      </w:pPr>
      <w:r>
        <w:rPr>
          <w:rFonts w:ascii="Figtree" w:hAnsi="Figtree"/>
          <w:b w:val="0"/>
          <w:i w:val="0"/>
          <w:sz w:val="22"/>
        </w:rPr>
        <w:t>Configure identity framework (OnchainID infrastructure, trusted issuer setup)</w:t>
      </w:r>
    </w:p>
    <w:p>
      <w:pPr>
        <w:pStyle w:val="ListParagraph"/>
        <w:numPr>
          <w:ilvl w:val="0"/>
          <w:numId w:val="4"/>
        </w:numPr>
      </w:pPr>
      <w:r>
        <w:rPr>
          <w:rFonts w:ascii="Figtree" w:hAnsi="Figtree"/>
          <w:b w:val="0"/>
          <w:i w:val="0"/>
          <w:sz w:val="22"/>
        </w:rPr>
        <w:t>Establish custody provider integration (DFNS or Fireblocks — decision during Phase 1)</w:t>
      </w:r>
    </w:p>
    <w:p>
      <w:pPr>
        <w:pStyle w:val="ListParagraph"/>
        <w:numPr>
          <w:ilvl w:val="0"/>
          <w:numId w:val="4"/>
        </w:numPr>
      </w:pPr>
      <w:r>
        <w:rPr>
          <w:rFonts w:ascii="Figtree" w:hAnsi="Figtree"/>
          <w:b w:val="0"/>
          <w:i w:val="0"/>
          <w:sz w:val="22"/>
        </w:rPr>
        <w:t>Set up observability stack (Grafana dashboards, alerting, log aggregation)</w:t>
      </w:r>
    </w:p>
    <w:p>
      <w:r>
        <w:rPr>
          <w:rFonts w:ascii="Figtree" w:hAnsi="Figtree"/>
          <w:b/>
          <w:i w:val="0"/>
          <w:sz w:val="22"/>
        </w:rPr>
        <w:t>Deliverables:</w:t>
      </w:r>
    </w:p>
    <w:p>
      <w:pPr>
        <w:pStyle w:val="ListParagraph"/>
        <w:numPr>
          <w:ilvl w:val="0"/>
          <w:numId w:val="4"/>
        </w:numPr>
      </w:pPr>
      <w:r>
        <w:rPr>
          <w:rFonts w:ascii="Figtree" w:hAnsi="Figtree"/>
          <w:b w:val="0"/>
          <w:i w:val="0"/>
          <w:sz w:val="22"/>
        </w:rPr>
        <w:t>Functional environments (dev, UAT, DR, production)</w:t>
      </w:r>
    </w:p>
    <w:p>
      <w:pPr>
        <w:pStyle w:val="ListParagraph"/>
        <w:numPr>
          <w:ilvl w:val="0"/>
          <w:numId w:val="4"/>
        </w:numPr>
      </w:pPr>
      <w:r>
        <w:rPr>
          <w:rFonts w:ascii="Figtree" w:hAnsi="Figtree"/>
          <w:b w:val="0"/>
          <w:i w:val="0"/>
          <w:sz w:val="22"/>
        </w:rPr>
        <w:t>Network operational with consensus validation</w:t>
      </w:r>
    </w:p>
    <w:p>
      <w:pPr>
        <w:pStyle w:val="ListParagraph"/>
        <w:numPr>
          <w:ilvl w:val="0"/>
          <w:numId w:val="4"/>
        </w:numPr>
      </w:pPr>
      <w:r>
        <w:rPr>
          <w:rFonts w:ascii="Figtree" w:hAnsi="Figtree"/>
          <w:b w:val="0"/>
          <w:i w:val="0"/>
          <w:sz w:val="22"/>
        </w:rPr>
        <w:t>Identity framework configured</w:t>
      </w:r>
    </w:p>
    <w:p>
      <w:pPr>
        <w:pStyle w:val="ListParagraph"/>
        <w:numPr>
          <w:ilvl w:val="0"/>
          <w:numId w:val="4"/>
        </w:numPr>
      </w:pPr>
      <w:r>
        <w:rPr>
          <w:rFonts w:ascii="Figtree" w:hAnsi="Figtree"/>
          <w:b w:val="0"/>
          <w:i w:val="0"/>
          <w:sz w:val="22"/>
        </w:rPr>
        <w:t>Custody integration operational</w:t>
      </w:r>
    </w:p>
    <w:p>
      <w:pPr>
        <w:pStyle w:val="ListParagraph"/>
        <w:numPr>
          <w:ilvl w:val="0"/>
          <w:numId w:val="4"/>
        </w:numPr>
      </w:pPr>
      <w:r>
        <w:rPr>
          <w:rFonts w:ascii="Figtree" w:hAnsi="Figtree"/>
          <w:b w:val="0"/>
          <w:i w:val="0"/>
          <w:sz w:val="22"/>
        </w:rPr>
        <w:t>Monitoring dashboards live</w:t>
      </w:r>
    </w:p>
    <w:p>
      <w:r>
        <w:rPr>
          <w:rFonts w:ascii="Figtree" w:hAnsi="Figtree"/>
          <w:b/>
          <w:i w:val="0"/>
          <w:sz w:val="22"/>
        </w:rPr>
        <w:t>Gate 2 criteria:</w:t>
      </w:r>
      <w:r>
        <w:rPr>
          <w:rFonts w:ascii="Figtree" w:hAnsi="Figtree"/>
          <w:b w:val="0"/>
          <w:i w:val="0"/>
          <w:sz w:val="22"/>
        </w:rPr>
        <w:t xml:space="preserve"> All environments operational, identity and custody infrastructure validated.</w:t>
      </w:r>
    </w:p>
    <w:p>
      <w:pPr>
        <w:pStyle w:val="H3"/>
        <w:numPr>
          <w:ilvl w:val="2"/>
          <w:numId w:val="1"/>
        </w:numPr>
      </w:pPr>
      <w:r>
        <w:t>Phase 3: Configuration and Compliance (Weeks 6–9)</w:t>
      </w:r>
    </w:p>
    <w:p>
      <w:r>
        <w:rPr>
          <w:rFonts w:ascii="Figtree" w:hAnsi="Figtree"/>
          <w:b/>
          <w:i w:val="0"/>
          <w:sz w:val="22"/>
        </w:rPr>
        <w:t>Objective:</w:t>
      </w:r>
      <w:r>
        <w:rPr>
          <w:rFonts w:ascii="Figtree" w:hAnsi="Figtree"/>
          <w:b w:val="0"/>
          <w:i w:val="0"/>
          <w:sz w:val="22"/>
        </w:rPr>
        <w:t xml:space="preserve"> Configure DALP to match Emirates NBD's business and regulatory requirements.</w:t>
      </w:r>
    </w:p>
    <w:p>
      <w:r>
        <w:rPr>
          <w:rFonts w:ascii="Figtree" w:hAnsi="Figtree"/>
          <w:b/>
          <w:i w:val="0"/>
          <w:sz w:val="22"/>
        </w:rPr>
        <w:t>Activities:</w:t>
      </w:r>
    </w:p>
    <w:p>
      <w:pPr>
        <w:pStyle w:val="ListParagraph"/>
        <w:numPr>
          <w:ilvl w:val="0"/>
          <w:numId w:val="4"/>
        </w:numPr>
      </w:pPr>
      <w:r>
        <w:rPr>
          <w:rFonts w:ascii="Figtree" w:hAnsi="Figtree"/>
          <w:b w:val="0"/>
          <w:i w:val="0"/>
          <w:sz w:val="22"/>
        </w:rPr>
        <w:t>Configure tokenized deposit product (DALPAsset with deposit features and compliance modules)</w:t>
      </w:r>
    </w:p>
    <w:p>
      <w:pPr>
        <w:pStyle w:val="ListParagraph"/>
        <w:numPr>
          <w:ilvl w:val="0"/>
          <w:numId w:val="4"/>
        </w:numPr>
      </w:pPr>
      <w:r>
        <w:rPr>
          <w:rFonts w:ascii="Figtree" w:hAnsi="Figtree"/>
          <w:b w:val="0"/>
          <w:i w:val="0"/>
          <w:sz w:val="22"/>
        </w:rPr>
        <w:t>Configure trade finance instruments (DALPAsset with trade finance features)</w:t>
      </w:r>
    </w:p>
    <w:p>
      <w:pPr>
        <w:pStyle w:val="ListParagraph"/>
        <w:numPr>
          <w:ilvl w:val="0"/>
          <w:numId w:val="4"/>
        </w:numPr>
      </w:pPr>
      <w:r>
        <w:rPr>
          <w:rFonts w:ascii="Figtree" w:hAnsi="Figtree"/>
          <w:b w:val="0"/>
          <w:i w:val="0"/>
          <w:sz w:val="22"/>
        </w:rPr>
        <w:t>Deploy and test compliance module compositions</w:t>
      </w:r>
    </w:p>
    <w:p>
      <w:pPr>
        <w:pStyle w:val="ListParagraph"/>
        <w:numPr>
          <w:ilvl w:val="0"/>
          <w:numId w:val="4"/>
        </w:numPr>
      </w:pPr>
      <w:r>
        <w:rPr>
          <w:rFonts w:ascii="Figtree" w:hAnsi="Figtree"/>
          <w:b w:val="0"/>
          <w:i w:val="0"/>
          <w:sz w:val="22"/>
        </w:rPr>
        <w:t>Configure settlement workflows (XvP for deposits, milestone-based for trade finance)</w:t>
      </w:r>
    </w:p>
    <w:p>
      <w:pPr>
        <w:pStyle w:val="ListParagraph"/>
        <w:numPr>
          <w:ilvl w:val="0"/>
          <w:numId w:val="4"/>
        </w:numPr>
      </w:pPr>
      <w:r>
        <w:rPr>
          <w:rFonts w:ascii="Figtree" w:hAnsi="Figtree"/>
          <w:b w:val="0"/>
          <w:i w:val="0"/>
          <w:sz w:val="22"/>
        </w:rPr>
        <w:t>Implement yield distribution schedules</w:t>
      </w:r>
    </w:p>
    <w:p>
      <w:pPr>
        <w:pStyle w:val="ListParagraph"/>
        <w:numPr>
          <w:ilvl w:val="0"/>
          <w:numId w:val="4"/>
        </w:numPr>
      </w:pPr>
      <w:r>
        <w:rPr>
          <w:rFonts w:ascii="Figtree" w:hAnsi="Figtree"/>
          <w:b w:val="0"/>
          <w:i w:val="0"/>
          <w:sz w:val="22"/>
        </w:rPr>
        <w:t>Validate regulatory reporting templates</w:t>
      </w:r>
    </w:p>
    <w:p>
      <w:r>
        <w:rPr>
          <w:rFonts w:ascii="Figtree" w:hAnsi="Figtree"/>
          <w:b/>
          <w:i w:val="0"/>
          <w:sz w:val="22"/>
        </w:rPr>
        <w:t>Deliverables:</w:t>
      </w:r>
    </w:p>
    <w:p>
      <w:pPr>
        <w:pStyle w:val="ListParagraph"/>
        <w:numPr>
          <w:ilvl w:val="0"/>
          <w:numId w:val="4"/>
        </w:numPr>
      </w:pPr>
      <w:r>
        <w:rPr>
          <w:rFonts w:ascii="Figtree" w:hAnsi="Figtree"/>
          <w:b w:val="0"/>
          <w:i w:val="0"/>
          <w:sz w:val="22"/>
        </w:rPr>
        <w:t>Configured deposit product ready for UAT</w:t>
      </w:r>
    </w:p>
    <w:p>
      <w:pPr>
        <w:pStyle w:val="ListParagraph"/>
        <w:numPr>
          <w:ilvl w:val="0"/>
          <w:numId w:val="4"/>
        </w:numPr>
      </w:pPr>
      <w:r>
        <w:rPr>
          <w:rFonts w:ascii="Figtree" w:hAnsi="Figtree"/>
          <w:b w:val="0"/>
          <w:i w:val="0"/>
          <w:sz w:val="22"/>
        </w:rPr>
        <w:t>Configured trade finance instruments ready for UAT</w:t>
      </w:r>
    </w:p>
    <w:p>
      <w:pPr>
        <w:pStyle w:val="ListParagraph"/>
        <w:numPr>
          <w:ilvl w:val="0"/>
          <w:numId w:val="4"/>
        </w:numPr>
      </w:pPr>
      <w:r>
        <w:rPr>
          <w:rFonts w:ascii="Figtree" w:hAnsi="Figtree"/>
          <w:b w:val="0"/>
          <w:i w:val="0"/>
          <w:sz w:val="22"/>
        </w:rPr>
        <w:t>Compliance module test results</w:t>
      </w:r>
    </w:p>
    <w:p>
      <w:pPr>
        <w:pStyle w:val="ListParagraph"/>
        <w:numPr>
          <w:ilvl w:val="0"/>
          <w:numId w:val="4"/>
        </w:numPr>
      </w:pPr>
      <w:r>
        <w:rPr>
          <w:rFonts w:ascii="Figtree" w:hAnsi="Figtree"/>
          <w:b w:val="0"/>
          <w:i w:val="0"/>
          <w:sz w:val="22"/>
        </w:rPr>
        <w:t>Settlement workflow test results</w:t>
      </w:r>
    </w:p>
    <w:p>
      <w:pPr>
        <w:pStyle w:val="ListParagraph"/>
        <w:numPr>
          <w:ilvl w:val="0"/>
          <w:numId w:val="4"/>
        </w:numPr>
      </w:pPr>
      <w:r>
        <w:rPr>
          <w:rFonts w:ascii="Figtree" w:hAnsi="Figtree"/>
          <w:b w:val="0"/>
          <w:i w:val="0"/>
          <w:sz w:val="22"/>
        </w:rPr>
        <w:t>Operational runbooks (draft)</w:t>
      </w:r>
    </w:p>
    <w:p>
      <w:r>
        <w:rPr>
          <w:rFonts w:ascii="Figtree" w:hAnsi="Figtree"/>
          <w:b/>
          <w:i w:val="0"/>
          <w:sz w:val="22"/>
        </w:rPr>
        <w:t>Gate 3 criteria:</w:t>
      </w:r>
      <w:r>
        <w:rPr>
          <w:rFonts w:ascii="Figtree" w:hAnsi="Figtree"/>
          <w:b w:val="0"/>
          <w:i w:val="0"/>
          <w:sz w:val="22"/>
        </w:rPr>
        <w:t xml:space="preserve"> All products configured, compliance modules validated, settlement tested.</w:t>
      </w:r>
    </w:p>
    <w:p>
      <w:pPr>
        <w:pStyle w:val="H3"/>
        <w:numPr>
          <w:ilvl w:val="2"/>
          <w:numId w:val="1"/>
        </w:numPr>
      </w:pPr>
      <w:r>
        <w:t>Phase 4: Integration and Testing (Weeks 10–13)</w:t>
      </w:r>
    </w:p>
    <w:p>
      <w:r>
        <w:rPr>
          <w:rFonts w:ascii="Figtree" w:hAnsi="Figtree"/>
          <w:b/>
          <w:i w:val="0"/>
          <w:sz w:val="22"/>
        </w:rPr>
        <w:t>Objective:</w:t>
      </w:r>
      <w:r>
        <w:rPr>
          <w:rFonts w:ascii="Figtree" w:hAnsi="Figtree"/>
          <w:b w:val="0"/>
          <w:i w:val="0"/>
          <w:sz w:val="22"/>
        </w:rPr>
        <w:t xml:space="preserve"> Integrate with Emirates NBD enterprise systems and validate end-to-end.</w:t>
      </w:r>
    </w:p>
    <w:p>
      <w:r>
        <w:rPr>
          <w:rFonts w:ascii="Figtree" w:hAnsi="Figtree"/>
          <w:b/>
          <w:i w:val="0"/>
          <w:sz w:val="22"/>
        </w:rPr>
        <w:t>Activities:</w:t>
      </w:r>
    </w:p>
    <w:p>
      <w:pPr>
        <w:pStyle w:val="ListParagraph"/>
        <w:numPr>
          <w:ilvl w:val="0"/>
          <w:numId w:val="4"/>
        </w:numPr>
      </w:pPr>
      <w:r>
        <w:rPr>
          <w:rFonts w:ascii="Figtree" w:hAnsi="Figtree"/>
          <w:b w:val="0"/>
          <w:i w:val="0"/>
          <w:sz w:val="22"/>
        </w:rPr>
        <w:t>Core banking API integration (deposit creation, balance reconciliation)</w:t>
      </w:r>
    </w:p>
    <w:p>
      <w:pPr>
        <w:pStyle w:val="ListParagraph"/>
        <w:numPr>
          <w:ilvl w:val="0"/>
          <w:numId w:val="4"/>
        </w:numPr>
      </w:pPr>
      <w:r>
        <w:rPr>
          <w:rFonts w:ascii="Figtree" w:hAnsi="Figtree"/>
          <w:b w:val="0"/>
          <w:i w:val="0"/>
          <w:sz w:val="22"/>
        </w:rPr>
        <w:t>Trade finance back-office integration (document workflows, milestone events)</w:t>
      </w:r>
    </w:p>
    <w:p>
      <w:pPr>
        <w:pStyle w:val="ListParagraph"/>
        <w:numPr>
          <w:ilvl w:val="0"/>
          <w:numId w:val="4"/>
        </w:numPr>
      </w:pPr>
      <w:r>
        <w:rPr>
          <w:rFonts w:ascii="Figtree" w:hAnsi="Figtree"/>
          <w:b w:val="0"/>
          <w:i w:val="0"/>
          <w:sz w:val="22"/>
        </w:rPr>
        <w:t>KYC/AML system integration (identity claim feeds)</w:t>
      </w:r>
    </w:p>
    <w:p>
      <w:pPr>
        <w:pStyle w:val="ListParagraph"/>
        <w:numPr>
          <w:ilvl w:val="0"/>
          <w:numId w:val="4"/>
        </w:numPr>
      </w:pPr>
      <w:r>
        <w:rPr>
          <w:rFonts w:ascii="Figtree" w:hAnsi="Figtree"/>
          <w:b w:val="0"/>
          <w:i w:val="0"/>
          <w:sz w:val="22"/>
        </w:rPr>
        <w:t>SWIFT gateway integration (settlement message generation)</w:t>
      </w:r>
    </w:p>
    <w:p>
      <w:pPr>
        <w:pStyle w:val="ListParagraph"/>
        <w:numPr>
          <w:ilvl w:val="0"/>
          <w:numId w:val="4"/>
        </w:numPr>
      </w:pPr>
      <w:r>
        <w:rPr>
          <w:rFonts w:ascii="Figtree" w:hAnsi="Figtree"/>
          <w:b w:val="0"/>
          <w:i w:val="0"/>
          <w:sz w:val="22"/>
        </w:rPr>
        <w:t>Regulatory reporting integration</w:t>
      </w:r>
    </w:p>
    <w:p>
      <w:pPr>
        <w:pStyle w:val="ListParagraph"/>
        <w:numPr>
          <w:ilvl w:val="0"/>
          <w:numId w:val="4"/>
        </w:numPr>
      </w:pPr>
      <w:r>
        <w:rPr>
          <w:rFonts w:ascii="Figtree" w:hAnsi="Figtree"/>
          <w:b w:val="0"/>
          <w:i w:val="0"/>
          <w:sz w:val="22"/>
        </w:rPr>
        <w:t>Functional testing, security testing (penetration test), performance testing, UAT</w:t>
      </w:r>
    </w:p>
    <w:p>
      <w:r>
        <w:rPr>
          <w:rFonts w:ascii="Figtree" w:hAnsi="Figtree"/>
          <w:b/>
          <w:i w:val="0"/>
          <w:sz w:val="22"/>
        </w:rPr>
        <w:t>Deliverables:</w:t>
      </w:r>
    </w:p>
    <w:p>
      <w:pPr>
        <w:pStyle w:val="ListParagraph"/>
        <w:numPr>
          <w:ilvl w:val="0"/>
          <w:numId w:val="4"/>
        </w:numPr>
      </w:pPr>
      <w:r>
        <w:rPr>
          <w:rFonts w:ascii="Figtree" w:hAnsi="Figtree"/>
          <w:b w:val="0"/>
          <w:i w:val="0"/>
          <w:sz w:val="22"/>
        </w:rPr>
        <w:t>Integration test results</w:t>
      </w:r>
    </w:p>
    <w:p>
      <w:pPr>
        <w:pStyle w:val="ListParagraph"/>
        <w:numPr>
          <w:ilvl w:val="0"/>
          <w:numId w:val="4"/>
        </w:numPr>
      </w:pPr>
      <w:r>
        <w:rPr>
          <w:rFonts w:ascii="Figtree" w:hAnsi="Figtree"/>
          <w:b w:val="0"/>
          <w:i w:val="0"/>
          <w:sz w:val="22"/>
        </w:rPr>
        <w:t>Security assessment report</w:t>
      </w:r>
    </w:p>
    <w:p>
      <w:pPr>
        <w:pStyle w:val="ListParagraph"/>
        <w:numPr>
          <w:ilvl w:val="0"/>
          <w:numId w:val="4"/>
        </w:numPr>
      </w:pPr>
      <w:r>
        <w:rPr>
          <w:rFonts w:ascii="Figtree" w:hAnsi="Figtree"/>
          <w:b w:val="0"/>
          <w:i w:val="0"/>
          <w:sz w:val="22"/>
        </w:rPr>
        <w:t>Performance benchmark results</w:t>
      </w:r>
    </w:p>
    <w:p>
      <w:pPr>
        <w:pStyle w:val="ListParagraph"/>
        <w:numPr>
          <w:ilvl w:val="0"/>
          <w:numId w:val="4"/>
        </w:numPr>
      </w:pPr>
      <w:r>
        <w:rPr>
          <w:rFonts w:ascii="Figtree" w:hAnsi="Figtree"/>
          <w:b w:val="0"/>
          <w:i w:val="0"/>
          <w:sz w:val="22"/>
        </w:rPr>
        <w:t>UAT sign-off</w:t>
      </w:r>
    </w:p>
    <w:p>
      <w:pPr>
        <w:pStyle w:val="ListParagraph"/>
        <w:numPr>
          <w:ilvl w:val="0"/>
          <w:numId w:val="4"/>
        </w:numPr>
      </w:pPr>
      <w:r>
        <w:rPr>
          <w:rFonts w:ascii="Figtree" w:hAnsi="Figtree"/>
          <w:b w:val="0"/>
          <w:i w:val="0"/>
          <w:sz w:val="22"/>
        </w:rPr>
        <w:t>Go-live readiness assessment</w:t>
      </w:r>
    </w:p>
    <w:p>
      <w:r>
        <w:rPr>
          <w:rFonts w:ascii="Figtree" w:hAnsi="Figtree"/>
          <w:b/>
          <w:i w:val="0"/>
          <w:sz w:val="22"/>
        </w:rPr>
        <w:t>Gate 4 criteria:</w:t>
      </w:r>
      <w:r>
        <w:rPr>
          <w:rFonts w:ascii="Figtree" w:hAnsi="Figtree"/>
          <w:b w:val="0"/>
          <w:i w:val="0"/>
          <w:sz w:val="22"/>
        </w:rPr>
        <w:t xml:space="preserve"> All integrations validated, security assessment passed, UAT completed.</w:t>
      </w:r>
    </w:p>
    <w:p>
      <w:pPr>
        <w:pStyle w:val="H3"/>
        <w:numPr>
          <w:ilvl w:val="2"/>
          <w:numId w:val="1"/>
        </w:numPr>
      </w:pPr>
      <w:r>
        <w:t>Phase 5: Go-Live and Hypercare (Weeks 14–19)</w:t>
      </w:r>
    </w:p>
    <w:p>
      <w:r>
        <w:rPr>
          <w:rFonts w:ascii="Figtree" w:hAnsi="Figtree"/>
          <w:b/>
          <w:i w:val="0"/>
          <w:sz w:val="22"/>
        </w:rPr>
        <w:t>Objective:</w:t>
      </w:r>
      <w:r>
        <w:rPr>
          <w:rFonts w:ascii="Figtree" w:hAnsi="Figtree"/>
          <w:b w:val="0"/>
          <w:i w:val="0"/>
          <w:sz w:val="22"/>
        </w:rPr>
        <w:t xml:space="preserve"> Deploy to production and provide intensive post-launch support.</w:t>
      </w:r>
    </w:p>
    <w:p>
      <w:r>
        <w:rPr>
          <w:rFonts w:ascii="Figtree" w:hAnsi="Figtree"/>
          <w:b/>
          <w:i w:val="0"/>
          <w:sz w:val="22"/>
        </w:rPr>
        <w:t>Activities:</w:t>
      </w:r>
    </w:p>
    <w:p>
      <w:pPr>
        <w:pStyle w:val="ListParagraph"/>
        <w:numPr>
          <w:ilvl w:val="0"/>
          <w:numId w:val="4"/>
        </w:numPr>
      </w:pPr>
      <w:r>
        <w:rPr>
          <w:rFonts w:ascii="Figtree" w:hAnsi="Figtree"/>
          <w:b w:val="0"/>
          <w:i w:val="0"/>
          <w:sz w:val="22"/>
        </w:rPr>
        <w:t>Production deployment (week 14–15)</w:t>
      </w:r>
    </w:p>
    <w:p>
      <w:pPr>
        <w:pStyle w:val="ListParagraph"/>
        <w:numPr>
          <w:ilvl w:val="0"/>
          <w:numId w:val="4"/>
        </w:numPr>
      </w:pPr>
      <w:r>
        <w:rPr>
          <w:rFonts w:ascii="Figtree" w:hAnsi="Figtree"/>
          <w:b w:val="0"/>
          <w:i w:val="0"/>
          <w:sz w:val="22"/>
        </w:rPr>
        <w:t>Knowledge transfer sessions (administrator, developer/integration, operations tracks)</w:t>
      </w:r>
    </w:p>
    <w:p>
      <w:pPr>
        <w:pStyle w:val="ListParagraph"/>
        <w:numPr>
          <w:ilvl w:val="0"/>
          <w:numId w:val="4"/>
        </w:numPr>
      </w:pPr>
      <w:r>
        <w:rPr>
          <w:rFonts w:ascii="Figtree" w:hAnsi="Figtree"/>
          <w:b w:val="0"/>
          <w:i w:val="0"/>
          <w:sz w:val="22"/>
        </w:rPr>
        <w:t>Hypercare support with dedicated engineer (weeks 16–19)</w:t>
      </w:r>
    </w:p>
    <w:p>
      <w:pPr>
        <w:pStyle w:val="ListParagraph"/>
        <w:numPr>
          <w:ilvl w:val="0"/>
          <w:numId w:val="4"/>
        </w:numPr>
      </w:pPr>
      <w:r>
        <w:rPr>
          <w:rFonts w:ascii="Figtree" w:hAnsi="Figtree"/>
          <w:b w:val="0"/>
          <w:i w:val="0"/>
          <w:sz w:val="22"/>
        </w:rPr>
        <w:t>Operational handover and support transition</w:t>
      </w:r>
    </w:p>
    <w:p>
      <w:r>
        <w:rPr>
          <w:rFonts w:ascii="Figtree" w:hAnsi="Figtree"/>
          <w:b/>
          <w:i w:val="0"/>
          <w:sz w:val="22"/>
        </w:rPr>
        <w:t>Deliverables:</w:t>
      </w:r>
    </w:p>
    <w:p>
      <w:pPr>
        <w:pStyle w:val="ListParagraph"/>
        <w:numPr>
          <w:ilvl w:val="0"/>
          <w:numId w:val="4"/>
        </w:numPr>
      </w:pPr>
      <w:r>
        <w:rPr>
          <w:rFonts w:ascii="Figtree" w:hAnsi="Figtree"/>
          <w:b w:val="0"/>
          <w:i w:val="0"/>
          <w:sz w:val="22"/>
        </w:rPr>
        <w:t>Production system live</w:t>
      </w:r>
    </w:p>
    <w:p>
      <w:pPr>
        <w:pStyle w:val="ListParagraph"/>
        <w:numPr>
          <w:ilvl w:val="0"/>
          <w:numId w:val="4"/>
        </w:numPr>
      </w:pPr>
      <w:r>
        <w:rPr>
          <w:rFonts w:ascii="Figtree" w:hAnsi="Figtree"/>
          <w:b w:val="0"/>
          <w:i w:val="0"/>
          <w:sz w:val="22"/>
        </w:rPr>
        <w:t>Knowledge transfer completion records</w:t>
      </w:r>
    </w:p>
    <w:p>
      <w:pPr>
        <w:pStyle w:val="ListParagraph"/>
        <w:numPr>
          <w:ilvl w:val="0"/>
          <w:numId w:val="4"/>
        </w:numPr>
      </w:pPr>
      <w:r>
        <w:rPr>
          <w:rFonts w:ascii="Figtree" w:hAnsi="Figtree"/>
          <w:b w:val="0"/>
          <w:i w:val="0"/>
          <w:sz w:val="22"/>
        </w:rPr>
        <w:t>Operational runbooks (final)</w:t>
      </w:r>
    </w:p>
    <w:p>
      <w:pPr>
        <w:pStyle w:val="ListParagraph"/>
        <w:numPr>
          <w:ilvl w:val="0"/>
          <w:numId w:val="4"/>
        </w:numPr>
      </w:pPr>
      <w:r>
        <w:rPr>
          <w:rFonts w:ascii="Figtree" w:hAnsi="Figtree"/>
          <w:b w:val="0"/>
          <w:i w:val="0"/>
          <w:sz w:val="22"/>
        </w:rPr>
        <w:t>Support transition document</w:t>
      </w:r>
    </w:p>
    <w:p>
      <w:pPr>
        <w:pStyle w:val="ListParagraph"/>
        <w:numPr>
          <w:ilvl w:val="0"/>
          <w:numId w:val="4"/>
        </w:numPr>
      </w:pPr>
      <w:r>
        <w:rPr>
          <w:rFonts w:ascii="Figtree" w:hAnsi="Figtree"/>
          <w:b w:val="0"/>
          <w:i w:val="0"/>
          <w:sz w:val="22"/>
        </w:rPr>
        <w:t>Post-implementation review</w:t>
      </w:r>
    </w:p>
    <w:p>
      <w:r>
        <w:rPr>
          <w:rFonts w:ascii="Figtree" w:hAnsi="Figtree"/>
          <w:b/>
          <w:i w:val="0"/>
          <w:sz w:val="22"/>
        </w:rPr>
        <w:t>Gate 5 criteria:</w:t>
      </w:r>
      <w:r>
        <w:rPr>
          <w:rFonts w:ascii="Figtree" w:hAnsi="Figtree"/>
          <w:b w:val="0"/>
          <w:i w:val="0"/>
          <w:sz w:val="22"/>
        </w:rPr>
        <w:t xml:space="preserve"> Production stable, knowledge transfer complete, support transitioned.</w:t>
      </w:r>
    </w:p>
    <w:p>
      <w:pPr>
        <w:pStyle w:val="H3"/>
        <w:numPr>
          <w:ilvl w:val="2"/>
          <w:numId w:val="1"/>
        </w:numPr>
      </w:pPr>
      <w:r>
        <w:t>Governance and Decision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082"/>
        <w:gridCol w:w="2268"/>
        <w:gridCol w:w="272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Emirates NBD</w:t>
            </w:r>
          </w:p>
        </w:tc>
      </w:tr>
      <w:tr>
        <w:trPr>
          <w:trHeight w:val="425" w:hRule="atLeast"/>
        </w:trPr>
        <w:tc>
          <w:tcPr>
            <w:tcW w:type="dxa" w:w="3249"/>
            <w:vAlign w:val="center"/>
          </w:tcPr>
          <w:p>
            <w:pPr>
              <w:spacing w:line="276" w:lineRule="auto" w:before="0" w:after="0"/>
            </w:pPr>
            <w:r/>
            <w:r>
              <w:rPr>
                <w:rFonts w:ascii="Figtree" w:hAnsi="Figtree"/>
                <w:b w:val="0"/>
                <w:i w:val="0"/>
                <w:sz w:val="20"/>
              </w:rPr>
              <w:t>Programme sponsor</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Delivery lead</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Solution architect</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r>
              <w:rPr>
                <w:rFonts w:ascii="Figtree" w:hAnsi="Figtree"/>
                <w:b w:val="0"/>
                <w:i w:val="0"/>
                <w:sz w:val="20"/>
              </w:rPr>
              <w:t>Counterpart</w:t>
            </w:r>
          </w:p>
        </w:tc>
      </w:tr>
      <w:tr>
        <w:trPr>
          <w:trHeight w:val="425" w:hRule="atLeast"/>
        </w:trPr>
        <w:tc>
          <w:tcPr>
            <w:tcW w:type="dxa" w:w="3249"/>
            <w:vAlign w:val="center"/>
          </w:tcPr>
          <w:p>
            <w:pPr>
              <w:spacing w:line="276" w:lineRule="auto" w:before="0" w:after="0"/>
            </w:pPr>
            <w:r/>
            <w:r>
              <w:rPr>
                <w:rFonts w:ascii="Figtree" w:hAnsi="Figtree"/>
                <w:b w:val="0"/>
                <w:i w:val="0"/>
                <w:sz w:val="20"/>
              </w:rPr>
              <w:t>Technical lead</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r>
              <w:rPr>
                <w:rFonts w:ascii="Figtree" w:hAnsi="Figtree"/>
                <w:b w:val="0"/>
                <w:i w:val="0"/>
                <w:sz w:val="20"/>
              </w:rPr>
              <w:t>Counterpart</w:t>
            </w:r>
          </w:p>
        </w:tc>
      </w:tr>
      <w:tr>
        <w:trPr>
          <w:trHeight w:val="425" w:hRule="atLeast"/>
        </w:trPr>
        <w:tc>
          <w:tcPr>
            <w:tcW w:type="dxa" w:w="3249"/>
            <w:vAlign w:val="center"/>
          </w:tcPr>
          <w:p>
            <w:pPr>
              <w:spacing w:line="276" w:lineRule="auto" w:before="0" w:after="0"/>
            </w:pPr>
            <w:r/>
            <w:r>
              <w:rPr>
                <w:rFonts w:ascii="Figtree" w:hAnsi="Figtree"/>
                <w:b w:val="0"/>
                <w:i w:val="0"/>
                <w:sz w:val="20"/>
              </w:rPr>
              <w:t>Business analyst</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Compliance officer</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Operations lead</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r>
              <w:rPr>
                <w:rFonts w:ascii="Figtree" w:hAnsi="Figtree"/>
                <w:b w:val="0"/>
                <w:i w:val="0"/>
                <w:sz w:val="20"/>
              </w:rPr>
              <w:t>✓</w:t>
            </w:r>
          </w:p>
        </w:tc>
      </w:tr>
    </w:tbl>
    <w:p>
      <w:pPr>
        <w:spacing w:before="0" w:after="0" w:line="120" w:lineRule="exact"/>
      </w:pPr>
    </w:p>
    <w:p>
      <w:r>
        <w:rPr>
          <w:rFonts w:ascii="Figtree" w:hAnsi="Figtree"/>
          <w:b/>
          <w:i w:val="0"/>
          <w:sz w:val="22"/>
        </w:rPr>
        <w:t>Decision governance:</w:t>
      </w:r>
      <w:r>
        <w:rPr>
          <w:rFonts w:ascii="Figtree" w:hAnsi="Figtree"/>
          <w:b w:val="0"/>
          <w:i w:val="0"/>
          <w:sz w:val="22"/>
        </w:rPr>
        <w:t xml:space="preserve"> Steering committee meets bi-weekly. Gate reviews require sign-off from both parties. Technical decisions escalated to solution architects; business decisions escalated to programme sponsors.</w:t>
      </w:r>
    </w:p>
    <w:p>
      <w:pPr>
        <w:pStyle w:val="H3"/>
        <w:numPr>
          <w:ilvl w:val="2"/>
          <w:numId w:val="1"/>
        </w:numPr>
      </w:pPr>
      <w:r>
        <w:t>Resource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50"/>
        <w:gridCol w:w="3804"/>
        <w:gridCol w:w="331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Allocation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r>
      <w:tr>
        <w:trPr>
          <w:trHeight w:val="425" w:hRule="atLeast"/>
        </w:trPr>
        <w:tc>
          <w:tcPr>
            <w:tcW w:type="dxa" w:w="3249"/>
            <w:vAlign w:val="center"/>
          </w:tcPr>
          <w:p>
            <w:pPr>
              <w:spacing w:line="276" w:lineRule="auto" w:before="0" w:after="0"/>
            </w:pPr>
            <w:r/>
            <w:r>
              <w:rPr>
                <w:rFonts w:ascii="Figtree" w:hAnsi="Figtree"/>
                <w:b w:val="0"/>
                <w:i w:val="0"/>
                <w:sz w:val="20"/>
              </w:rPr>
              <w:t>Delivery Lead</w:t>
            </w:r>
          </w:p>
        </w:tc>
        <w:tc>
          <w:tcPr>
            <w:tcW w:type="dxa" w:w="3249"/>
            <w:vAlign w:val="center"/>
          </w:tcPr>
          <w:p>
            <w:pPr>
              <w:spacing w:line="276" w:lineRule="auto" w:before="0" w:after="0"/>
            </w:pPr>
            <w:r/>
            <w:r>
              <w:rPr>
                <w:rFonts w:ascii="Figtree" w:hAnsi="Figtree"/>
                <w:b w:val="0"/>
                <w:i w:val="0"/>
                <w:sz w:val="20"/>
              </w:rPr>
              <w:t>Full-time (19 weeks)</w:t>
            </w:r>
          </w:p>
        </w:tc>
        <w:tc>
          <w:tcPr>
            <w:tcW w:type="dxa" w:w="3249"/>
            <w:vAlign w:val="center"/>
          </w:tcPr>
          <w:p>
            <w:pPr>
              <w:spacing w:line="276" w:lineRule="auto" w:before="0" w:after="0"/>
            </w:pPr>
            <w:r/>
            <w:r>
              <w:rPr>
                <w:rFonts w:ascii="Figtree" w:hAnsi="Figtree"/>
                <w:b w:val="0"/>
                <w:i w:val="0"/>
                <w:sz w:val="20"/>
              </w:rPr>
              <w:t>Programme management, gate reviews</w:t>
            </w:r>
          </w:p>
        </w:tc>
      </w:tr>
      <w:tr>
        <w:trPr>
          <w:trHeight w:val="425" w:hRule="atLeast"/>
        </w:trPr>
        <w:tc>
          <w:tcPr>
            <w:tcW w:type="dxa" w:w="3249"/>
            <w:vAlign w:val="center"/>
          </w:tcPr>
          <w:p>
            <w:pPr>
              <w:spacing w:line="276" w:lineRule="auto" w:before="0" w:after="0"/>
            </w:pPr>
            <w:r/>
            <w:r>
              <w:rPr>
                <w:rFonts w:ascii="Figtree" w:hAnsi="Figtree"/>
                <w:b w:val="0"/>
                <w:i w:val="0"/>
                <w:sz w:val="20"/>
              </w:rPr>
              <w:t>Solution Architect</w:t>
            </w:r>
          </w:p>
        </w:tc>
        <w:tc>
          <w:tcPr>
            <w:tcW w:type="dxa" w:w="3249"/>
            <w:vAlign w:val="center"/>
          </w:tcPr>
          <w:p>
            <w:pPr>
              <w:spacing w:line="276" w:lineRule="auto" w:before="0" w:after="0"/>
            </w:pPr>
            <w:r/>
            <w:r>
              <w:rPr>
                <w:rFonts w:ascii="Figtree" w:hAnsi="Figtree"/>
                <w:b w:val="0"/>
                <w:i w:val="0"/>
                <w:sz w:val="20"/>
              </w:rPr>
              <w:t>Full-time (Weeks 1–13), on-call (14–19)</w:t>
            </w:r>
          </w:p>
        </w:tc>
        <w:tc>
          <w:tcPr>
            <w:tcW w:type="dxa" w:w="3249"/>
            <w:vAlign w:val="center"/>
          </w:tcPr>
          <w:p>
            <w:pPr>
              <w:spacing w:line="276" w:lineRule="auto" w:before="0" w:after="0"/>
            </w:pPr>
            <w:r/>
            <w:r>
              <w:rPr>
                <w:rFonts w:ascii="Figtree" w:hAnsi="Figtree"/>
                <w:b w:val="0"/>
                <w:i w:val="0"/>
                <w:sz w:val="20"/>
              </w:rPr>
              <w:t>Architecture, integration patterns</w:t>
            </w:r>
          </w:p>
        </w:tc>
      </w:tr>
      <w:tr>
        <w:trPr>
          <w:trHeight w:val="425" w:hRule="atLeast"/>
        </w:trPr>
        <w:tc>
          <w:tcPr>
            <w:tcW w:type="dxa" w:w="3249"/>
            <w:vAlign w:val="center"/>
          </w:tcPr>
          <w:p>
            <w:pPr>
              <w:spacing w:line="276" w:lineRule="auto" w:before="0" w:after="0"/>
            </w:pPr>
            <w:r/>
            <w:r>
              <w:rPr>
                <w:rFonts w:ascii="Figtree" w:hAnsi="Figtree"/>
                <w:b w:val="0"/>
                <w:i w:val="0"/>
                <w:sz w:val="20"/>
              </w:rPr>
              <w:t>Platform Engineer</w:t>
            </w:r>
          </w:p>
        </w:tc>
        <w:tc>
          <w:tcPr>
            <w:tcW w:type="dxa" w:w="3249"/>
            <w:vAlign w:val="center"/>
          </w:tcPr>
          <w:p>
            <w:pPr>
              <w:spacing w:line="276" w:lineRule="auto" w:before="0" w:after="0"/>
            </w:pPr>
            <w:r/>
            <w:r>
              <w:rPr>
                <w:rFonts w:ascii="Figtree" w:hAnsi="Figtree"/>
                <w:b w:val="0"/>
                <w:i w:val="0"/>
                <w:sz w:val="20"/>
              </w:rPr>
              <w:t>Full-time (Weeks 3–17)</w:t>
            </w:r>
          </w:p>
        </w:tc>
        <w:tc>
          <w:tcPr>
            <w:tcW w:type="dxa" w:w="3249"/>
            <w:vAlign w:val="center"/>
          </w:tcPr>
          <w:p>
            <w:pPr>
              <w:spacing w:line="276" w:lineRule="auto" w:before="0" w:after="0"/>
            </w:pPr>
            <w:r/>
            <w:r>
              <w:rPr>
                <w:rFonts w:ascii="Figtree" w:hAnsi="Figtree"/>
                <w:b w:val="0"/>
                <w:i w:val="0"/>
                <w:sz w:val="20"/>
              </w:rPr>
              <w:t>Environment setup,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Integration Engineer</w:t>
            </w:r>
          </w:p>
        </w:tc>
        <w:tc>
          <w:tcPr>
            <w:tcW w:type="dxa" w:w="3249"/>
            <w:vAlign w:val="center"/>
          </w:tcPr>
          <w:p>
            <w:pPr>
              <w:spacing w:line="276" w:lineRule="auto" w:before="0" w:after="0"/>
            </w:pPr>
            <w:r/>
            <w:r>
              <w:rPr>
                <w:rFonts w:ascii="Figtree" w:hAnsi="Figtree"/>
                <w:b w:val="0"/>
                <w:i w:val="0"/>
                <w:sz w:val="20"/>
              </w:rPr>
              <w:t>Full-time (Weeks 6–13)</w:t>
            </w:r>
          </w:p>
        </w:tc>
        <w:tc>
          <w:tcPr>
            <w:tcW w:type="dxa" w:w="3249"/>
            <w:vAlign w:val="center"/>
          </w:tcPr>
          <w:p>
            <w:pPr>
              <w:spacing w:line="276" w:lineRule="auto" w:before="0" w:after="0"/>
            </w:pPr>
            <w:r/>
            <w:r>
              <w:rPr>
                <w:rFonts w:ascii="Figtree" w:hAnsi="Figtree"/>
                <w:b w:val="0"/>
                <w:i w:val="0"/>
                <w:sz w:val="20"/>
              </w:rPr>
              <w:t>Enterprise system integration</w:t>
            </w:r>
          </w:p>
        </w:tc>
      </w:tr>
      <w:tr>
        <w:trPr>
          <w:trHeight w:val="425" w:hRule="atLeast"/>
        </w:trPr>
        <w:tc>
          <w:tcPr>
            <w:tcW w:type="dxa" w:w="3249"/>
            <w:vAlign w:val="center"/>
          </w:tcPr>
          <w:p>
            <w:pPr>
              <w:spacing w:line="276" w:lineRule="auto" w:before="0" w:after="0"/>
            </w:pPr>
            <w:r/>
            <w:r>
              <w:rPr>
                <w:rFonts w:ascii="Figtree" w:hAnsi="Figtree"/>
                <w:b w:val="0"/>
                <w:i w:val="0"/>
                <w:sz w:val="20"/>
              </w:rPr>
              <w:t>QA Engineer</w:t>
            </w:r>
          </w:p>
        </w:tc>
        <w:tc>
          <w:tcPr>
            <w:tcW w:type="dxa" w:w="3249"/>
            <w:vAlign w:val="center"/>
          </w:tcPr>
          <w:p>
            <w:pPr>
              <w:spacing w:line="276" w:lineRule="auto" w:before="0" w:after="0"/>
            </w:pPr>
            <w:r/>
            <w:r>
              <w:rPr>
                <w:rFonts w:ascii="Figtree" w:hAnsi="Figtree"/>
                <w:b w:val="0"/>
                <w:i w:val="0"/>
                <w:sz w:val="20"/>
              </w:rPr>
              <w:t>Full-time (Weeks 10–15)</w:t>
            </w:r>
          </w:p>
        </w:tc>
        <w:tc>
          <w:tcPr>
            <w:tcW w:type="dxa" w:w="3249"/>
            <w:vAlign w:val="center"/>
          </w:tcPr>
          <w:p>
            <w:pPr>
              <w:spacing w:line="276" w:lineRule="auto" w:before="0" w:after="0"/>
            </w:pPr>
            <w:r/>
            <w:r>
              <w:rPr>
                <w:rFonts w:ascii="Figtree" w:hAnsi="Figtree"/>
                <w:b w:val="0"/>
                <w:i w:val="0"/>
                <w:sz w:val="20"/>
              </w:rPr>
              <w:t>Test planning and execution</w:t>
            </w:r>
          </w:p>
        </w:tc>
      </w:tr>
    </w:tbl>
    <w:p>
      <w:pPr>
        <w:spacing w:before="0" w:after="0" w:line="120" w:lineRule="exact"/>
      </w:pPr>
    </w:p>
    <w:p>
      <w:r>
        <w:rPr>
          <w:rFonts w:ascii="Figtree" w:hAnsi="Figtree"/>
          <w:b/>
          <w:i w:val="0"/>
          <w:sz w:val="22"/>
        </w:rPr>
        <w:t>Estimated Emirates NBD effort: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158"/>
        <w:gridCol w:w="1956"/>
        <w:gridCol w:w="195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Activity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Person-Days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When</w:t>
            </w:r>
          </w:p>
        </w:tc>
      </w:tr>
      <w:tr>
        <w:trPr>
          <w:trHeight w:val="425" w:hRule="atLeast"/>
        </w:trPr>
        <w:tc>
          <w:tcPr>
            <w:tcW w:type="dxa" w:w="3249"/>
            <w:vAlign w:val="center"/>
          </w:tcPr>
          <w:p>
            <w:pPr>
              <w:spacing w:line="276" w:lineRule="auto" w:before="0" w:after="0"/>
            </w:pPr>
            <w:r/>
            <w:r>
              <w:rPr>
                <w:rFonts w:ascii="Figtree" w:hAnsi="Figtree"/>
                <w:b w:val="0"/>
                <w:i w:val="0"/>
                <w:sz w:val="20"/>
              </w:rPr>
              <w:t>Stakeholder interviews</w:t>
            </w:r>
          </w:p>
        </w:tc>
        <w:tc>
          <w:tcPr>
            <w:tcW w:type="dxa" w:w="3249"/>
            <w:vAlign w:val="center"/>
          </w:tcPr>
          <w:p>
            <w:pPr>
              <w:spacing w:line="276" w:lineRule="auto" w:before="0" w:after="0"/>
            </w:pPr>
            <w:r/>
            <w:r>
              <w:rPr>
                <w:rFonts w:ascii="Figtree" w:hAnsi="Figtree"/>
                <w:b w:val="0"/>
                <w:i w:val="0"/>
                <w:sz w:val="20"/>
              </w:rPr>
              <w:t>20</w:t>
            </w:r>
          </w:p>
        </w:tc>
        <w:tc>
          <w:tcPr>
            <w:tcW w:type="dxa" w:w="3249"/>
            <w:vAlign w:val="center"/>
          </w:tcPr>
          <w:p>
            <w:pPr>
              <w:spacing w:line="276" w:lineRule="auto" w:before="0" w:after="0"/>
            </w:pPr>
            <w:r/>
            <w:r>
              <w:rPr>
                <w:rFonts w:ascii="Figtree" w:hAnsi="Figtree"/>
                <w:b w:val="0"/>
                <w:i w:val="0"/>
                <w:sz w:val="20"/>
              </w:rPr>
              <w:t>Weeks 1–2</w:t>
            </w:r>
          </w:p>
        </w:tc>
      </w:tr>
      <w:tr>
        <w:trPr>
          <w:trHeight w:val="425" w:hRule="atLeast"/>
        </w:trPr>
        <w:tc>
          <w:tcPr>
            <w:tcW w:type="dxa" w:w="3249"/>
            <w:vAlign w:val="center"/>
          </w:tcPr>
          <w:p>
            <w:pPr>
              <w:spacing w:line="276" w:lineRule="auto" w:before="0" w:after="0"/>
            </w:pPr>
            <w:r/>
            <w:r>
              <w:rPr>
                <w:rFonts w:ascii="Figtree" w:hAnsi="Figtree"/>
                <w:b w:val="0"/>
                <w:i w:val="0"/>
                <w:sz w:val="20"/>
              </w:rPr>
              <w:t>Core banking API provisioning</w:t>
            </w:r>
          </w:p>
        </w:tc>
        <w:tc>
          <w:tcPr>
            <w:tcW w:type="dxa" w:w="3249"/>
            <w:vAlign w:val="center"/>
          </w:tcPr>
          <w:p>
            <w:pPr>
              <w:spacing w:line="276" w:lineRule="auto" w:before="0" w:after="0"/>
            </w:pPr>
            <w:r/>
            <w:r>
              <w:rPr>
                <w:rFonts w:ascii="Figtree" w:hAnsi="Figtree"/>
                <w:b w:val="0"/>
                <w:i w:val="0"/>
                <w:sz w:val="20"/>
              </w:rPr>
              <w:t>15</w:t>
            </w:r>
          </w:p>
        </w:tc>
        <w:tc>
          <w:tcPr>
            <w:tcW w:type="dxa" w:w="3249"/>
            <w:vAlign w:val="center"/>
          </w:tcPr>
          <w:p>
            <w:pPr>
              <w:spacing w:line="276" w:lineRule="auto" w:before="0" w:after="0"/>
            </w:pPr>
            <w:r/>
            <w:r>
              <w:rPr>
                <w:rFonts w:ascii="Figtree" w:hAnsi="Figtree"/>
                <w:b w:val="0"/>
                <w:i w:val="0"/>
                <w:sz w:val="20"/>
              </w:rPr>
              <w:t>Weeks 3–9</w:t>
            </w:r>
          </w:p>
        </w:tc>
      </w:tr>
      <w:tr>
        <w:trPr>
          <w:trHeight w:val="425" w:hRule="atLeast"/>
        </w:trPr>
        <w:tc>
          <w:tcPr>
            <w:tcW w:type="dxa" w:w="3249"/>
            <w:vAlign w:val="center"/>
          </w:tcPr>
          <w:p>
            <w:pPr>
              <w:spacing w:line="276" w:lineRule="auto" w:before="0" w:after="0"/>
            </w:pPr>
            <w:r/>
            <w:r>
              <w:rPr>
                <w:rFonts w:ascii="Figtree" w:hAnsi="Figtree"/>
                <w:b w:val="0"/>
                <w:i w:val="0"/>
                <w:sz w:val="20"/>
              </w:rPr>
              <w:t>Trade finance system access</w:t>
            </w:r>
          </w:p>
        </w:tc>
        <w:tc>
          <w:tcPr>
            <w:tcW w:type="dxa" w:w="3249"/>
            <w:vAlign w:val="center"/>
          </w:tcPr>
          <w:p>
            <w:pPr>
              <w:spacing w:line="276" w:lineRule="auto" w:before="0" w:after="0"/>
            </w:pPr>
            <w:r/>
            <w:r>
              <w:rPr>
                <w:rFonts w:ascii="Figtree" w:hAnsi="Figtree"/>
                <w:b w:val="0"/>
                <w:i w:val="0"/>
                <w:sz w:val="20"/>
              </w:rPr>
              <w:t>10</w:t>
            </w:r>
          </w:p>
        </w:tc>
        <w:tc>
          <w:tcPr>
            <w:tcW w:type="dxa" w:w="3249"/>
            <w:vAlign w:val="center"/>
          </w:tcPr>
          <w:p>
            <w:pPr>
              <w:spacing w:line="276" w:lineRule="auto" w:before="0" w:after="0"/>
            </w:pPr>
            <w:r/>
            <w:r>
              <w:rPr>
                <w:rFonts w:ascii="Figtree" w:hAnsi="Figtree"/>
                <w:b w:val="0"/>
                <w:i w:val="0"/>
                <w:sz w:val="20"/>
              </w:rPr>
              <w:t>Weeks 6–9</w:t>
            </w:r>
          </w:p>
        </w:tc>
      </w:tr>
      <w:tr>
        <w:trPr>
          <w:trHeight w:val="425" w:hRule="atLeast"/>
        </w:trPr>
        <w:tc>
          <w:tcPr>
            <w:tcW w:type="dxa" w:w="3249"/>
            <w:vAlign w:val="center"/>
          </w:tcPr>
          <w:p>
            <w:pPr>
              <w:spacing w:line="276" w:lineRule="auto" w:before="0" w:after="0"/>
            </w:pPr>
            <w:r/>
            <w:r>
              <w:rPr>
                <w:rFonts w:ascii="Figtree" w:hAnsi="Figtree"/>
                <w:b w:val="0"/>
                <w:i w:val="0"/>
                <w:sz w:val="20"/>
              </w:rPr>
              <w:t>UAT execution</w:t>
            </w:r>
          </w:p>
        </w:tc>
        <w:tc>
          <w:tcPr>
            <w:tcW w:type="dxa" w:w="3249"/>
            <w:vAlign w:val="center"/>
          </w:tcPr>
          <w:p>
            <w:pPr>
              <w:spacing w:line="276" w:lineRule="auto" w:before="0" w:after="0"/>
            </w:pPr>
            <w:r/>
            <w:r>
              <w:rPr>
                <w:rFonts w:ascii="Figtree" w:hAnsi="Figtree"/>
                <w:b w:val="0"/>
                <w:i w:val="0"/>
                <w:sz w:val="20"/>
              </w:rPr>
              <w:t>20</w:t>
            </w:r>
          </w:p>
        </w:tc>
        <w:tc>
          <w:tcPr>
            <w:tcW w:type="dxa" w:w="3249"/>
            <w:vAlign w:val="center"/>
          </w:tcPr>
          <w:p>
            <w:pPr>
              <w:spacing w:line="276" w:lineRule="auto" w:before="0" w:after="0"/>
            </w:pPr>
            <w:r/>
            <w:r>
              <w:rPr>
                <w:rFonts w:ascii="Figtree" w:hAnsi="Figtree"/>
                <w:b w:val="0"/>
                <w:i w:val="0"/>
                <w:sz w:val="20"/>
              </w:rPr>
              <w:t>Weeks 10–13</w:t>
            </w:r>
          </w:p>
        </w:tc>
      </w:tr>
      <w:tr>
        <w:trPr>
          <w:trHeight w:val="425" w:hRule="atLeast"/>
        </w:trPr>
        <w:tc>
          <w:tcPr>
            <w:tcW w:type="dxa" w:w="3249"/>
            <w:vAlign w:val="center"/>
          </w:tcPr>
          <w:p>
            <w:pPr>
              <w:spacing w:line="276" w:lineRule="auto" w:before="0" w:after="0"/>
            </w:pPr>
            <w:r/>
            <w:r>
              <w:rPr>
                <w:rFonts w:ascii="Figtree" w:hAnsi="Figtree"/>
                <w:b w:val="0"/>
                <w:i w:val="0"/>
                <w:sz w:val="20"/>
              </w:rPr>
              <w:t>Operations readiness</w:t>
            </w:r>
          </w:p>
        </w:tc>
        <w:tc>
          <w:tcPr>
            <w:tcW w:type="dxa" w:w="3249"/>
            <w:vAlign w:val="center"/>
          </w:tcPr>
          <w:p>
            <w:pPr>
              <w:spacing w:line="276" w:lineRule="auto" w:before="0" w:after="0"/>
            </w:pPr>
            <w:r/>
            <w:r>
              <w:rPr>
                <w:rFonts w:ascii="Figtree" w:hAnsi="Figtree"/>
                <w:b w:val="0"/>
                <w:i w:val="0"/>
                <w:sz w:val="20"/>
              </w:rPr>
              <w:t>10</w:t>
            </w:r>
          </w:p>
        </w:tc>
        <w:tc>
          <w:tcPr>
            <w:tcW w:type="dxa" w:w="3249"/>
            <w:vAlign w:val="center"/>
          </w:tcPr>
          <w:p>
            <w:pPr>
              <w:spacing w:line="276" w:lineRule="auto" w:before="0" w:after="0"/>
            </w:pPr>
            <w:r/>
            <w:r>
              <w:rPr>
                <w:rFonts w:ascii="Figtree" w:hAnsi="Figtree"/>
                <w:b w:val="0"/>
                <w:i w:val="0"/>
                <w:sz w:val="20"/>
              </w:rPr>
              <w:t>Weeks 14–19</w:t>
            </w:r>
          </w:p>
        </w:tc>
      </w:tr>
      <w:tr>
        <w:trPr>
          <w:trHeight w:val="425" w:hRule="atLeast"/>
        </w:trPr>
        <w:tc>
          <w:tcPr>
            <w:tcW w:type="dxa" w:w="3249"/>
            <w:vAlign w:val="center"/>
          </w:tcPr>
          <w:p>
            <w:pPr>
              <w:spacing w:line="276" w:lineRule="auto" w:before="0" w:after="0"/>
            </w:pPr>
            <w:r/>
            <w:r>
              <w:rPr>
                <w:rFonts w:ascii="Figtree" w:hAnsi="Figtree"/>
                <w:b/>
                <w:i w:val="0"/>
                <w:sz w:val="20"/>
              </w:rPr>
              <w:t>Total</w:t>
            </w:r>
          </w:p>
        </w:tc>
        <w:tc>
          <w:tcPr>
            <w:tcW w:type="dxa" w:w="3249"/>
            <w:vAlign w:val="center"/>
          </w:tcPr>
          <w:p>
            <w:pPr>
              <w:spacing w:line="276" w:lineRule="auto" w:before="0" w:after="0"/>
            </w:pPr>
            <w:r/>
            <w:r>
              <w:rPr>
                <w:rFonts w:ascii="Figtree" w:hAnsi="Figtree"/>
                <w:b/>
                <w:i w:val="0"/>
                <w:sz w:val="20"/>
              </w:rPr>
              <w:t>75</w:t>
            </w:r>
          </w:p>
        </w:tc>
        <w:tc>
          <w:tcPr>
            <w:tcW w:type="dxa" w:w="3249"/>
            <w:vAlign w:val="center"/>
          </w:tcPr>
          <w:p>
            <w:pPr>
              <w:spacing w:line="276" w:lineRule="auto" w:before="0" w:after="0"/>
            </w:pPr>
            <w:r/>
          </w:p>
        </w:tc>
      </w:tr>
    </w:tbl>
    <w:p>
      <w:pPr>
        <w:spacing w:before="0" w:after="0" w:line="120" w:lineRule="exact"/>
      </w:pPr>
    </w:p>
    <w:p>
      <w:r>
        <w:br w:type="page"/>
      </w:r>
    </w:p>
    <w:p>
      <w:pPr>
        <w:pStyle w:val="H2"/>
        <w:numPr>
          <w:ilvl w:val="1"/>
          <w:numId w:val="1"/>
        </w:numPr>
      </w:pPr>
      <w:r>
        <w:t>Deployment Model</w:t>
      </w:r>
    </w:p>
    <w:p>
      <w:pPr>
        <w:pStyle w:val="H3"/>
        <w:numPr>
          <w:ilvl w:val="2"/>
          <w:numId w:val="1"/>
        </w:numPr>
      </w:pPr>
      <w:r>
        <w:t>Recommended: Dedicated Cloud (UAE-Resident)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09"/>
        <w:gridCol w:w="696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Aspect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Configuration</w:t>
            </w:r>
          </w:p>
        </w:tc>
      </w:tr>
      <w:tr>
        <w:trPr>
          <w:trHeight w:val="425" w:hRule="atLeast"/>
        </w:trPr>
        <w:tc>
          <w:tcPr>
            <w:tcW w:type="dxa" w:w="4873"/>
            <w:vAlign w:val="center"/>
          </w:tcPr>
          <w:p>
            <w:pPr>
              <w:spacing w:line="276" w:lineRule="auto" w:before="0" w:after="0"/>
            </w:pPr>
            <w:r/>
            <w:r>
              <w:rPr>
                <w:rFonts w:ascii="Figtree" w:hAnsi="Figtree"/>
                <w:b w:val="0"/>
                <w:i w:val="0"/>
                <w:sz w:val="20"/>
              </w:rPr>
              <w:t>Model</w:t>
            </w:r>
          </w:p>
        </w:tc>
        <w:tc>
          <w:tcPr>
            <w:tcW w:type="dxa" w:w="4873"/>
            <w:vAlign w:val="center"/>
          </w:tcPr>
          <w:p>
            <w:pPr>
              <w:spacing w:line="276" w:lineRule="auto" w:before="0" w:after="0"/>
            </w:pPr>
            <w:r/>
            <w:r>
              <w:rPr>
                <w:rFonts w:ascii="Figtree" w:hAnsi="Figtree"/>
                <w:b w:val="0"/>
                <w:i w:val="0"/>
                <w:sz w:val="20"/>
              </w:rPr>
              <w:t>Dedicated cloud</w:t>
            </w:r>
          </w:p>
        </w:tc>
      </w:tr>
      <w:tr>
        <w:trPr>
          <w:trHeight w:val="425" w:hRule="atLeast"/>
        </w:trPr>
        <w:tc>
          <w:tcPr>
            <w:tcW w:type="dxa" w:w="4873"/>
            <w:vAlign w:val="center"/>
          </w:tcPr>
          <w:p>
            <w:pPr>
              <w:spacing w:line="276" w:lineRule="auto" w:before="0" w:after="0"/>
            </w:pPr>
            <w:r/>
            <w:r>
              <w:rPr>
                <w:rFonts w:ascii="Figtree" w:hAnsi="Figtree"/>
                <w:b w:val="0"/>
                <w:i w:val="0"/>
                <w:sz w:val="20"/>
              </w:rPr>
              <w:t>Region</w:t>
            </w:r>
          </w:p>
        </w:tc>
        <w:tc>
          <w:tcPr>
            <w:tcW w:type="dxa" w:w="4873"/>
            <w:vAlign w:val="center"/>
          </w:tcPr>
          <w:p>
            <w:pPr>
              <w:spacing w:line="276" w:lineRule="auto" w:before="0" w:after="0"/>
            </w:pPr>
            <w:r/>
            <w:r>
              <w:rPr>
                <w:rFonts w:ascii="Figtree" w:hAnsi="Figtree"/>
                <w:b w:val="0"/>
                <w:i w:val="0"/>
                <w:sz w:val="20"/>
              </w:rPr>
              <w:t>AWS Middle East (Bahrain) or Azure UAE North</w:t>
            </w:r>
          </w:p>
        </w:tc>
      </w:tr>
      <w:tr>
        <w:trPr>
          <w:trHeight w:val="425" w:hRule="atLeast"/>
        </w:trPr>
        <w:tc>
          <w:tcPr>
            <w:tcW w:type="dxa" w:w="4873"/>
            <w:vAlign w:val="center"/>
          </w:tcPr>
          <w:p>
            <w:pPr>
              <w:spacing w:line="276" w:lineRule="auto" w:before="0" w:after="0"/>
            </w:pPr>
            <w:r/>
            <w:r>
              <w:rPr>
                <w:rFonts w:ascii="Figtree" w:hAnsi="Figtree"/>
                <w:b w:val="0"/>
                <w:i w:val="0"/>
                <w:sz w:val="20"/>
              </w:rPr>
              <w:t>Data residency</w:t>
            </w:r>
          </w:p>
        </w:tc>
        <w:tc>
          <w:tcPr>
            <w:tcW w:type="dxa" w:w="4873"/>
            <w:vAlign w:val="center"/>
          </w:tcPr>
          <w:p>
            <w:pPr>
              <w:spacing w:line="276" w:lineRule="auto" w:before="0" w:after="0"/>
            </w:pPr>
            <w:r/>
            <w:r>
              <w:rPr>
                <w:rFonts w:ascii="Figtree" w:hAnsi="Figtree"/>
                <w:b w:val="0"/>
                <w:i w:val="0"/>
                <w:sz w:val="20"/>
              </w:rPr>
              <w:t>UAE / GCC compliant</w:t>
            </w:r>
          </w:p>
        </w:tc>
      </w:tr>
      <w:tr>
        <w:trPr>
          <w:trHeight w:val="425" w:hRule="atLeast"/>
        </w:trPr>
        <w:tc>
          <w:tcPr>
            <w:tcW w:type="dxa" w:w="4873"/>
            <w:vAlign w:val="center"/>
          </w:tcPr>
          <w:p>
            <w:pPr>
              <w:spacing w:line="276" w:lineRule="auto" w:before="0" w:after="0"/>
            </w:pPr>
            <w:r/>
            <w:r>
              <w:rPr>
                <w:rFonts w:ascii="Figtree" w:hAnsi="Figtree"/>
                <w:b w:val="0"/>
                <w:i w:val="0"/>
                <w:sz w:val="20"/>
              </w:rPr>
              <w:t>Kubernetes</w:t>
            </w:r>
          </w:p>
        </w:tc>
        <w:tc>
          <w:tcPr>
            <w:tcW w:type="dxa" w:w="4873"/>
            <w:vAlign w:val="center"/>
          </w:tcPr>
          <w:p>
            <w:pPr>
              <w:spacing w:line="276" w:lineRule="auto" w:before="0" w:after="0"/>
            </w:pPr>
            <w:r/>
            <w:r>
              <w:rPr>
                <w:rFonts w:ascii="Figtree" w:hAnsi="Figtree"/>
                <w:b w:val="0"/>
                <w:i w:val="0"/>
                <w:sz w:val="20"/>
              </w:rPr>
              <w:t>Amazon EKS or Azure AKS</w:t>
            </w:r>
          </w:p>
        </w:tc>
      </w:tr>
      <w:tr>
        <w:trPr>
          <w:trHeight w:val="425" w:hRule="atLeast"/>
        </w:trPr>
        <w:tc>
          <w:tcPr>
            <w:tcW w:type="dxa" w:w="4873"/>
            <w:vAlign w:val="center"/>
          </w:tcPr>
          <w:p>
            <w:pPr>
              <w:spacing w:line="276" w:lineRule="auto" w:before="0" w:after="0"/>
            </w:pPr>
            <w:r/>
            <w:r>
              <w:rPr>
                <w:rFonts w:ascii="Figtree" w:hAnsi="Figtree"/>
                <w:b w:val="0"/>
                <w:i w:val="0"/>
                <w:sz w:val="20"/>
              </w:rPr>
              <w:t>Database</w:t>
            </w:r>
          </w:p>
        </w:tc>
        <w:tc>
          <w:tcPr>
            <w:tcW w:type="dxa" w:w="4873"/>
            <w:vAlign w:val="center"/>
          </w:tcPr>
          <w:p>
            <w:pPr>
              <w:spacing w:line="276" w:lineRule="auto" w:before="0" w:after="0"/>
            </w:pPr>
            <w:r/>
            <w:r>
              <w:rPr>
                <w:rFonts w:ascii="Figtree" w:hAnsi="Figtree"/>
                <w:b w:val="0"/>
                <w:i w:val="0"/>
                <w:sz w:val="20"/>
              </w:rPr>
              <w:t>Amazon RDS PostgreSQL or Azure Database for PostgreSQL</w:t>
            </w:r>
          </w:p>
        </w:tc>
      </w:tr>
      <w:tr>
        <w:trPr>
          <w:trHeight w:val="425" w:hRule="atLeast"/>
        </w:trPr>
        <w:tc>
          <w:tcPr>
            <w:tcW w:type="dxa" w:w="4873"/>
            <w:vAlign w:val="center"/>
          </w:tcPr>
          <w:p>
            <w:pPr>
              <w:spacing w:line="276" w:lineRule="auto" w:before="0" w:after="0"/>
            </w:pPr>
            <w:r/>
            <w:r>
              <w:rPr>
                <w:rFonts w:ascii="Figtree" w:hAnsi="Figtree"/>
                <w:b w:val="0"/>
                <w:i w:val="0"/>
                <w:sz w:val="20"/>
              </w:rPr>
              <w:t>Cache</w:t>
            </w:r>
          </w:p>
        </w:tc>
        <w:tc>
          <w:tcPr>
            <w:tcW w:type="dxa" w:w="4873"/>
            <w:vAlign w:val="center"/>
          </w:tcPr>
          <w:p>
            <w:pPr>
              <w:spacing w:line="276" w:lineRule="auto" w:before="0" w:after="0"/>
            </w:pPr>
            <w:r/>
            <w:r>
              <w:rPr>
                <w:rFonts w:ascii="Figtree" w:hAnsi="Figtree"/>
                <w:b w:val="0"/>
                <w:i w:val="0"/>
                <w:sz w:val="20"/>
              </w:rPr>
              <w:t>Amazon ElastiCache Redis or Azure Cache for Redis</w:t>
            </w:r>
          </w:p>
        </w:tc>
      </w:tr>
      <w:tr>
        <w:trPr>
          <w:trHeight w:val="425" w:hRule="atLeast"/>
        </w:trPr>
        <w:tc>
          <w:tcPr>
            <w:tcW w:type="dxa" w:w="4873"/>
            <w:vAlign w:val="center"/>
          </w:tcPr>
          <w:p>
            <w:pPr>
              <w:spacing w:line="276" w:lineRule="auto" w:before="0" w:after="0"/>
            </w:pPr>
            <w:r/>
            <w:r>
              <w:rPr>
                <w:rFonts w:ascii="Figtree" w:hAnsi="Figtree"/>
                <w:b w:val="0"/>
                <w:i w:val="0"/>
                <w:sz w:val="20"/>
              </w:rPr>
              <w:t>Object storage</w:t>
            </w:r>
          </w:p>
        </w:tc>
        <w:tc>
          <w:tcPr>
            <w:tcW w:type="dxa" w:w="4873"/>
            <w:vAlign w:val="center"/>
          </w:tcPr>
          <w:p>
            <w:pPr>
              <w:spacing w:line="276" w:lineRule="auto" w:before="0" w:after="0"/>
            </w:pPr>
            <w:r/>
            <w:r>
              <w:rPr>
                <w:rFonts w:ascii="Figtree" w:hAnsi="Figtree"/>
                <w:b w:val="0"/>
                <w:i w:val="0"/>
                <w:sz w:val="20"/>
              </w:rPr>
              <w:t>Amazon S3 or Azure Blob Storage</w:t>
            </w:r>
          </w:p>
        </w:tc>
      </w:tr>
      <w:tr>
        <w:trPr>
          <w:trHeight w:val="425" w:hRule="atLeast"/>
        </w:trPr>
        <w:tc>
          <w:tcPr>
            <w:tcW w:type="dxa" w:w="4873"/>
            <w:vAlign w:val="center"/>
          </w:tcPr>
          <w:p>
            <w:pPr>
              <w:spacing w:line="276" w:lineRule="auto" w:before="0" w:after="0"/>
            </w:pPr>
            <w:r/>
            <w:r>
              <w:rPr>
                <w:rFonts w:ascii="Figtree" w:hAnsi="Figtree"/>
                <w:b w:val="0"/>
                <w:i w:val="0"/>
                <w:sz w:val="20"/>
              </w:rPr>
              <w:t>Network</w:t>
            </w:r>
          </w:p>
        </w:tc>
        <w:tc>
          <w:tcPr>
            <w:tcW w:type="dxa" w:w="4873"/>
            <w:vAlign w:val="center"/>
          </w:tcPr>
          <w:p>
            <w:pPr>
              <w:spacing w:line="276" w:lineRule="auto" w:before="0" w:after="0"/>
            </w:pPr>
            <w:r/>
            <w:r>
              <w:rPr>
                <w:rFonts w:ascii="Figtree" w:hAnsi="Figtree"/>
                <w:b w:val="0"/>
                <w:i w:val="0"/>
                <w:sz w:val="20"/>
              </w:rPr>
              <w:t>VPC/VNet with private subnets, VPN/ExpressRoute to Emirates NBD</w:t>
            </w:r>
          </w:p>
        </w:tc>
      </w:tr>
      <w:tr>
        <w:trPr>
          <w:trHeight w:val="425" w:hRule="atLeast"/>
        </w:trPr>
        <w:tc>
          <w:tcPr>
            <w:tcW w:type="dxa" w:w="4873"/>
            <w:vAlign w:val="center"/>
          </w:tcPr>
          <w:p>
            <w:pPr>
              <w:spacing w:line="276" w:lineRule="auto" w:before="0" w:after="0"/>
            </w:pPr>
            <w:r/>
            <w:r>
              <w:rPr>
                <w:rFonts w:ascii="Figtree" w:hAnsi="Figtree"/>
                <w:b w:val="0"/>
                <w:i w:val="0"/>
                <w:sz w:val="20"/>
              </w:rPr>
              <w:t>Ingress</w:t>
            </w:r>
          </w:p>
        </w:tc>
        <w:tc>
          <w:tcPr>
            <w:tcW w:type="dxa" w:w="4873"/>
            <w:vAlign w:val="center"/>
          </w:tcPr>
          <w:p>
            <w:pPr>
              <w:spacing w:line="276" w:lineRule="auto" w:before="0" w:after="0"/>
            </w:pPr>
            <w:r/>
            <w:r>
              <w:rPr>
                <w:rFonts w:ascii="Figtree" w:hAnsi="Figtree"/>
                <w:b w:val="0"/>
                <w:i w:val="0"/>
                <w:sz w:val="20"/>
              </w:rPr>
              <w:t>Application Load Balancer with WAF</w:t>
            </w:r>
          </w:p>
        </w:tc>
      </w:tr>
    </w:tbl>
    <w:p>
      <w:pPr>
        <w:spacing w:before="0" w:after="0" w:line="120" w:lineRule="exact"/>
      </w:pPr>
    </w:p>
    <w:p>
      <w:pPr>
        <w:pStyle w:val="H3"/>
        <w:numPr>
          <w:ilvl w:val="2"/>
          <w:numId w:val="1"/>
        </w:numPr>
      </w:pPr>
      <w:r>
        <w:t>Deployment Options Considered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08"/>
        <w:gridCol w:w="1810"/>
        <w:gridCol w:w="1810"/>
        <w:gridCol w:w="724"/>
        <w:gridCol w:w="321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Option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Data Residency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Operational Burden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Cost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Recommendation</w:t>
            </w:r>
          </w:p>
        </w:tc>
      </w:tr>
      <w:tr>
        <w:trPr>
          <w:trHeight w:val="425" w:hRule="atLeast"/>
        </w:trPr>
        <w:tc>
          <w:tcPr>
            <w:tcW w:type="dxa" w:w="1949"/>
            <w:vAlign w:val="center"/>
          </w:tcPr>
          <w:p>
            <w:pPr>
              <w:spacing w:line="276" w:lineRule="auto" w:before="0" w:after="0"/>
            </w:pPr>
            <w:r/>
            <w:r>
              <w:rPr>
                <w:rFonts w:ascii="Figtree" w:hAnsi="Figtree"/>
                <w:b w:val="0"/>
                <w:i w:val="0"/>
                <w:sz w:val="20"/>
              </w:rPr>
              <w:t>Managed SaaS</w:t>
            </w:r>
          </w:p>
        </w:tc>
        <w:tc>
          <w:tcPr>
            <w:tcW w:type="dxa" w:w="1949"/>
            <w:vAlign w:val="center"/>
          </w:tcPr>
          <w:p>
            <w:pPr>
              <w:spacing w:line="276" w:lineRule="auto" w:before="0" w:after="0"/>
            </w:pPr>
            <w:r/>
            <w:r>
              <w:rPr>
                <w:rFonts w:ascii="Figtree" w:hAnsi="Figtree"/>
                <w:b w:val="0"/>
                <w:i w:val="0"/>
                <w:sz w:val="20"/>
              </w:rPr>
              <w:t>SettleMint-managed</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Lowest</w:t>
            </w:r>
          </w:p>
        </w:tc>
        <w:tc>
          <w:tcPr>
            <w:tcW w:type="dxa" w:w="1949"/>
            <w:vAlign w:val="center"/>
          </w:tcPr>
          <w:p>
            <w:pPr>
              <w:spacing w:line="276" w:lineRule="auto" w:before="0" w:after="0"/>
            </w:pPr>
            <w:r/>
            <w:r>
              <w:rPr>
                <w:rFonts w:ascii="Figtree" w:hAnsi="Figtree"/>
                <w:b w:val="0"/>
                <w:i w:val="0"/>
                <w:sz w:val="20"/>
              </w:rPr>
              <w:t>Not recommended (data residency)</w:t>
            </w:r>
          </w:p>
        </w:tc>
      </w:tr>
      <w:tr>
        <w:trPr>
          <w:trHeight w:val="425" w:hRule="atLeast"/>
        </w:trPr>
        <w:tc>
          <w:tcPr>
            <w:tcW w:type="dxa" w:w="1949"/>
            <w:vAlign w:val="center"/>
          </w:tcPr>
          <w:p>
            <w:pPr>
              <w:spacing w:line="276" w:lineRule="auto" w:before="0" w:after="0"/>
            </w:pPr>
            <w:r/>
            <w:r>
              <w:rPr>
                <w:rFonts w:ascii="Figtree" w:hAnsi="Figtree"/>
                <w:b w:val="0"/>
                <w:i w:val="0"/>
                <w:sz w:val="20"/>
              </w:rPr>
              <w:t>Dedicated Cloud</w:t>
            </w:r>
          </w:p>
        </w:tc>
        <w:tc>
          <w:tcPr>
            <w:tcW w:type="dxa" w:w="1949"/>
            <w:vAlign w:val="center"/>
          </w:tcPr>
          <w:p>
            <w:pPr>
              <w:spacing w:line="276" w:lineRule="auto" w:before="0" w:after="0"/>
            </w:pPr>
            <w:r/>
            <w:r>
              <w:rPr>
                <w:rFonts w:ascii="Figtree" w:hAnsi="Figtree"/>
                <w:b w:val="0"/>
                <w:i w:val="0"/>
                <w:sz w:val="20"/>
              </w:rPr>
              <w:t>UAE-resident</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i w:val="0"/>
                <w:sz w:val="20"/>
              </w:rPr>
              <w:t>Recommended</w:t>
            </w:r>
          </w:p>
        </w:tc>
      </w:tr>
      <w:tr>
        <w:trPr>
          <w:trHeight w:val="425" w:hRule="atLeast"/>
        </w:trPr>
        <w:tc>
          <w:tcPr>
            <w:tcW w:type="dxa" w:w="1949"/>
            <w:vAlign w:val="center"/>
          </w:tcPr>
          <w:p>
            <w:pPr>
              <w:spacing w:line="276" w:lineRule="auto" w:before="0" w:after="0"/>
            </w:pPr>
            <w:r/>
            <w:r>
              <w:rPr>
                <w:rFonts w:ascii="Figtree" w:hAnsi="Figtree"/>
                <w:b w:val="0"/>
                <w:i w:val="0"/>
                <w:sz w:val="20"/>
              </w:rPr>
              <w:t>On-Premises</w:t>
            </w:r>
          </w:p>
        </w:tc>
        <w:tc>
          <w:tcPr>
            <w:tcW w:type="dxa" w:w="1949"/>
            <w:vAlign w:val="center"/>
          </w:tcPr>
          <w:p>
            <w:pPr>
              <w:spacing w:line="276" w:lineRule="auto" w:before="0" w:after="0"/>
            </w:pPr>
            <w:r/>
            <w:r>
              <w:rPr>
                <w:rFonts w:ascii="Figtree" w:hAnsi="Figtree"/>
                <w:b w:val="0"/>
                <w:i w:val="0"/>
                <w:sz w:val="20"/>
              </w:rPr>
              <w:t>Emirates NBD DC</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Highest</w:t>
            </w:r>
          </w:p>
        </w:tc>
        <w:tc>
          <w:tcPr>
            <w:tcW w:type="dxa" w:w="1949"/>
            <w:vAlign w:val="center"/>
          </w:tcPr>
          <w:p>
            <w:pPr>
              <w:spacing w:line="276" w:lineRule="auto" w:before="0" w:after="0"/>
            </w:pPr>
            <w:r/>
            <w:r>
              <w:rPr>
                <w:rFonts w:ascii="Figtree" w:hAnsi="Figtree"/>
                <w:b w:val="0"/>
                <w:i w:val="0"/>
                <w:sz w:val="20"/>
              </w:rPr>
              <w:t>Available if required</w:t>
            </w:r>
          </w:p>
        </w:tc>
      </w:tr>
      <w:tr>
        <w:trPr>
          <w:trHeight w:val="425" w:hRule="atLeast"/>
        </w:trPr>
        <w:tc>
          <w:tcPr>
            <w:tcW w:type="dxa" w:w="1949"/>
            <w:vAlign w:val="center"/>
          </w:tcPr>
          <w:p>
            <w:pPr>
              <w:spacing w:line="276" w:lineRule="auto" w:before="0" w:after="0"/>
            </w:pPr>
            <w:r/>
            <w:r>
              <w:rPr>
                <w:rFonts w:ascii="Figtree" w:hAnsi="Figtree"/>
                <w:b w:val="0"/>
                <w:i w:val="0"/>
                <w:sz w:val="20"/>
              </w:rPr>
              <w:t>Hybrid</w:t>
            </w:r>
          </w:p>
        </w:tc>
        <w:tc>
          <w:tcPr>
            <w:tcW w:type="dxa" w:w="1949"/>
            <w:vAlign w:val="center"/>
          </w:tcPr>
          <w:p>
            <w:pPr>
              <w:spacing w:line="276" w:lineRule="auto" w:before="0" w:after="0"/>
            </w:pPr>
            <w:r/>
            <w:r>
              <w:rPr>
                <w:rFonts w:ascii="Figtree" w:hAnsi="Figtree"/>
                <w:b w:val="0"/>
                <w:i w:val="0"/>
                <w:sz w:val="20"/>
              </w:rPr>
              <w:t>Split</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Unnecessary complexity</w:t>
            </w:r>
          </w:p>
        </w:tc>
      </w:tr>
    </w:tbl>
    <w:p>
      <w:pPr>
        <w:spacing w:before="0" w:after="0" w:line="120" w:lineRule="exact"/>
      </w:pPr>
    </w:p>
    <w:p>
      <w:pPr>
        <w:pStyle w:val="H3"/>
        <w:numPr>
          <w:ilvl w:val="2"/>
          <w:numId w:val="1"/>
        </w:numPr>
      </w:pPr>
      <w:r>
        <w:t>Infrastructure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16"/>
        <w:gridCol w:w="645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Minimum Specification</w:t>
            </w:r>
          </w:p>
        </w:tc>
      </w:tr>
      <w:tr>
        <w:trPr>
          <w:trHeight w:val="425" w:hRule="atLeast"/>
        </w:trPr>
        <w:tc>
          <w:tcPr>
            <w:tcW w:type="dxa" w:w="4873"/>
            <w:vAlign w:val="center"/>
          </w:tcPr>
          <w:p>
            <w:pPr>
              <w:spacing w:line="276" w:lineRule="auto" w:before="0" w:after="0"/>
            </w:pPr>
            <w:r/>
            <w:r>
              <w:rPr>
                <w:rFonts w:ascii="Figtree" w:hAnsi="Figtree"/>
                <w:b w:val="0"/>
                <w:i w:val="0"/>
                <w:sz w:val="20"/>
              </w:rPr>
              <w:t>Kubernetes cluster</w:t>
            </w:r>
          </w:p>
        </w:tc>
        <w:tc>
          <w:tcPr>
            <w:tcW w:type="dxa" w:w="4873"/>
            <w:vAlign w:val="center"/>
          </w:tcPr>
          <w:p>
            <w:pPr>
              <w:spacing w:line="276" w:lineRule="auto" w:before="0" w:after="0"/>
            </w:pPr>
            <w:r/>
            <w:r>
              <w:rPr>
                <w:rFonts w:ascii="Figtree" w:hAnsi="Figtree"/>
                <w:b w:val="0"/>
                <w:i w:val="0"/>
                <w:sz w:val="20"/>
              </w:rPr>
              <w:t>3+ worker nodes, 8 vCPU / 32 GB RAM each</w:t>
            </w:r>
          </w:p>
        </w:tc>
      </w:tr>
      <w:tr>
        <w:trPr>
          <w:trHeight w:val="425" w:hRule="atLeast"/>
        </w:trPr>
        <w:tc>
          <w:tcPr>
            <w:tcW w:type="dxa" w:w="4873"/>
            <w:vAlign w:val="center"/>
          </w:tcPr>
          <w:p>
            <w:pPr>
              <w:spacing w:line="276" w:lineRule="auto" w:before="0" w:after="0"/>
            </w:pPr>
            <w:r/>
            <w:r>
              <w:rPr>
                <w:rFonts w:ascii="Figtree" w:hAnsi="Figtree"/>
                <w:b w:val="0"/>
                <w:i w:val="0"/>
                <w:sz w:val="20"/>
              </w:rPr>
              <w:t>PostgreSQL</w:t>
            </w:r>
          </w:p>
        </w:tc>
        <w:tc>
          <w:tcPr>
            <w:tcW w:type="dxa" w:w="4873"/>
            <w:vAlign w:val="center"/>
          </w:tcPr>
          <w:p>
            <w:pPr>
              <w:spacing w:line="276" w:lineRule="auto" w:before="0" w:after="0"/>
            </w:pPr>
            <w:r/>
            <w:r>
              <w:rPr>
                <w:rFonts w:ascii="Figtree" w:hAnsi="Figtree"/>
                <w:b w:val="0"/>
                <w:i w:val="0"/>
                <w:sz w:val="20"/>
              </w:rPr>
              <w:t>Multi-AZ, 16 vCPU / 64 GB RAM, 500 GB SSD</w:t>
            </w:r>
          </w:p>
        </w:tc>
      </w:tr>
      <w:tr>
        <w:trPr>
          <w:trHeight w:val="425" w:hRule="atLeast"/>
        </w:trPr>
        <w:tc>
          <w:tcPr>
            <w:tcW w:type="dxa" w:w="4873"/>
            <w:vAlign w:val="center"/>
          </w:tcPr>
          <w:p>
            <w:pPr>
              <w:spacing w:line="276" w:lineRule="auto" w:before="0" w:after="0"/>
            </w:pPr>
            <w:r/>
            <w:r>
              <w:rPr>
                <w:rFonts w:ascii="Figtree" w:hAnsi="Figtree"/>
                <w:b w:val="0"/>
                <w:i w:val="0"/>
                <w:sz w:val="20"/>
              </w:rPr>
              <w:t>Redis</w:t>
            </w:r>
          </w:p>
        </w:tc>
        <w:tc>
          <w:tcPr>
            <w:tcW w:type="dxa" w:w="4873"/>
            <w:vAlign w:val="center"/>
          </w:tcPr>
          <w:p>
            <w:pPr>
              <w:spacing w:line="276" w:lineRule="auto" w:before="0" w:after="0"/>
            </w:pPr>
            <w:r/>
            <w:r>
              <w:rPr>
                <w:rFonts w:ascii="Figtree" w:hAnsi="Figtree"/>
                <w:b w:val="0"/>
                <w:i w:val="0"/>
                <w:sz w:val="20"/>
              </w:rPr>
              <w:t>Cluster mode, 2 replicas</w:t>
            </w:r>
          </w:p>
        </w:tc>
      </w:tr>
      <w:tr>
        <w:trPr>
          <w:trHeight w:val="425" w:hRule="atLeast"/>
        </w:trPr>
        <w:tc>
          <w:tcPr>
            <w:tcW w:type="dxa" w:w="4873"/>
            <w:vAlign w:val="center"/>
          </w:tcPr>
          <w:p>
            <w:pPr>
              <w:spacing w:line="276" w:lineRule="auto" w:before="0" w:after="0"/>
            </w:pPr>
            <w:r/>
            <w:r>
              <w:rPr>
                <w:rFonts w:ascii="Figtree" w:hAnsi="Figtree"/>
                <w:b w:val="0"/>
                <w:i w:val="0"/>
                <w:sz w:val="20"/>
              </w:rPr>
              <w:t>Object storage</w:t>
            </w:r>
          </w:p>
        </w:tc>
        <w:tc>
          <w:tcPr>
            <w:tcW w:type="dxa" w:w="4873"/>
            <w:vAlign w:val="center"/>
          </w:tcPr>
          <w:p>
            <w:pPr>
              <w:spacing w:line="276" w:lineRule="auto" w:before="0" w:after="0"/>
            </w:pPr>
            <w:r/>
            <w:r>
              <w:rPr>
                <w:rFonts w:ascii="Figtree" w:hAnsi="Figtree"/>
                <w:b w:val="0"/>
                <w:i w:val="0"/>
                <w:sz w:val="20"/>
              </w:rPr>
              <w:t>Encrypted, versioned</w:t>
            </w:r>
          </w:p>
        </w:tc>
      </w:tr>
      <w:tr>
        <w:trPr>
          <w:trHeight w:val="425" w:hRule="atLeast"/>
        </w:trPr>
        <w:tc>
          <w:tcPr>
            <w:tcW w:type="dxa" w:w="4873"/>
            <w:vAlign w:val="center"/>
          </w:tcPr>
          <w:p>
            <w:pPr>
              <w:spacing w:line="276" w:lineRule="auto" w:before="0" w:after="0"/>
            </w:pPr>
            <w:r/>
            <w:r>
              <w:rPr>
                <w:rFonts w:ascii="Figtree" w:hAnsi="Figtree"/>
                <w:b w:val="0"/>
                <w:i w:val="0"/>
                <w:sz w:val="20"/>
              </w:rPr>
              <w:t>Blockchain nodes</w:t>
            </w:r>
          </w:p>
        </w:tc>
        <w:tc>
          <w:tcPr>
            <w:tcW w:type="dxa" w:w="4873"/>
            <w:vAlign w:val="center"/>
          </w:tcPr>
          <w:p>
            <w:pPr>
              <w:spacing w:line="276" w:lineRule="auto" w:before="0" w:after="0"/>
            </w:pPr>
            <w:r/>
            <w:r>
              <w:rPr>
                <w:rFonts w:ascii="Figtree" w:hAnsi="Figtree"/>
                <w:b w:val="0"/>
                <w:i w:val="0"/>
                <w:sz w:val="20"/>
              </w:rPr>
              <w:t>4 validator nodes, 4 vCPU / 16 GB RAM each</w:t>
            </w:r>
          </w:p>
        </w:tc>
      </w:tr>
      <w:tr>
        <w:trPr>
          <w:trHeight w:val="425" w:hRule="atLeast"/>
        </w:trPr>
        <w:tc>
          <w:tcPr>
            <w:tcW w:type="dxa" w:w="4873"/>
            <w:vAlign w:val="center"/>
          </w:tcPr>
          <w:p>
            <w:pPr>
              <w:spacing w:line="276" w:lineRule="auto" w:before="0" w:after="0"/>
            </w:pPr>
            <w:r/>
            <w:r>
              <w:rPr>
                <w:rFonts w:ascii="Figtree" w:hAnsi="Figtree"/>
                <w:b w:val="0"/>
                <w:i w:val="0"/>
                <w:sz w:val="20"/>
              </w:rPr>
              <w:t>Network</w:t>
            </w:r>
          </w:p>
        </w:tc>
        <w:tc>
          <w:tcPr>
            <w:tcW w:type="dxa" w:w="4873"/>
            <w:vAlign w:val="center"/>
          </w:tcPr>
          <w:p>
            <w:pPr>
              <w:spacing w:line="276" w:lineRule="auto" w:before="0" w:after="0"/>
            </w:pPr>
            <w:r/>
            <w:r>
              <w:rPr>
                <w:rFonts w:ascii="Figtree" w:hAnsi="Figtree"/>
                <w:b w:val="0"/>
                <w:i w:val="0"/>
                <w:sz w:val="20"/>
              </w:rPr>
              <w:t>Private subnets, NAT gateway, VPN tunnel to Emirates NBD</w:t>
            </w:r>
          </w:p>
        </w:tc>
      </w:tr>
    </w:tbl>
    <w:p>
      <w:pPr>
        <w:spacing w:before="0" w:after="0" w:line="120" w:lineRule="exact"/>
      </w:pPr>
    </w:p>
    <w:p>
      <w:pPr>
        <w:pStyle w:val="H3"/>
        <w:numPr>
          <w:ilvl w:val="2"/>
          <w:numId w:val="1"/>
        </w:numPr>
      </w:pPr>
      <w:r>
        <w:t>Availability and DR</w:t>
      </w:r>
    </w:p>
    <w:p>
      <w:pPr>
        <w:pStyle w:val="ListParagraph"/>
        <w:numPr>
          <w:ilvl w:val="0"/>
          <w:numId w:val="4"/>
        </w:numPr>
      </w:pPr>
      <w:r>
        <w:rPr>
          <w:rFonts w:ascii="Figtree" w:hAnsi="Figtree"/>
          <w:b w:val="0"/>
          <w:i w:val="0"/>
          <w:sz w:val="22"/>
        </w:rPr>
        <w:t>Multi-AZ deployment within the selected region</w:t>
      </w:r>
    </w:p>
    <w:p>
      <w:pPr>
        <w:pStyle w:val="ListParagraph"/>
        <w:numPr>
          <w:ilvl w:val="0"/>
          <w:numId w:val="4"/>
        </w:numPr>
      </w:pPr>
      <w:r>
        <w:rPr>
          <w:rFonts w:ascii="Figtree" w:hAnsi="Figtree"/>
          <w:b w:val="0"/>
          <w:i w:val="0"/>
          <w:sz w:val="22"/>
        </w:rPr>
        <w:t>Continuous blockchain state replication</w:t>
      </w:r>
    </w:p>
    <w:p>
      <w:pPr>
        <w:pStyle w:val="ListParagraph"/>
        <w:numPr>
          <w:ilvl w:val="0"/>
          <w:numId w:val="4"/>
        </w:numPr>
      </w:pPr>
      <w:r>
        <w:rPr>
          <w:rFonts w:ascii="Figtree" w:hAnsi="Figtree"/>
          <w:b w:val="0"/>
          <w:i w:val="0"/>
          <w:sz w:val="22"/>
        </w:rPr>
        <w:t>Hourly application state snapshots</w:t>
      </w:r>
    </w:p>
    <w:p>
      <w:pPr>
        <w:pStyle w:val="ListParagraph"/>
        <w:numPr>
          <w:ilvl w:val="0"/>
          <w:numId w:val="4"/>
        </w:numPr>
      </w:pPr>
      <w:r>
        <w:rPr>
          <w:rFonts w:ascii="Figtree" w:hAnsi="Figtree"/>
          <w:b w:val="0"/>
          <w:i w:val="0"/>
          <w:sz w:val="22"/>
        </w:rPr>
        <w:t>Automated failover for database and cache layers</w:t>
      </w:r>
    </w:p>
    <w:p>
      <w:pPr>
        <w:pStyle w:val="ListParagraph"/>
        <w:numPr>
          <w:ilvl w:val="0"/>
          <w:numId w:val="4"/>
        </w:numPr>
      </w:pPr>
      <w:r>
        <w:rPr>
          <w:rFonts w:ascii="Figtree" w:hAnsi="Figtree"/>
          <w:b w:val="0"/>
          <w:i w:val="0"/>
          <w:sz w:val="22"/>
        </w:rPr>
        <w:t>DR environment with tested backup and restore procedures</w:t>
      </w:r>
    </w:p>
    <w:p>
      <w:r>
        <w:br w:type="page"/>
      </w:r>
    </w:p>
    <w:p>
      <w:pPr>
        <w:pStyle w:val="H2"/>
        <w:numPr>
          <w:ilvl w:val="1"/>
          <w:numId w:val="1"/>
        </w:numPr>
      </w:pPr>
      <w:r>
        <w:t>Training and Knowledge Transfer</w:t>
      </w:r>
    </w:p>
    <w:p>
      <w:pPr>
        <w:pStyle w:val="H3"/>
        <w:numPr>
          <w:ilvl w:val="2"/>
          <w:numId w:val="1"/>
        </w:numPr>
      </w:pPr>
      <w:r>
        <w:t>Training Strategy</w:t>
      </w:r>
    </w:p>
    <w:p>
      <w:r>
        <w:rPr>
          <w:rFonts w:ascii="Figtree" w:hAnsi="Figtree"/>
          <w:b w:val="0"/>
          <w:i w:val="0"/>
          <w:sz w:val="22"/>
        </w:rPr>
        <w:t>Knowledge transfer is organized into three tracks, each targeting a different audience within Emirates NBD:</w:t>
      </w:r>
    </w:p>
    <w:p>
      <w:pPr>
        <w:pStyle w:val="H3"/>
        <w:numPr>
          <w:ilvl w:val="2"/>
          <w:numId w:val="1"/>
        </w:numPr>
      </w:pPr>
      <w:r>
        <w:t>Administrator Track</w:t>
      </w:r>
    </w:p>
    <w:p>
      <w:r>
        <w:rPr>
          <w:rFonts w:ascii="Figtree" w:hAnsi="Figtree"/>
          <w:b/>
          <w:i w:val="0"/>
          <w:sz w:val="22"/>
        </w:rPr>
        <w:t>Audience:</w:t>
      </w:r>
      <w:r>
        <w:rPr>
          <w:rFonts w:ascii="Figtree" w:hAnsi="Figtree"/>
          <w:b w:val="0"/>
          <w:i w:val="0"/>
          <w:sz w:val="22"/>
        </w:rPr>
        <w:t xml:space="preserve"> Platform administrators, operations managers</w:t>
      </w:r>
    </w:p>
    <w:p>
      <w:r>
        <w:rPr>
          <w:rFonts w:ascii="Figtree" w:hAnsi="Figtree"/>
          <w:b/>
          <w:i w:val="0"/>
          <w:sz w:val="22"/>
        </w:rPr>
        <w:t>Duration:</w:t>
      </w:r>
      <w:r>
        <w:rPr>
          <w:rFonts w:ascii="Figtree" w:hAnsi="Figtree"/>
          <w:b w:val="0"/>
          <w:i w:val="0"/>
          <w:sz w:val="22"/>
        </w:rPr>
        <w:t xml:space="preserve"> 3 days</w:t>
      </w:r>
    </w:p>
    <w:p>
      <w:r>
        <w:rPr>
          <w:rFonts w:ascii="Figtree" w:hAnsi="Figtree"/>
          <w:b/>
          <w:i w:val="0"/>
          <w:sz w:val="22"/>
        </w:rPr>
        <w:t>Content:</w:t>
      </w:r>
      <w:r>
        <w:rPr>
          <w:rFonts w:ascii="Figtree" w:hAnsi="Figtree"/>
          <w:b w:val="0"/>
          <w:i w:val="0"/>
          <w:sz w:val="22"/>
        </w:rPr>
        <w:t xml:space="preserve"> Platform configuration, user management, RBAC assignment, compliance module administration, monitoring dashboard interpretation, incident response procedures</w:t>
      </w:r>
    </w:p>
    <w:p>
      <w:pPr>
        <w:pStyle w:val="H3"/>
        <w:numPr>
          <w:ilvl w:val="2"/>
          <w:numId w:val="1"/>
        </w:numPr>
      </w:pPr>
      <w:r>
        <w:t>Developer / Integration Track</w:t>
      </w:r>
    </w:p>
    <w:p>
      <w:r>
        <w:rPr>
          <w:rFonts w:ascii="Figtree" w:hAnsi="Figtree"/>
          <w:b/>
          <w:i w:val="0"/>
          <w:sz w:val="22"/>
        </w:rPr>
        <w:t>Audience:</w:t>
      </w:r>
      <w:r>
        <w:rPr>
          <w:rFonts w:ascii="Figtree" w:hAnsi="Figtree"/>
          <w:b w:val="0"/>
          <w:i w:val="0"/>
          <w:sz w:val="22"/>
        </w:rPr>
        <w:t xml:space="preserve"> Integration engineers, API consumers</w:t>
      </w:r>
    </w:p>
    <w:p>
      <w:r>
        <w:rPr>
          <w:rFonts w:ascii="Figtree" w:hAnsi="Figtree"/>
          <w:b/>
          <w:i w:val="0"/>
          <w:sz w:val="22"/>
        </w:rPr>
        <w:t>Duration:</w:t>
      </w:r>
      <w:r>
        <w:rPr>
          <w:rFonts w:ascii="Figtree" w:hAnsi="Figtree"/>
          <w:b w:val="0"/>
          <w:i w:val="0"/>
          <w:sz w:val="22"/>
        </w:rPr>
        <w:t xml:space="preserve"> 3 days</w:t>
      </w:r>
    </w:p>
    <w:p>
      <w:r>
        <w:rPr>
          <w:rFonts w:ascii="Figtree" w:hAnsi="Figtree"/>
          <w:b/>
          <w:i w:val="0"/>
          <w:sz w:val="22"/>
        </w:rPr>
        <w:t>Content:</w:t>
      </w:r>
      <w:r>
        <w:rPr>
          <w:rFonts w:ascii="Figtree" w:hAnsi="Figtree"/>
          <w:b w:val="0"/>
          <w:i w:val="0"/>
          <w:sz w:val="22"/>
        </w:rPr>
        <w:t xml:space="preserve"> REST API v2 usage, SDK integration patterns, webhook configuration, CLI operations, smart contract interaction patterns, test automation</w:t>
      </w:r>
    </w:p>
    <w:p>
      <w:pPr>
        <w:pStyle w:val="H3"/>
        <w:numPr>
          <w:ilvl w:val="2"/>
          <w:numId w:val="1"/>
        </w:numPr>
      </w:pPr>
      <w:r>
        <w:t>Operations Track</w:t>
      </w:r>
    </w:p>
    <w:p>
      <w:r>
        <w:rPr>
          <w:rFonts w:ascii="Figtree" w:hAnsi="Figtree"/>
          <w:b/>
          <w:i w:val="0"/>
          <w:sz w:val="22"/>
        </w:rPr>
        <w:t>Audience:</w:t>
      </w:r>
      <w:r>
        <w:rPr>
          <w:rFonts w:ascii="Figtree" w:hAnsi="Figtree"/>
          <w:b w:val="0"/>
          <w:i w:val="0"/>
          <w:sz w:val="22"/>
        </w:rPr>
        <w:t xml:space="preserve"> Operations staff, support teams</w:t>
      </w:r>
    </w:p>
    <w:p>
      <w:r>
        <w:rPr>
          <w:rFonts w:ascii="Figtree" w:hAnsi="Figtree"/>
          <w:b/>
          <w:i w:val="0"/>
          <w:sz w:val="22"/>
        </w:rPr>
        <w:t>Duration:</w:t>
      </w:r>
      <w:r>
        <w:rPr>
          <w:rFonts w:ascii="Figtree" w:hAnsi="Figtree"/>
          <w:b w:val="0"/>
          <w:i w:val="0"/>
          <w:sz w:val="22"/>
        </w:rPr>
        <w:t xml:space="preserve"> 2 days</w:t>
      </w:r>
    </w:p>
    <w:p>
      <w:r>
        <w:rPr>
          <w:rFonts w:ascii="Figtree" w:hAnsi="Figtree"/>
          <w:b/>
          <w:i w:val="0"/>
          <w:sz w:val="22"/>
        </w:rPr>
        <w:t>Content:</w:t>
      </w:r>
      <w:r>
        <w:rPr>
          <w:rFonts w:ascii="Figtree" w:hAnsi="Figtree"/>
          <w:b w:val="0"/>
          <w:i w:val="0"/>
          <w:sz w:val="22"/>
        </w:rPr>
        <w:t xml:space="preserve"> Day-to-day operations, trade finance workflow management, settlement monitoring, exception handling, reporting and audit evidence extraction</w:t>
      </w:r>
    </w:p>
    <w:p>
      <w:pPr>
        <w:pStyle w:val="H3"/>
        <w:numPr>
          <w:ilvl w:val="2"/>
          <w:numId w:val="1"/>
        </w:numPr>
      </w:pPr>
      <w:r>
        <w:t>Knowledge Transfer Method</w:t>
      </w:r>
    </w:p>
    <w:p>
      <w:pPr>
        <w:pStyle w:val="ListParagraph"/>
        <w:numPr>
          <w:ilvl w:val="0"/>
          <w:numId w:val="4"/>
        </w:numPr>
      </w:pPr>
      <w:r>
        <w:rPr>
          <w:rFonts w:ascii="Figtree" w:hAnsi="Figtree"/>
          <w:b/>
          <w:i w:val="0"/>
          <w:sz w:val="22"/>
        </w:rPr>
        <w:t>Guided labs:</w:t>
      </w:r>
      <w:r>
        <w:rPr>
          <w:rFonts w:ascii="Figtree" w:hAnsi="Figtree"/>
          <w:b w:val="0"/>
          <w:i w:val="0"/>
          <w:sz w:val="22"/>
        </w:rPr>
        <w:t xml:space="preserve"> Hands-on exercises in Emirates NBD's UAT environment</w:t>
      </w:r>
    </w:p>
    <w:p>
      <w:pPr>
        <w:pStyle w:val="ListParagraph"/>
        <w:numPr>
          <w:ilvl w:val="0"/>
          <w:numId w:val="4"/>
        </w:numPr>
      </w:pPr>
      <w:r>
        <w:rPr>
          <w:rFonts w:ascii="Figtree" w:hAnsi="Figtree"/>
          <w:b/>
          <w:i w:val="0"/>
          <w:sz w:val="22"/>
        </w:rPr>
        <w:t>Shadowing:</w:t>
      </w:r>
      <w:r>
        <w:rPr>
          <w:rFonts w:ascii="Figtree" w:hAnsi="Figtree"/>
          <w:b w:val="0"/>
          <w:i w:val="0"/>
          <w:sz w:val="22"/>
        </w:rPr>
        <w:t xml:space="preserve"> SettleMint engineers work alongside Emirates NBD teams during hypercare</w:t>
      </w:r>
    </w:p>
    <w:p>
      <w:pPr>
        <w:pStyle w:val="ListParagraph"/>
        <w:numPr>
          <w:ilvl w:val="0"/>
          <w:numId w:val="4"/>
        </w:numPr>
      </w:pPr>
      <w:r>
        <w:rPr>
          <w:rFonts w:ascii="Figtree" w:hAnsi="Figtree"/>
          <w:b/>
          <w:i w:val="0"/>
          <w:sz w:val="22"/>
        </w:rPr>
        <w:t>Runbooks:</w:t>
      </w:r>
      <w:r>
        <w:rPr>
          <w:rFonts w:ascii="Figtree" w:hAnsi="Figtree"/>
          <w:b w:val="0"/>
          <w:i w:val="0"/>
          <w:sz w:val="22"/>
        </w:rPr>
        <w:t xml:space="preserve"> Documented operational procedures for all routine and exception scenarios</w:t>
      </w:r>
    </w:p>
    <w:p>
      <w:pPr>
        <w:pStyle w:val="ListParagraph"/>
        <w:numPr>
          <w:ilvl w:val="0"/>
          <w:numId w:val="4"/>
        </w:numPr>
      </w:pPr>
      <w:r>
        <w:rPr>
          <w:rFonts w:ascii="Figtree" w:hAnsi="Figtree"/>
          <w:b/>
          <w:i w:val="0"/>
          <w:sz w:val="22"/>
        </w:rPr>
        <w:t>Operational readiness assessment:</w:t>
      </w:r>
      <w:r>
        <w:rPr>
          <w:rFonts w:ascii="Figtree" w:hAnsi="Figtree"/>
          <w:b w:val="0"/>
          <w:i w:val="0"/>
          <w:sz w:val="22"/>
        </w:rPr>
        <w:t xml:space="preserve"> Formal evaluation of Emirates NBD team capability before support transition</w:t>
      </w:r>
    </w:p>
    <w:p>
      <w:r>
        <w:br w:type="page"/>
      </w:r>
    </w:p>
    <w:p>
      <w:pPr>
        <w:pStyle w:val="H2"/>
        <w:numPr>
          <w:ilvl w:val="1"/>
          <w:numId w:val="1"/>
        </w:numPr>
      </w:pPr>
      <w:r>
        <w:t>Support and SLA</w:t>
      </w:r>
    </w:p>
    <w:p>
      <w:pPr>
        <w:pStyle w:val="H3"/>
        <w:numPr>
          <w:ilvl w:val="2"/>
          <w:numId w:val="1"/>
        </w:numPr>
      </w:pPr>
      <w:r>
        <w:t>Recommended: Premium Support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87"/>
        <w:gridCol w:w="588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Aspect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Premium Configuration for Emirates NBD</w:t>
            </w:r>
          </w:p>
        </w:tc>
      </w:tr>
      <w:tr>
        <w:trPr>
          <w:trHeight w:val="425" w:hRule="atLeast"/>
        </w:trPr>
        <w:tc>
          <w:tcPr>
            <w:tcW w:type="dxa" w:w="4873"/>
            <w:vAlign w:val="center"/>
          </w:tcPr>
          <w:p>
            <w:pPr>
              <w:spacing w:line="276" w:lineRule="auto" w:before="0" w:after="0"/>
            </w:pPr>
            <w:r/>
            <w:r>
              <w:rPr>
                <w:rFonts w:ascii="Figtree" w:hAnsi="Figtree"/>
                <w:b w:val="0"/>
                <w:i w:val="0"/>
                <w:sz w:val="20"/>
              </w:rPr>
              <w:t>Coverage hours</w:t>
            </w:r>
          </w:p>
        </w:tc>
        <w:tc>
          <w:tcPr>
            <w:tcW w:type="dxa" w:w="4873"/>
            <w:vAlign w:val="center"/>
          </w:tcPr>
          <w:p>
            <w:pPr>
              <w:spacing w:line="276" w:lineRule="auto" w:before="0" w:after="0"/>
            </w:pPr>
            <w:r/>
            <w:r>
              <w:rPr>
                <w:rFonts w:ascii="Figtree" w:hAnsi="Figtree"/>
                <w:b w:val="0"/>
                <w:i w:val="0"/>
                <w:sz w:val="20"/>
              </w:rPr>
              <w:t>16×5 (Sunday–Thursday for UAE alignment)</w:t>
            </w:r>
          </w:p>
        </w:tc>
      </w:tr>
      <w:tr>
        <w:trPr>
          <w:trHeight w:val="425" w:hRule="atLeast"/>
        </w:trPr>
        <w:tc>
          <w:tcPr>
            <w:tcW w:type="dxa" w:w="4873"/>
            <w:vAlign w:val="center"/>
          </w:tcPr>
          <w:p>
            <w:pPr>
              <w:spacing w:line="276" w:lineRule="auto" w:before="0" w:after="0"/>
            </w:pPr>
            <w:r/>
            <w:r>
              <w:rPr>
                <w:rFonts w:ascii="Figtree" w:hAnsi="Figtree"/>
                <w:b w:val="0"/>
                <w:i w:val="0"/>
                <w:sz w:val="20"/>
              </w:rPr>
              <w:t>P1 response time</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P2 response time</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P3 response time</w:t>
            </w:r>
          </w:p>
        </w:tc>
        <w:tc>
          <w:tcPr>
            <w:tcW w:type="dxa" w:w="4873"/>
            <w:vAlign w:val="center"/>
          </w:tcPr>
          <w:p>
            <w:pPr>
              <w:spacing w:line="276" w:lineRule="auto" w:before="0" w:after="0"/>
            </w:pPr>
            <w:r/>
            <w:r>
              <w:rPr>
                <w:rFonts w:ascii="Figtree" w:hAnsi="Figtree"/>
                <w:b w:val="0"/>
                <w:i w:val="0"/>
                <w:sz w:val="20"/>
              </w:rPr>
              <w:t>1 business day</w:t>
            </w:r>
          </w:p>
        </w:tc>
      </w:tr>
      <w:tr>
        <w:trPr>
          <w:trHeight w:val="425" w:hRule="atLeast"/>
        </w:trPr>
        <w:tc>
          <w:tcPr>
            <w:tcW w:type="dxa" w:w="4873"/>
            <w:vAlign w:val="center"/>
          </w:tcPr>
          <w:p>
            <w:pPr>
              <w:spacing w:line="276" w:lineRule="auto" w:before="0" w:after="0"/>
            </w:pPr>
            <w:r/>
            <w:r>
              <w:rPr>
                <w:rFonts w:ascii="Figtree" w:hAnsi="Figtree"/>
                <w:b w:val="0"/>
                <w:i w:val="0"/>
                <w:sz w:val="20"/>
              </w:rPr>
              <w:t>P4 response time</w:t>
            </w:r>
          </w:p>
        </w:tc>
        <w:tc>
          <w:tcPr>
            <w:tcW w:type="dxa" w:w="4873"/>
            <w:vAlign w:val="center"/>
          </w:tcPr>
          <w:p>
            <w:pPr>
              <w:spacing w:line="276" w:lineRule="auto" w:before="0" w:after="0"/>
            </w:pPr>
            <w:r/>
            <w:r>
              <w:rPr>
                <w:rFonts w:ascii="Figtree" w:hAnsi="Figtree"/>
                <w:b w:val="0"/>
                <w:i w:val="0"/>
                <w:sz w:val="20"/>
              </w:rPr>
              <w:t>3 business days</w:t>
            </w:r>
          </w:p>
        </w:tc>
      </w:tr>
      <w:tr>
        <w:trPr>
          <w:trHeight w:val="425" w:hRule="atLeast"/>
        </w:trPr>
        <w:tc>
          <w:tcPr>
            <w:tcW w:type="dxa" w:w="4873"/>
            <w:vAlign w:val="center"/>
          </w:tcPr>
          <w:p>
            <w:pPr>
              <w:spacing w:line="276" w:lineRule="auto" w:before="0" w:after="0"/>
            </w:pPr>
            <w:r/>
            <w:r>
              <w:rPr>
                <w:rFonts w:ascii="Figtree" w:hAnsi="Figtree"/>
                <w:b w:val="0"/>
                <w:i w:val="0"/>
                <w:sz w:val="20"/>
              </w:rPr>
              <w:t>Dedicated support engineer</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Support channels</w:t>
            </w:r>
          </w:p>
        </w:tc>
        <w:tc>
          <w:tcPr>
            <w:tcW w:type="dxa" w:w="4873"/>
            <w:vAlign w:val="center"/>
          </w:tcPr>
          <w:p>
            <w:pPr>
              <w:spacing w:line="276" w:lineRule="auto" w:before="0" w:after="0"/>
            </w:pPr>
            <w:r/>
            <w:r>
              <w:rPr>
                <w:rFonts w:ascii="Figtree" w:hAnsi="Figtree"/>
                <w:b w:val="0"/>
                <w:i w:val="0"/>
                <w:sz w:val="20"/>
              </w:rPr>
              <w:t>Email, portal, dedicated Slack/Teams, phone escalation</w:t>
            </w:r>
          </w:p>
        </w:tc>
      </w:tr>
      <w:tr>
        <w:trPr>
          <w:trHeight w:val="425" w:hRule="atLeast"/>
        </w:trPr>
        <w:tc>
          <w:tcPr>
            <w:tcW w:type="dxa" w:w="4873"/>
            <w:vAlign w:val="center"/>
          </w:tcPr>
          <w:p>
            <w:pPr>
              <w:spacing w:line="276" w:lineRule="auto" w:before="0" w:after="0"/>
            </w:pPr>
            <w:r/>
            <w:r>
              <w:rPr>
                <w:rFonts w:ascii="Figtree" w:hAnsi="Figtree"/>
                <w:b w:val="0"/>
                <w:i w:val="0"/>
                <w:sz w:val="20"/>
              </w:rPr>
              <w:t>Named contacts</w:t>
            </w:r>
          </w:p>
        </w:tc>
        <w:tc>
          <w:tcPr>
            <w:tcW w:type="dxa" w:w="4873"/>
            <w:vAlign w:val="center"/>
          </w:tcPr>
          <w:p>
            <w:pPr>
              <w:spacing w:line="276" w:lineRule="auto" w:before="0" w:after="0"/>
            </w:pPr>
            <w:r/>
            <w:r>
              <w:rPr>
                <w:rFonts w:ascii="Figtree" w:hAnsi="Figtree"/>
                <w:b w:val="0"/>
                <w:i w:val="0"/>
                <w:sz w:val="20"/>
              </w:rPr>
              <w:t>Up to 8 authorized</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99.95% monthly</w:t>
            </w:r>
          </w:p>
        </w:tc>
      </w:tr>
      <w:tr>
        <w:trPr>
          <w:trHeight w:val="425" w:hRule="atLeast"/>
        </w:trPr>
        <w:tc>
          <w:tcPr>
            <w:tcW w:type="dxa" w:w="4873"/>
            <w:vAlign w:val="center"/>
          </w:tcPr>
          <w:p>
            <w:pPr>
              <w:spacing w:line="276" w:lineRule="auto" w:before="0" w:after="0"/>
            </w:pPr>
            <w:r/>
            <w:r>
              <w:rPr>
                <w:rFonts w:ascii="Figtree" w:hAnsi="Figtree"/>
                <w:b w:val="0"/>
                <w:i w:val="0"/>
                <w:sz w:val="20"/>
              </w:rPr>
              <w:t>Platform updates</w:t>
            </w:r>
          </w:p>
        </w:tc>
        <w:tc>
          <w:tcPr>
            <w:tcW w:type="dxa" w:w="4873"/>
            <w:vAlign w:val="center"/>
          </w:tcPr>
          <w:p>
            <w:pPr>
              <w:spacing w:line="276" w:lineRule="auto" w:before="0" w:after="0"/>
            </w:pPr>
            <w:r/>
            <w:r>
              <w:rPr>
                <w:rFonts w:ascii="Figtree" w:hAnsi="Figtree"/>
                <w:b w:val="0"/>
                <w:i w:val="0"/>
                <w:sz w:val="20"/>
              </w:rPr>
              <w:t>Monthly release cycle with early access</w:t>
            </w:r>
          </w:p>
        </w:tc>
      </w:tr>
      <w:tr>
        <w:trPr>
          <w:trHeight w:val="425" w:hRule="atLeast"/>
        </w:trPr>
        <w:tc>
          <w:tcPr>
            <w:tcW w:type="dxa" w:w="4873"/>
            <w:vAlign w:val="center"/>
          </w:tcPr>
          <w:p>
            <w:pPr>
              <w:spacing w:line="276" w:lineRule="auto" w:before="0" w:after="0"/>
            </w:pPr>
            <w:r/>
            <w:r>
              <w:rPr>
                <w:rFonts w:ascii="Figtree" w:hAnsi="Figtree"/>
                <w:b w:val="0"/>
                <w:i w:val="0"/>
                <w:sz w:val="20"/>
              </w:rPr>
              <w:t>Proactive monitoring</w:t>
            </w:r>
          </w:p>
        </w:tc>
        <w:tc>
          <w:tcPr>
            <w:tcW w:type="dxa" w:w="4873"/>
            <w:vAlign w:val="center"/>
          </w:tcPr>
          <w:p>
            <w:pPr>
              <w:spacing w:line="276" w:lineRule="auto" w:before="0" w:after="0"/>
            </w:pPr>
            <w:r/>
            <w:r>
              <w:rPr>
                <w:rFonts w:ascii="Figtree" w:hAnsi="Figtree"/>
                <w:b w:val="0"/>
                <w:i w:val="0"/>
                <w:sz w:val="20"/>
              </w:rPr>
              <w:t>Enhanced with anomaly detection</w:t>
            </w:r>
          </w:p>
        </w:tc>
      </w:tr>
      <w:tr>
        <w:trPr>
          <w:trHeight w:val="425" w:hRule="atLeast"/>
        </w:trPr>
        <w:tc>
          <w:tcPr>
            <w:tcW w:type="dxa" w:w="4873"/>
            <w:vAlign w:val="center"/>
          </w:tcPr>
          <w:p>
            <w:pPr>
              <w:spacing w:line="276" w:lineRule="auto" w:before="0" w:after="0"/>
            </w:pPr>
            <w:r/>
            <w:r>
              <w:rPr>
                <w:rFonts w:ascii="Figtree" w:hAnsi="Figtree"/>
                <w:b w:val="0"/>
                <w:i w:val="0"/>
                <w:sz w:val="20"/>
              </w:rPr>
              <w:t>Account management</w:t>
            </w:r>
          </w:p>
        </w:tc>
        <w:tc>
          <w:tcPr>
            <w:tcW w:type="dxa" w:w="4873"/>
            <w:vAlign w:val="center"/>
          </w:tcPr>
          <w:p>
            <w:pPr>
              <w:spacing w:line="276" w:lineRule="auto" w:before="0" w:after="0"/>
            </w:pPr>
            <w:r/>
            <w:r>
              <w:rPr>
                <w:rFonts w:ascii="Figtree" w:hAnsi="Figtree"/>
                <w:b w:val="0"/>
                <w:i w:val="0"/>
                <w:sz w:val="20"/>
              </w:rPr>
              <w:t>Monthly business review with technical deep-dive</w:t>
            </w:r>
          </w:p>
        </w:tc>
      </w:tr>
    </w:tbl>
    <w:p>
      <w:pPr>
        <w:spacing w:before="0" w:after="0" w:line="120" w:lineRule="exact"/>
      </w:pPr>
    </w:p>
    <w:p>
      <w:pPr>
        <w:pStyle w:val="H3"/>
        <w:numPr>
          <w:ilvl w:val="2"/>
          <w:numId w:val="1"/>
        </w:numPr>
      </w:pPr>
      <w:r>
        <w:t>Severity Definitions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74"/>
        <w:gridCol w:w="3855"/>
        <w:gridCol w:w="1701"/>
        <w:gridCol w:w="204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 Target</w:t>
            </w:r>
          </w:p>
        </w:tc>
      </w:tr>
      <w:tr>
        <w:trPr>
          <w:trHeight w:val="425" w:hRule="atLeast"/>
        </w:trPr>
        <w:tc>
          <w:tcPr>
            <w:tcW w:type="dxa" w:w="2436"/>
            <w:vAlign w:val="center"/>
          </w:tcPr>
          <w:p>
            <w:pPr>
              <w:spacing w:line="276" w:lineRule="auto" w:before="0" w:after="0"/>
            </w:pPr>
            <w:r/>
            <w:r>
              <w:rPr>
                <w:rFonts w:ascii="Figtree" w:hAnsi="Figtree"/>
                <w:b w:val="0"/>
                <w:i w:val="0"/>
                <w:sz w:val="20"/>
              </w:rPr>
              <w:t>P1 - Critical</w:t>
            </w:r>
          </w:p>
        </w:tc>
        <w:tc>
          <w:tcPr>
            <w:tcW w:type="dxa" w:w="2436"/>
            <w:vAlign w:val="center"/>
          </w:tcPr>
          <w:p>
            <w:pPr>
              <w:spacing w:line="276" w:lineRule="auto" w:before="0" w:after="0"/>
            </w:pPr>
            <w:r/>
            <w:r>
              <w:rPr>
                <w:rFonts w:ascii="Figtree" w:hAnsi="Figtree"/>
                <w:b w:val="0"/>
                <w:i w:val="0"/>
                <w:sz w:val="20"/>
              </w:rPr>
              <w:t>Production down, no workaround</w:t>
            </w:r>
          </w:p>
        </w:tc>
        <w:tc>
          <w:tcPr>
            <w:tcW w:type="dxa" w:w="2436"/>
            <w:vAlign w:val="center"/>
          </w:tcPr>
          <w:p>
            <w:pPr>
              <w:spacing w:line="276" w:lineRule="auto" w:before="0" w:after="0"/>
            </w:pPr>
            <w:r/>
            <w:r>
              <w:rPr>
                <w:rFonts w:ascii="Figtree" w:hAnsi="Figtree"/>
                <w:b w:val="0"/>
                <w:i w:val="0"/>
                <w:sz w:val="20"/>
              </w:rPr>
              <w:t>2 hours</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P2 - High</w:t>
            </w:r>
          </w:p>
        </w:tc>
        <w:tc>
          <w:tcPr>
            <w:tcW w:type="dxa" w:w="2436"/>
            <w:vAlign w:val="center"/>
          </w:tcPr>
          <w:p>
            <w:pPr>
              <w:spacing w:line="276" w:lineRule="auto" w:before="0" w:after="0"/>
            </w:pPr>
            <w:r/>
            <w:r>
              <w:rPr>
                <w:rFonts w:ascii="Figtree" w:hAnsi="Figtree"/>
                <w:b w:val="0"/>
                <w:i w:val="0"/>
                <w:sz w:val="20"/>
              </w:rPr>
              <w:t>Major functionality impaired</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8 hours</w:t>
            </w:r>
          </w:p>
        </w:tc>
      </w:tr>
      <w:tr>
        <w:trPr>
          <w:trHeight w:val="425" w:hRule="atLeast"/>
        </w:trPr>
        <w:tc>
          <w:tcPr>
            <w:tcW w:type="dxa" w:w="2436"/>
            <w:vAlign w:val="center"/>
          </w:tcPr>
          <w:p>
            <w:pPr>
              <w:spacing w:line="276" w:lineRule="auto" w:before="0" w:after="0"/>
            </w:pPr>
            <w:r/>
            <w:r>
              <w:rPr>
                <w:rFonts w:ascii="Figtree" w:hAnsi="Figtree"/>
                <w:b w:val="0"/>
                <w:i w:val="0"/>
                <w:sz w:val="20"/>
              </w:rPr>
              <w:t>P3 - Medium</w:t>
            </w:r>
          </w:p>
        </w:tc>
        <w:tc>
          <w:tcPr>
            <w:tcW w:type="dxa" w:w="2436"/>
            <w:vAlign w:val="center"/>
          </w:tcPr>
          <w:p>
            <w:pPr>
              <w:spacing w:line="276" w:lineRule="auto" w:before="0" w:after="0"/>
            </w:pPr>
            <w:r/>
            <w:r>
              <w:rPr>
                <w:rFonts w:ascii="Figtree" w:hAnsi="Figtree"/>
                <w:b w:val="0"/>
                <w:i w:val="0"/>
                <w:sz w:val="20"/>
              </w:rPr>
              <w:t>Minor functionality impaired</w:t>
            </w:r>
          </w:p>
        </w:tc>
        <w:tc>
          <w:tcPr>
            <w:tcW w:type="dxa" w:w="2436"/>
            <w:vAlign w:val="center"/>
          </w:tcPr>
          <w:p>
            <w:pPr>
              <w:spacing w:line="276" w:lineRule="auto" w:before="0" w:after="0"/>
            </w:pPr>
            <w:r/>
            <w:r>
              <w:rPr>
                <w:rFonts w:ascii="Figtree" w:hAnsi="Figtree"/>
                <w:b w:val="0"/>
                <w:i w:val="0"/>
                <w:sz w:val="20"/>
              </w:rPr>
              <w:t>1 business day</w:t>
            </w:r>
          </w:p>
        </w:tc>
        <w:tc>
          <w:tcPr>
            <w:tcW w:type="dxa" w:w="2436"/>
            <w:vAlign w:val="center"/>
          </w:tcPr>
          <w:p>
            <w:pPr>
              <w:spacing w:line="276" w:lineRule="auto" w:before="0" w:after="0"/>
            </w:pPr>
            <w:r/>
            <w:r>
              <w:rPr>
                <w:rFonts w:ascii="Figtree" w:hAnsi="Figtree"/>
                <w:b w:val="0"/>
                <w:i w:val="0"/>
                <w:sz w:val="20"/>
              </w:rPr>
              <w:t>5 business days</w:t>
            </w:r>
          </w:p>
        </w:tc>
      </w:tr>
      <w:tr>
        <w:trPr>
          <w:trHeight w:val="425" w:hRule="atLeast"/>
        </w:trPr>
        <w:tc>
          <w:tcPr>
            <w:tcW w:type="dxa" w:w="2436"/>
            <w:vAlign w:val="center"/>
          </w:tcPr>
          <w:p>
            <w:pPr>
              <w:spacing w:line="276" w:lineRule="auto" w:before="0" w:after="0"/>
            </w:pPr>
            <w:r/>
            <w:r>
              <w:rPr>
                <w:rFonts w:ascii="Figtree" w:hAnsi="Figtree"/>
                <w:b w:val="0"/>
                <w:i w:val="0"/>
                <w:sz w:val="20"/>
              </w:rPr>
              <w:t>P4 - Low</w:t>
            </w:r>
          </w:p>
        </w:tc>
        <w:tc>
          <w:tcPr>
            <w:tcW w:type="dxa" w:w="2436"/>
            <w:vAlign w:val="center"/>
          </w:tcPr>
          <w:p>
            <w:pPr>
              <w:spacing w:line="276" w:lineRule="auto" w:before="0" w:after="0"/>
            </w:pPr>
            <w:r/>
            <w:r>
              <w:rPr>
                <w:rFonts w:ascii="Figtree" w:hAnsi="Figtree"/>
                <w:b w:val="0"/>
                <w:i w:val="0"/>
                <w:sz w:val="20"/>
              </w:rPr>
              <w:t>Enhancement request, documentation</w:t>
            </w:r>
          </w:p>
        </w:tc>
        <w:tc>
          <w:tcPr>
            <w:tcW w:type="dxa" w:w="2436"/>
            <w:vAlign w:val="center"/>
          </w:tcPr>
          <w:p>
            <w:pPr>
              <w:spacing w:line="276" w:lineRule="auto" w:before="0" w:after="0"/>
            </w:pPr>
            <w:r/>
            <w:r>
              <w:rPr>
                <w:rFonts w:ascii="Figtree" w:hAnsi="Figtree"/>
                <w:b w:val="0"/>
                <w:i w:val="0"/>
                <w:sz w:val="20"/>
              </w:rPr>
              <w:t>3 business days</w:t>
            </w:r>
          </w:p>
        </w:tc>
        <w:tc>
          <w:tcPr>
            <w:tcW w:type="dxa" w:w="2436"/>
            <w:vAlign w:val="center"/>
          </w:tcPr>
          <w:p>
            <w:pPr>
              <w:spacing w:line="276" w:lineRule="auto" w:before="0" w:after="0"/>
            </w:pPr>
            <w:r/>
            <w:r>
              <w:rPr>
                <w:rFonts w:ascii="Figtree" w:hAnsi="Figtree"/>
                <w:b w:val="0"/>
                <w:i w:val="0"/>
                <w:sz w:val="20"/>
              </w:rPr>
              <w:t>Next release cycle</w:t>
            </w:r>
          </w:p>
        </w:tc>
      </w:tr>
    </w:tbl>
    <w:p>
      <w:pPr>
        <w:spacing w:before="0" w:after="0" w:line="120" w:lineRule="exact"/>
      </w:pPr>
    </w:p>
    <w:p>
      <w:pPr>
        <w:pStyle w:val="H3"/>
        <w:numPr>
          <w:ilvl w:val="2"/>
          <w:numId w:val="1"/>
        </w:numPr>
      </w:pPr>
      <w:r>
        <w:t>Escalation Path</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10"/>
        <w:gridCol w:w="4536"/>
        <w:gridCol w:w="372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Level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Timeframe</w:t>
            </w:r>
          </w:p>
        </w:tc>
      </w:tr>
      <w:tr>
        <w:trPr>
          <w:trHeight w:val="425" w:hRule="atLeast"/>
        </w:trPr>
        <w:tc>
          <w:tcPr>
            <w:tcW w:type="dxa" w:w="3249"/>
            <w:vAlign w:val="center"/>
          </w:tcPr>
          <w:p>
            <w:pPr>
              <w:spacing w:line="276" w:lineRule="auto" w:before="0" w:after="0"/>
            </w:pPr>
            <w:r/>
            <w:r>
              <w:rPr>
                <w:rFonts w:ascii="Figtree" w:hAnsi="Figtree"/>
                <w:b w:val="0"/>
                <w:i w:val="0"/>
                <w:sz w:val="20"/>
              </w:rPr>
              <w:t>L1</w:t>
            </w:r>
          </w:p>
        </w:tc>
        <w:tc>
          <w:tcPr>
            <w:tcW w:type="dxa" w:w="3249"/>
            <w:vAlign w:val="center"/>
          </w:tcPr>
          <w:p>
            <w:pPr>
              <w:spacing w:line="276" w:lineRule="auto" w:before="0" w:after="0"/>
            </w:pPr>
            <w:r/>
            <w:r>
              <w:rPr>
                <w:rFonts w:ascii="Figtree" w:hAnsi="Figtree"/>
                <w:b w:val="0"/>
                <w:i w:val="0"/>
                <w:sz w:val="20"/>
              </w:rPr>
              <w:t>Dedicated support engineer</w:t>
            </w:r>
          </w:p>
        </w:tc>
        <w:tc>
          <w:tcPr>
            <w:tcW w:type="dxa" w:w="3249"/>
            <w:vAlign w:val="center"/>
          </w:tcPr>
          <w:p>
            <w:pPr>
              <w:spacing w:line="276" w:lineRule="auto" w:before="0" w:after="0"/>
            </w:pPr>
            <w:r/>
            <w:r>
              <w:rPr>
                <w:rFonts w:ascii="Figtree" w:hAnsi="Figtree"/>
                <w:b w:val="0"/>
                <w:i w:val="0"/>
                <w:sz w:val="20"/>
              </w:rPr>
              <w:t>Immediate</w:t>
            </w:r>
          </w:p>
        </w:tc>
      </w:tr>
      <w:tr>
        <w:trPr>
          <w:trHeight w:val="425" w:hRule="atLeast"/>
        </w:trPr>
        <w:tc>
          <w:tcPr>
            <w:tcW w:type="dxa" w:w="3249"/>
            <w:vAlign w:val="center"/>
          </w:tcPr>
          <w:p>
            <w:pPr>
              <w:spacing w:line="276" w:lineRule="auto" w:before="0" w:after="0"/>
            </w:pPr>
            <w:r/>
            <w:r>
              <w:rPr>
                <w:rFonts w:ascii="Figtree" w:hAnsi="Figtree"/>
                <w:b w:val="0"/>
                <w:i w:val="0"/>
                <w:sz w:val="20"/>
              </w:rPr>
              <w:t>L2</w:t>
            </w:r>
          </w:p>
        </w:tc>
        <w:tc>
          <w:tcPr>
            <w:tcW w:type="dxa" w:w="3249"/>
            <w:vAlign w:val="center"/>
          </w:tcPr>
          <w:p>
            <w:pPr>
              <w:spacing w:line="276" w:lineRule="auto" w:before="0" w:after="0"/>
            </w:pPr>
            <w:r/>
            <w:r>
              <w:rPr>
                <w:rFonts w:ascii="Figtree" w:hAnsi="Figtree"/>
                <w:b w:val="0"/>
                <w:i w:val="0"/>
                <w:sz w:val="20"/>
              </w:rPr>
              <w:t>Senior platform engineer</w:t>
            </w:r>
          </w:p>
        </w:tc>
        <w:tc>
          <w:tcPr>
            <w:tcW w:type="dxa" w:w="3249"/>
            <w:vAlign w:val="center"/>
          </w:tcPr>
          <w:p>
            <w:pPr>
              <w:spacing w:line="276" w:lineRule="auto" w:before="0" w:after="0"/>
            </w:pPr>
            <w:r/>
            <w:r>
              <w:rPr>
                <w:rFonts w:ascii="Figtree" w:hAnsi="Figtree"/>
                <w:b w:val="0"/>
                <w:i w:val="0"/>
                <w:sz w:val="20"/>
              </w:rPr>
              <w:t>P1: 1 hour, P2: 2 hours</w:t>
            </w:r>
          </w:p>
        </w:tc>
      </w:tr>
      <w:tr>
        <w:trPr>
          <w:trHeight w:val="425" w:hRule="atLeast"/>
        </w:trPr>
        <w:tc>
          <w:tcPr>
            <w:tcW w:type="dxa" w:w="3249"/>
            <w:vAlign w:val="center"/>
          </w:tcPr>
          <w:p>
            <w:pPr>
              <w:spacing w:line="276" w:lineRule="auto" w:before="0" w:after="0"/>
            </w:pPr>
            <w:r/>
            <w:r>
              <w:rPr>
                <w:rFonts w:ascii="Figtree" w:hAnsi="Figtree"/>
                <w:b w:val="0"/>
                <w:i w:val="0"/>
                <w:sz w:val="20"/>
              </w:rPr>
              <w:t>L3</w:t>
            </w:r>
          </w:p>
        </w:tc>
        <w:tc>
          <w:tcPr>
            <w:tcW w:type="dxa" w:w="3249"/>
            <w:vAlign w:val="center"/>
          </w:tcPr>
          <w:p>
            <w:pPr>
              <w:spacing w:line="276" w:lineRule="auto" w:before="0" w:after="0"/>
            </w:pPr>
            <w:r/>
            <w:r>
              <w:rPr>
                <w:rFonts w:ascii="Figtree" w:hAnsi="Figtree"/>
                <w:b w:val="0"/>
                <w:i w:val="0"/>
                <w:sz w:val="20"/>
              </w:rPr>
              <w:t>CTO / Engineering leadership</w:t>
            </w:r>
          </w:p>
        </w:tc>
        <w:tc>
          <w:tcPr>
            <w:tcW w:type="dxa" w:w="3249"/>
            <w:vAlign w:val="center"/>
          </w:tcPr>
          <w:p>
            <w:pPr>
              <w:spacing w:line="276" w:lineRule="auto" w:before="0" w:after="0"/>
            </w:pPr>
            <w:r/>
            <w:r>
              <w:rPr>
                <w:rFonts w:ascii="Figtree" w:hAnsi="Figtree"/>
                <w:b w:val="0"/>
                <w:i w:val="0"/>
                <w:sz w:val="20"/>
              </w:rPr>
              <w:t>P1: 2 hours</w:t>
            </w:r>
          </w:p>
        </w:tc>
      </w:tr>
    </w:tbl>
    <w:p>
      <w:pPr>
        <w:spacing w:before="0" w:after="0" w:line="120" w:lineRule="exact"/>
      </w:pPr>
    </w:p>
    <w:p>
      <w:r>
        <w:br w:type="page"/>
      </w:r>
    </w:p>
    <w:p>
      <w:pPr>
        <w:pStyle w:val="H2"/>
        <w:numPr>
          <w:ilvl w:val="1"/>
          <w:numId w:val="1"/>
        </w:numPr>
      </w:pPr>
      <w:r>
        <w:t>Risk Management</w:t>
      </w:r>
    </w:p>
    <w:p>
      <w:pPr>
        <w:pStyle w:val="H3"/>
        <w:numPr>
          <w:ilvl w:val="2"/>
          <w:numId w:val="1"/>
        </w:numPr>
      </w:pPr>
      <w:r>
        <w:t>Risk Management Approach</w:t>
      </w:r>
    </w:p>
    <w:p>
      <w:r>
        <w:rPr>
          <w:rFonts w:ascii="Figtree" w:hAnsi="Figtree"/>
          <w:b w:val="0"/>
          <w:i w:val="0"/>
          <w:sz w:val="22"/>
        </w:rPr>
        <w:t>Risks are identified, assessed, mitigated, and monitored throughout the implementation lifecycle. The RAID register is established in Phase 1 and reviewed at every gate review and steering committee meeting.</w:t>
      </w:r>
    </w:p>
    <w:p>
      <w:pPr>
        <w:pStyle w:val="H3"/>
        <w:numPr>
          <w:ilvl w:val="2"/>
          <w:numId w:val="1"/>
        </w:numPr>
      </w:pPr>
      <w:r>
        <w:t>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48"/>
        <w:gridCol w:w="2592"/>
        <w:gridCol w:w="648"/>
        <w:gridCol w:w="648"/>
        <w:gridCol w:w="3887"/>
        <w:gridCol w:w="648"/>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Owner</w:t>
            </w:r>
          </w:p>
        </w:tc>
      </w:tr>
      <w:tr>
        <w:trPr>
          <w:trHeight w:val="425" w:hRule="atLeast"/>
        </w:trPr>
        <w:tc>
          <w:tcPr>
            <w:tcW w:type="dxa" w:w="1624"/>
            <w:vAlign w:val="center"/>
          </w:tcPr>
          <w:p>
            <w:pPr>
              <w:spacing w:line="276" w:lineRule="auto" w:before="0" w:after="0"/>
            </w:pPr>
            <w:r/>
            <w:r>
              <w:rPr>
                <w:rFonts w:ascii="Figtree" w:hAnsi="Figtree"/>
                <w:b w:val="0"/>
                <w:i w:val="0"/>
                <w:sz w:val="20"/>
              </w:rPr>
              <w:t>R1</w:t>
            </w:r>
          </w:p>
        </w:tc>
        <w:tc>
          <w:tcPr>
            <w:tcW w:type="dxa" w:w="1624"/>
            <w:vAlign w:val="center"/>
          </w:tcPr>
          <w:p>
            <w:pPr>
              <w:spacing w:line="276" w:lineRule="auto" w:before="0" w:after="0"/>
            </w:pPr>
            <w:r/>
            <w:r>
              <w:rPr>
                <w:rFonts w:ascii="Figtree" w:hAnsi="Figtree"/>
                <w:b w:val="0"/>
                <w:i w:val="0"/>
                <w:sz w:val="20"/>
              </w:rPr>
              <w:t>Regulatory changes during implementation</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Configurable compliance modules; quarterly regulatory review sessions</w:t>
            </w:r>
          </w:p>
        </w:tc>
        <w:tc>
          <w:tcPr>
            <w:tcW w:type="dxa" w:w="1624"/>
            <w:vAlign w:val="center"/>
          </w:tcPr>
          <w:p>
            <w:pPr>
              <w:spacing w:line="276" w:lineRule="auto" w:before="0" w:after="0"/>
            </w:pPr>
            <w:r/>
            <w:r>
              <w:rPr>
                <w:rFonts w:ascii="Figtree" w:hAnsi="Figtree"/>
                <w:b w:val="0"/>
                <w:i w:val="0"/>
                <w:sz w:val="20"/>
              </w:rPr>
              <w:t>Joint</w:t>
            </w:r>
          </w:p>
        </w:tc>
      </w:tr>
      <w:tr>
        <w:trPr>
          <w:trHeight w:val="425" w:hRule="atLeast"/>
        </w:trPr>
        <w:tc>
          <w:tcPr>
            <w:tcW w:type="dxa" w:w="1624"/>
            <w:vAlign w:val="center"/>
          </w:tcPr>
          <w:p>
            <w:pPr>
              <w:spacing w:line="276" w:lineRule="auto" w:before="0" w:after="0"/>
            </w:pPr>
            <w:r/>
            <w:r>
              <w:rPr>
                <w:rFonts w:ascii="Figtree" w:hAnsi="Figtree"/>
                <w:b w:val="0"/>
                <w:i w:val="0"/>
                <w:sz w:val="20"/>
              </w:rPr>
              <w:t>R2</w:t>
            </w:r>
          </w:p>
        </w:tc>
        <w:tc>
          <w:tcPr>
            <w:tcW w:type="dxa" w:w="1624"/>
            <w:vAlign w:val="center"/>
          </w:tcPr>
          <w:p>
            <w:pPr>
              <w:spacing w:line="276" w:lineRule="auto" w:before="0" w:after="0"/>
            </w:pPr>
            <w:r/>
            <w:r>
              <w:rPr>
                <w:rFonts w:ascii="Figtree" w:hAnsi="Figtree"/>
                <w:b w:val="0"/>
                <w:i w:val="0"/>
                <w:sz w:val="20"/>
              </w:rPr>
              <w:t>Core banking API availability delay</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Early API provisioning (Phase 2); mock integration for parallel progress</w:t>
            </w:r>
          </w:p>
        </w:tc>
        <w:tc>
          <w:tcPr>
            <w:tcW w:type="dxa" w:w="1624"/>
            <w:vAlign w:val="center"/>
          </w:tcPr>
          <w:p>
            <w:pPr>
              <w:spacing w:line="276" w:lineRule="auto" w:before="0" w:after="0"/>
            </w:pPr>
            <w:r/>
            <w:r>
              <w:rPr>
                <w:rFonts w:ascii="Figtree" w:hAnsi="Figtree"/>
                <w:b w:val="0"/>
                <w:i w:val="0"/>
                <w:sz w:val="20"/>
              </w:rPr>
              <w:t>Emirates NBD</w:t>
            </w:r>
          </w:p>
        </w:tc>
      </w:tr>
      <w:tr>
        <w:trPr>
          <w:trHeight w:val="425" w:hRule="atLeast"/>
        </w:trPr>
        <w:tc>
          <w:tcPr>
            <w:tcW w:type="dxa" w:w="1624"/>
            <w:vAlign w:val="center"/>
          </w:tcPr>
          <w:p>
            <w:pPr>
              <w:spacing w:line="276" w:lineRule="auto" w:before="0" w:after="0"/>
            </w:pPr>
            <w:r/>
            <w:r>
              <w:rPr>
                <w:rFonts w:ascii="Figtree" w:hAnsi="Figtree"/>
                <w:b w:val="0"/>
                <w:i w:val="0"/>
                <w:sz w:val="20"/>
              </w:rPr>
              <w:t>R3</w:t>
            </w:r>
          </w:p>
        </w:tc>
        <w:tc>
          <w:tcPr>
            <w:tcW w:type="dxa" w:w="1624"/>
            <w:vAlign w:val="center"/>
          </w:tcPr>
          <w:p>
            <w:pPr>
              <w:spacing w:line="276" w:lineRule="auto" w:before="0" w:after="0"/>
            </w:pPr>
            <w:r/>
            <w:r>
              <w:rPr>
                <w:rFonts w:ascii="Figtree" w:hAnsi="Figtree"/>
                <w:b w:val="0"/>
                <w:i w:val="0"/>
                <w:sz w:val="20"/>
              </w:rPr>
              <w:t>Trade finance back-office integration complexity</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Discovery deep-dive in Phase 1; integration specialist allocation</w:t>
            </w:r>
          </w:p>
        </w:tc>
        <w:tc>
          <w:tcPr>
            <w:tcW w:type="dxa" w:w="1624"/>
            <w:vAlign w:val="center"/>
          </w:tcPr>
          <w:p>
            <w:pPr>
              <w:spacing w:line="276" w:lineRule="auto" w:before="0" w:after="0"/>
            </w:pPr>
            <w:r/>
            <w:r>
              <w:rPr>
                <w:rFonts w:ascii="Figtree" w:hAnsi="Figtree"/>
                <w:b w:val="0"/>
                <w:i w:val="0"/>
                <w:sz w:val="20"/>
              </w:rPr>
              <w:t>SettleMint</w:t>
            </w:r>
          </w:p>
        </w:tc>
      </w:tr>
      <w:tr>
        <w:trPr>
          <w:trHeight w:val="425" w:hRule="atLeast"/>
        </w:trPr>
        <w:tc>
          <w:tcPr>
            <w:tcW w:type="dxa" w:w="1624"/>
            <w:vAlign w:val="center"/>
          </w:tcPr>
          <w:p>
            <w:pPr>
              <w:spacing w:line="276" w:lineRule="auto" w:before="0" w:after="0"/>
            </w:pPr>
            <w:r/>
            <w:r>
              <w:rPr>
                <w:rFonts w:ascii="Figtree" w:hAnsi="Figtree"/>
                <w:b w:val="0"/>
                <w:i w:val="0"/>
                <w:sz w:val="20"/>
              </w:rPr>
              <w:t>R4</w:t>
            </w:r>
          </w:p>
        </w:tc>
        <w:tc>
          <w:tcPr>
            <w:tcW w:type="dxa" w:w="1624"/>
            <w:vAlign w:val="center"/>
          </w:tcPr>
          <w:p>
            <w:pPr>
              <w:spacing w:line="276" w:lineRule="auto" w:before="0" w:after="0"/>
            </w:pPr>
            <w:r/>
            <w:r>
              <w:rPr>
                <w:rFonts w:ascii="Figtree" w:hAnsi="Figtree"/>
                <w:b w:val="0"/>
                <w:i w:val="0"/>
                <w:sz w:val="20"/>
              </w:rPr>
              <w:t>Custody provider onboarding delay</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Early engagement (Phase 1); fallback to platform signer for testing</w:t>
            </w:r>
          </w:p>
        </w:tc>
        <w:tc>
          <w:tcPr>
            <w:tcW w:type="dxa" w:w="1624"/>
            <w:vAlign w:val="center"/>
          </w:tcPr>
          <w:p>
            <w:pPr>
              <w:spacing w:line="276" w:lineRule="auto" w:before="0" w:after="0"/>
            </w:pPr>
            <w:r/>
            <w:r>
              <w:rPr>
                <w:rFonts w:ascii="Figtree" w:hAnsi="Figtree"/>
                <w:b w:val="0"/>
                <w:i w:val="0"/>
                <w:sz w:val="20"/>
              </w:rPr>
              <w:t>Joint</w:t>
            </w:r>
          </w:p>
        </w:tc>
      </w:tr>
      <w:tr>
        <w:trPr>
          <w:trHeight w:val="425" w:hRule="atLeast"/>
        </w:trPr>
        <w:tc>
          <w:tcPr>
            <w:tcW w:type="dxa" w:w="1624"/>
            <w:vAlign w:val="center"/>
          </w:tcPr>
          <w:p>
            <w:pPr>
              <w:spacing w:line="276" w:lineRule="auto" w:before="0" w:after="0"/>
            </w:pPr>
            <w:r/>
            <w:r>
              <w:rPr>
                <w:rFonts w:ascii="Figtree" w:hAnsi="Figtree"/>
                <w:b w:val="0"/>
                <w:i w:val="0"/>
                <w:sz w:val="20"/>
              </w:rPr>
              <w:t>R5</w:t>
            </w:r>
          </w:p>
        </w:tc>
        <w:tc>
          <w:tcPr>
            <w:tcW w:type="dxa" w:w="1624"/>
            <w:vAlign w:val="center"/>
          </w:tcPr>
          <w:p>
            <w:pPr>
              <w:spacing w:line="276" w:lineRule="auto" w:before="0" w:after="0"/>
            </w:pPr>
            <w:r/>
            <w:r>
              <w:rPr>
                <w:rFonts w:ascii="Figtree" w:hAnsi="Figtree"/>
                <w:b w:val="0"/>
                <w:i w:val="0"/>
                <w:sz w:val="20"/>
              </w:rPr>
              <w:t>Security review timeline extension</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Pre-engagement with Emirates NBD InfoSec; incremental security testing</w:t>
            </w:r>
          </w:p>
        </w:tc>
        <w:tc>
          <w:tcPr>
            <w:tcW w:type="dxa" w:w="1624"/>
            <w:vAlign w:val="center"/>
          </w:tcPr>
          <w:p>
            <w:pPr>
              <w:spacing w:line="276" w:lineRule="auto" w:before="0" w:after="0"/>
            </w:pPr>
            <w:r/>
            <w:r>
              <w:rPr>
                <w:rFonts w:ascii="Figtree" w:hAnsi="Figtree"/>
                <w:b w:val="0"/>
                <w:i w:val="0"/>
                <w:sz w:val="20"/>
              </w:rPr>
              <w:t>Joint</w:t>
            </w:r>
          </w:p>
        </w:tc>
      </w:tr>
      <w:tr>
        <w:trPr>
          <w:trHeight w:val="425" w:hRule="atLeast"/>
        </w:trPr>
        <w:tc>
          <w:tcPr>
            <w:tcW w:type="dxa" w:w="1624"/>
            <w:vAlign w:val="center"/>
          </w:tcPr>
          <w:p>
            <w:pPr>
              <w:spacing w:line="276" w:lineRule="auto" w:before="0" w:after="0"/>
            </w:pPr>
            <w:r/>
            <w:r>
              <w:rPr>
                <w:rFonts w:ascii="Figtree" w:hAnsi="Figtree"/>
                <w:b w:val="0"/>
                <w:i w:val="0"/>
                <w:sz w:val="20"/>
              </w:rPr>
              <w:t>R6</w:t>
            </w:r>
          </w:p>
        </w:tc>
        <w:tc>
          <w:tcPr>
            <w:tcW w:type="dxa" w:w="1624"/>
            <w:vAlign w:val="center"/>
          </w:tcPr>
          <w:p>
            <w:pPr>
              <w:spacing w:line="276" w:lineRule="auto" w:before="0" w:after="0"/>
            </w:pPr>
            <w:r/>
            <w:r>
              <w:rPr>
                <w:rFonts w:ascii="Figtree" w:hAnsi="Figtree"/>
                <w:b w:val="0"/>
                <w:i w:val="0"/>
                <w:sz w:val="20"/>
              </w:rPr>
              <w:t>UAE infrastructure availability</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Multi-AZ deployment; pre-provisioned capacity</w:t>
            </w:r>
          </w:p>
        </w:tc>
        <w:tc>
          <w:tcPr>
            <w:tcW w:type="dxa" w:w="1624"/>
            <w:vAlign w:val="center"/>
          </w:tcPr>
          <w:p>
            <w:pPr>
              <w:spacing w:line="276" w:lineRule="auto" w:before="0" w:after="0"/>
            </w:pPr>
            <w:r/>
            <w:r>
              <w:rPr>
                <w:rFonts w:ascii="Figtree" w:hAnsi="Figtree"/>
                <w:b w:val="0"/>
                <w:i w:val="0"/>
                <w:sz w:val="20"/>
              </w:rPr>
              <w:t>SettleMint</w:t>
            </w:r>
          </w:p>
        </w:tc>
      </w:tr>
      <w:tr>
        <w:trPr>
          <w:trHeight w:val="425" w:hRule="atLeast"/>
        </w:trPr>
        <w:tc>
          <w:tcPr>
            <w:tcW w:type="dxa" w:w="1624"/>
            <w:vAlign w:val="center"/>
          </w:tcPr>
          <w:p>
            <w:pPr>
              <w:spacing w:line="276" w:lineRule="auto" w:before="0" w:after="0"/>
            </w:pPr>
            <w:r/>
            <w:r>
              <w:rPr>
                <w:rFonts w:ascii="Figtree" w:hAnsi="Figtree"/>
                <w:b w:val="0"/>
                <w:i w:val="0"/>
                <w:sz w:val="20"/>
              </w:rPr>
              <w:t>R7</w:t>
            </w:r>
          </w:p>
        </w:tc>
        <w:tc>
          <w:tcPr>
            <w:tcW w:type="dxa" w:w="1624"/>
            <w:vAlign w:val="center"/>
          </w:tcPr>
          <w:p>
            <w:pPr>
              <w:spacing w:line="276" w:lineRule="auto" w:before="0" w:after="0"/>
            </w:pPr>
            <w:r/>
            <w:r>
              <w:rPr>
                <w:rFonts w:ascii="Figtree" w:hAnsi="Figtree"/>
                <w:b w:val="0"/>
                <w:i w:val="0"/>
                <w:sz w:val="20"/>
              </w:rPr>
              <w:t>Client resource availability</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Effort estimates provided upfront; escalation to programme sponsor</w:t>
            </w:r>
          </w:p>
        </w:tc>
        <w:tc>
          <w:tcPr>
            <w:tcW w:type="dxa" w:w="1624"/>
            <w:vAlign w:val="center"/>
          </w:tcPr>
          <w:p>
            <w:pPr>
              <w:spacing w:line="276" w:lineRule="auto" w:before="0" w:after="0"/>
            </w:pPr>
            <w:r/>
            <w:r>
              <w:rPr>
                <w:rFonts w:ascii="Figtree" w:hAnsi="Figtree"/>
                <w:b w:val="0"/>
                <w:i w:val="0"/>
                <w:sz w:val="20"/>
              </w:rPr>
              <w:t>Emirates NBD</w:t>
            </w:r>
          </w:p>
        </w:tc>
      </w:tr>
      <w:tr>
        <w:trPr>
          <w:trHeight w:val="425" w:hRule="atLeast"/>
        </w:trPr>
        <w:tc>
          <w:tcPr>
            <w:tcW w:type="dxa" w:w="1624"/>
            <w:vAlign w:val="center"/>
          </w:tcPr>
          <w:p>
            <w:pPr>
              <w:spacing w:line="276" w:lineRule="auto" w:before="0" w:after="0"/>
            </w:pPr>
            <w:r/>
            <w:r>
              <w:rPr>
                <w:rFonts w:ascii="Figtree" w:hAnsi="Figtree"/>
                <w:b w:val="0"/>
                <w:i w:val="0"/>
                <w:sz w:val="20"/>
              </w:rPr>
              <w:t>R8</w:t>
            </w:r>
          </w:p>
        </w:tc>
        <w:tc>
          <w:tcPr>
            <w:tcW w:type="dxa" w:w="1624"/>
            <w:vAlign w:val="center"/>
          </w:tcPr>
          <w:p>
            <w:pPr>
              <w:spacing w:line="276" w:lineRule="auto" w:before="0" w:after="0"/>
            </w:pPr>
            <w:r/>
            <w:r>
              <w:rPr>
                <w:rFonts w:ascii="Figtree" w:hAnsi="Figtree"/>
                <w:b w:val="0"/>
                <w:i w:val="0"/>
                <w:sz w:val="20"/>
              </w:rPr>
              <w:t>SWIFT ISO 20022 native support timing</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Middleware layer available now; native support target Q3 2026</w:t>
            </w:r>
          </w:p>
        </w:tc>
        <w:tc>
          <w:tcPr>
            <w:tcW w:type="dxa" w:w="1624"/>
            <w:vAlign w:val="center"/>
          </w:tcPr>
          <w:p>
            <w:pPr>
              <w:spacing w:line="276" w:lineRule="auto" w:before="0" w:after="0"/>
            </w:pPr>
            <w:r/>
            <w:r>
              <w:rPr>
                <w:rFonts w:ascii="Figtree" w:hAnsi="Figtree"/>
                <w:b w:val="0"/>
                <w:i w:val="0"/>
                <w:sz w:val="20"/>
              </w:rPr>
              <w:t>SettleMint</w:t>
            </w:r>
          </w:p>
        </w:tc>
      </w:tr>
    </w:tbl>
    <w:p>
      <w:pPr>
        <w:spacing w:before="0" w:after="0" w:line="120" w:lineRule="exact"/>
      </w:pPr>
    </w:p>
    <w:p>
      <w:r>
        <w:br w:type="page"/>
      </w:r>
    </w:p>
    <w:p>
      <w:pPr>
        <w:pStyle w:val="H2"/>
        <w:numPr>
          <w:ilvl w:val="1"/>
          <w:numId w:val="1"/>
        </w:numPr>
      </w:pPr>
      <w:r>
        <w:t>Current Coverage, Dependencies, and Qualified Gaps</w:t>
      </w:r>
    </w:p>
    <w:p>
      <w:pPr>
        <w:pStyle w:val="H3"/>
        <w:numPr>
          <w:ilvl w:val="2"/>
          <w:numId w:val="1"/>
        </w:numPr>
      </w:pPr>
      <w:r>
        <w:t>Dependency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221"/>
        <w:gridCol w:w="1077"/>
        <w:gridCol w:w="377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Dependency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Risk if Delayed</w:t>
            </w:r>
          </w:p>
        </w:tc>
      </w:tr>
      <w:tr>
        <w:trPr>
          <w:trHeight w:val="425" w:hRule="atLeast"/>
        </w:trPr>
        <w:tc>
          <w:tcPr>
            <w:tcW w:type="dxa" w:w="3249"/>
            <w:vAlign w:val="center"/>
          </w:tcPr>
          <w:p>
            <w:pPr>
              <w:spacing w:line="276" w:lineRule="auto" w:before="0" w:after="0"/>
            </w:pPr>
            <w:r/>
            <w:r>
              <w:rPr>
                <w:rFonts w:ascii="Figtree" w:hAnsi="Figtree"/>
                <w:b w:val="0"/>
                <w:i w:val="0"/>
                <w:sz w:val="20"/>
              </w:rPr>
              <w:t>Core banking API access</w:t>
            </w:r>
          </w:p>
        </w:tc>
        <w:tc>
          <w:tcPr>
            <w:tcW w:type="dxa" w:w="3249"/>
            <w:vAlign w:val="center"/>
          </w:tcPr>
          <w:p>
            <w:pPr>
              <w:spacing w:line="276" w:lineRule="auto" w:before="0" w:after="0"/>
            </w:pPr>
            <w:r/>
            <w:r>
              <w:rPr>
                <w:rFonts w:ascii="Figtree" w:hAnsi="Figtree"/>
                <w:b w:val="0"/>
                <w:i w:val="0"/>
                <w:sz w:val="20"/>
              </w:rPr>
              <w:t>Emirates NBD</w:t>
            </w:r>
          </w:p>
        </w:tc>
        <w:tc>
          <w:tcPr>
            <w:tcW w:type="dxa" w:w="3249"/>
            <w:vAlign w:val="center"/>
          </w:tcPr>
          <w:p>
            <w:pPr>
              <w:spacing w:line="276" w:lineRule="auto" w:before="0" w:after="0"/>
            </w:pPr>
            <w:r/>
            <w:r>
              <w:rPr>
                <w:rFonts w:ascii="Figtree" w:hAnsi="Figtree"/>
                <w:b w:val="0"/>
                <w:i w:val="0"/>
                <w:sz w:val="20"/>
              </w:rPr>
              <w:t>Integration testing delayed</w:t>
            </w:r>
          </w:p>
        </w:tc>
      </w:tr>
      <w:tr>
        <w:trPr>
          <w:trHeight w:val="425" w:hRule="atLeast"/>
        </w:trPr>
        <w:tc>
          <w:tcPr>
            <w:tcW w:type="dxa" w:w="3249"/>
            <w:vAlign w:val="center"/>
          </w:tcPr>
          <w:p>
            <w:pPr>
              <w:spacing w:line="276" w:lineRule="auto" w:before="0" w:after="0"/>
            </w:pPr>
            <w:r/>
            <w:r>
              <w:rPr>
                <w:rFonts w:ascii="Figtree" w:hAnsi="Figtree"/>
                <w:b w:val="0"/>
                <w:i w:val="0"/>
                <w:sz w:val="20"/>
              </w:rPr>
              <w:t>Trade finance system access</w:t>
            </w:r>
          </w:p>
        </w:tc>
        <w:tc>
          <w:tcPr>
            <w:tcW w:type="dxa" w:w="3249"/>
            <w:vAlign w:val="center"/>
          </w:tcPr>
          <w:p>
            <w:pPr>
              <w:spacing w:line="276" w:lineRule="auto" w:before="0" w:after="0"/>
            </w:pPr>
            <w:r/>
            <w:r>
              <w:rPr>
                <w:rFonts w:ascii="Figtree" w:hAnsi="Figtree"/>
                <w:b w:val="0"/>
                <w:i w:val="0"/>
                <w:sz w:val="20"/>
              </w:rPr>
              <w:t>Emirates NBD</w:t>
            </w:r>
          </w:p>
        </w:tc>
        <w:tc>
          <w:tcPr>
            <w:tcW w:type="dxa" w:w="3249"/>
            <w:vAlign w:val="center"/>
          </w:tcPr>
          <w:p>
            <w:pPr>
              <w:spacing w:line="276" w:lineRule="auto" w:before="0" w:after="0"/>
            </w:pPr>
            <w:r/>
            <w:r>
              <w:rPr>
                <w:rFonts w:ascii="Figtree" w:hAnsi="Figtree"/>
                <w:b w:val="0"/>
                <w:i w:val="0"/>
                <w:sz w:val="20"/>
              </w:rPr>
              <w:t>Workflow configuration delayed</w:t>
            </w:r>
          </w:p>
        </w:tc>
      </w:tr>
      <w:tr>
        <w:trPr>
          <w:trHeight w:val="425" w:hRule="atLeast"/>
        </w:trPr>
        <w:tc>
          <w:tcPr>
            <w:tcW w:type="dxa" w:w="3249"/>
            <w:vAlign w:val="center"/>
          </w:tcPr>
          <w:p>
            <w:pPr>
              <w:spacing w:line="276" w:lineRule="auto" w:before="0" w:after="0"/>
            </w:pPr>
            <w:r/>
            <w:r>
              <w:rPr>
                <w:rFonts w:ascii="Figtree" w:hAnsi="Figtree"/>
                <w:b w:val="0"/>
                <w:i w:val="0"/>
                <w:sz w:val="20"/>
              </w:rPr>
              <w:t>KYC/AML system integration credentials</w:t>
            </w:r>
          </w:p>
        </w:tc>
        <w:tc>
          <w:tcPr>
            <w:tcW w:type="dxa" w:w="3249"/>
            <w:vAlign w:val="center"/>
          </w:tcPr>
          <w:p>
            <w:pPr>
              <w:spacing w:line="276" w:lineRule="auto" w:before="0" w:after="0"/>
            </w:pPr>
            <w:r/>
            <w:r>
              <w:rPr>
                <w:rFonts w:ascii="Figtree" w:hAnsi="Figtree"/>
                <w:b w:val="0"/>
                <w:i w:val="0"/>
                <w:sz w:val="20"/>
              </w:rPr>
              <w:t>Emirates NBD</w:t>
            </w:r>
          </w:p>
        </w:tc>
        <w:tc>
          <w:tcPr>
            <w:tcW w:type="dxa" w:w="3249"/>
            <w:vAlign w:val="center"/>
          </w:tcPr>
          <w:p>
            <w:pPr>
              <w:spacing w:line="276" w:lineRule="auto" w:before="0" w:after="0"/>
            </w:pPr>
            <w:r/>
            <w:r>
              <w:rPr>
                <w:rFonts w:ascii="Figtree" w:hAnsi="Figtree"/>
                <w:b w:val="0"/>
                <w:i w:val="0"/>
                <w:sz w:val="20"/>
              </w:rPr>
              <w:t>Identity pipeline delayed</w:t>
            </w:r>
          </w:p>
        </w:tc>
      </w:tr>
      <w:tr>
        <w:trPr>
          <w:trHeight w:val="425" w:hRule="atLeast"/>
        </w:trPr>
        <w:tc>
          <w:tcPr>
            <w:tcW w:type="dxa" w:w="3249"/>
            <w:vAlign w:val="center"/>
          </w:tcPr>
          <w:p>
            <w:pPr>
              <w:spacing w:line="276" w:lineRule="auto" w:before="0" w:after="0"/>
            </w:pPr>
            <w:r/>
            <w:r>
              <w:rPr>
                <w:rFonts w:ascii="Figtree" w:hAnsi="Figtree"/>
                <w:b w:val="0"/>
                <w:i w:val="0"/>
                <w:sz w:val="20"/>
              </w:rPr>
              <w:t>Custody provider account setup</w:t>
            </w:r>
          </w:p>
        </w:tc>
        <w:tc>
          <w:tcPr>
            <w:tcW w:type="dxa" w:w="3249"/>
            <w:vAlign w:val="center"/>
          </w:tcPr>
          <w:p>
            <w:pPr>
              <w:spacing w:line="276" w:lineRule="auto" w:before="0" w:after="0"/>
            </w:pPr>
            <w:r/>
            <w:r>
              <w:rPr>
                <w:rFonts w:ascii="Figtree" w:hAnsi="Figtree"/>
                <w:b w:val="0"/>
                <w:i w:val="0"/>
                <w:sz w:val="20"/>
              </w:rPr>
              <w:t>Joint</w:t>
            </w:r>
          </w:p>
        </w:tc>
        <w:tc>
          <w:tcPr>
            <w:tcW w:type="dxa" w:w="3249"/>
            <w:vAlign w:val="center"/>
          </w:tcPr>
          <w:p>
            <w:pPr>
              <w:spacing w:line="276" w:lineRule="auto" w:before="0" w:after="0"/>
            </w:pPr>
            <w:r/>
            <w:r>
              <w:rPr>
                <w:rFonts w:ascii="Figtree" w:hAnsi="Figtree"/>
                <w:b w:val="0"/>
                <w:i w:val="0"/>
                <w:sz w:val="20"/>
              </w:rPr>
              <w:t>Key management delayed</w:t>
            </w:r>
          </w:p>
        </w:tc>
      </w:tr>
      <w:tr>
        <w:trPr>
          <w:trHeight w:val="425" w:hRule="atLeast"/>
        </w:trPr>
        <w:tc>
          <w:tcPr>
            <w:tcW w:type="dxa" w:w="3249"/>
            <w:vAlign w:val="center"/>
          </w:tcPr>
          <w:p>
            <w:pPr>
              <w:spacing w:line="276" w:lineRule="auto" w:before="0" w:after="0"/>
            </w:pPr>
            <w:r/>
            <w:r>
              <w:rPr>
                <w:rFonts w:ascii="Figtree" w:hAnsi="Figtree"/>
                <w:b w:val="0"/>
                <w:i w:val="0"/>
                <w:sz w:val="20"/>
              </w:rPr>
              <w:t>UAE cloud infrastructure provisioning</w:t>
            </w:r>
          </w:p>
        </w:tc>
        <w:tc>
          <w:tcPr>
            <w:tcW w:type="dxa" w:w="3249"/>
            <w:vAlign w:val="center"/>
          </w:tcPr>
          <w:p>
            <w:pPr>
              <w:spacing w:line="276" w:lineRule="auto" w:before="0" w:after="0"/>
            </w:pPr>
            <w:r/>
            <w:r>
              <w:rPr>
                <w:rFonts w:ascii="Figtree" w:hAnsi="Figtree"/>
                <w:b w:val="0"/>
                <w:i w:val="0"/>
                <w:sz w:val="20"/>
              </w:rPr>
              <w:t>SettleMint</w:t>
            </w:r>
          </w:p>
        </w:tc>
        <w:tc>
          <w:tcPr>
            <w:tcW w:type="dxa" w:w="3249"/>
            <w:vAlign w:val="center"/>
          </w:tcPr>
          <w:p>
            <w:pPr>
              <w:spacing w:line="276" w:lineRule="auto" w:before="0" w:after="0"/>
            </w:pPr>
            <w:r/>
            <w:r>
              <w:rPr>
                <w:rFonts w:ascii="Figtree" w:hAnsi="Figtree"/>
                <w:b w:val="0"/>
                <w:i w:val="0"/>
                <w:sz w:val="20"/>
              </w:rPr>
              <w:t>Environment setup delayed</w:t>
            </w:r>
          </w:p>
        </w:tc>
      </w:tr>
      <w:tr>
        <w:trPr>
          <w:trHeight w:val="425" w:hRule="atLeast"/>
        </w:trPr>
        <w:tc>
          <w:tcPr>
            <w:tcW w:type="dxa" w:w="3249"/>
            <w:vAlign w:val="center"/>
          </w:tcPr>
          <w:p>
            <w:pPr>
              <w:spacing w:line="276" w:lineRule="auto" w:before="0" w:after="0"/>
            </w:pPr>
            <w:r/>
            <w:r>
              <w:rPr>
                <w:rFonts w:ascii="Figtree" w:hAnsi="Figtree"/>
                <w:b w:val="0"/>
                <w:i w:val="0"/>
                <w:sz w:val="20"/>
              </w:rPr>
              <w:t>CBUAE regulatory guidance on tokenized deposits</w:t>
            </w:r>
          </w:p>
        </w:tc>
        <w:tc>
          <w:tcPr>
            <w:tcW w:type="dxa" w:w="3249"/>
            <w:vAlign w:val="center"/>
          </w:tcPr>
          <w:p>
            <w:pPr>
              <w:spacing w:line="276" w:lineRule="auto" w:before="0" w:after="0"/>
            </w:pPr>
            <w:r/>
            <w:r>
              <w:rPr>
                <w:rFonts w:ascii="Figtree" w:hAnsi="Figtree"/>
                <w:b w:val="0"/>
                <w:i w:val="0"/>
                <w:sz w:val="20"/>
              </w:rPr>
              <w:t>Emirates NBD</w:t>
            </w:r>
          </w:p>
        </w:tc>
        <w:tc>
          <w:tcPr>
            <w:tcW w:type="dxa" w:w="3249"/>
            <w:vAlign w:val="center"/>
          </w:tcPr>
          <w:p>
            <w:pPr>
              <w:spacing w:line="276" w:lineRule="auto" w:before="0" w:after="0"/>
            </w:pPr>
            <w:r/>
            <w:r>
              <w:rPr>
                <w:rFonts w:ascii="Figtree" w:hAnsi="Figtree"/>
                <w:b w:val="0"/>
                <w:i w:val="0"/>
                <w:sz w:val="20"/>
              </w:rPr>
              <w:t>Compliance configuration may need revision</w:t>
            </w:r>
          </w:p>
        </w:tc>
      </w:tr>
    </w:tbl>
    <w:p>
      <w:pPr>
        <w:spacing w:before="0" w:after="0" w:line="120" w:lineRule="exact"/>
      </w:pPr>
    </w:p>
    <w:p>
      <w:pPr>
        <w:pStyle w:val="H3"/>
        <w:numPr>
          <w:ilvl w:val="2"/>
          <w:numId w:val="1"/>
        </w:numPr>
      </w:pPr>
      <w:r>
        <w:t>Qualified Gaps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17"/>
        <w:gridCol w:w="2187"/>
        <w:gridCol w:w="4009"/>
        <w:gridCol w:w="145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Gap</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Current State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Timeline</w:t>
            </w:r>
          </w:p>
        </w:tc>
      </w:tr>
      <w:tr>
        <w:trPr>
          <w:trHeight w:val="425" w:hRule="atLeast"/>
        </w:trPr>
        <w:tc>
          <w:tcPr>
            <w:tcW w:type="dxa" w:w="2436"/>
            <w:vAlign w:val="center"/>
          </w:tcPr>
          <w:p>
            <w:pPr>
              <w:spacing w:line="276" w:lineRule="auto" w:before="0" w:after="0"/>
            </w:pPr>
            <w:r/>
            <w:r>
              <w:rPr>
                <w:rFonts w:ascii="Figtree" w:hAnsi="Figtree"/>
                <w:b w:val="0"/>
                <w:i w:val="0"/>
                <w:sz w:val="20"/>
              </w:rPr>
              <w:t>SWIFT ISO 20022 native support</w:t>
            </w:r>
          </w:p>
        </w:tc>
        <w:tc>
          <w:tcPr>
            <w:tcW w:type="dxa" w:w="2436"/>
            <w:vAlign w:val="center"/>
          </w:tcPr>
          <w:p>
            <w:pPr>
              <w:spacing w:line="276" w:lineRule="auto" w:before="0" w:after="0"/>
            </w:pPr>
            <w:r/>
            <w:r>
              <w:rPr>
                <w:rFonts w:ascii="Figtree" w:hAnsi="Figtree"/>
                <w:b w:val="0"/>
                <w:i w:val="0"/>
                <w:sz w:val="20"/>
              </w:rPr>
              <w:t>Middleware translation layer available</w:t>
            </w:r>
          </w:p>
        </w:tc>
        <w:tc>
          <w:tcPr>
            <w:tcW w:type="dxa" w:w="2436"/>
            <w:vAlign w:val="center"/>
          </w:tcPr>
          <w:p>
            <w:pPr>
              <w:spacing w:line="276" w:lineRule="auto" w:before="0" w:after="0"/>
            </w:pPr>
            <w:r/>
            <w:r>
              <w:rPr>
                <w:rFonts w:ascii="Figtree" w:hAnsi="Figtree"/>
                <w:b w:val="0"/>
                <w:i w:val="0"/>
                <w:sz w:val="20"/>
              </w:rPr>
              <w:t>Two existing clients have deployed the middleware successfully</w:t>
            </w:r>
          </w:p>
        </w:tc>
        <w:tc>
          <w:tcPr>
            <w:tcW w:type="dxa" w:w="2436"/>
            <w:vAlign w:val="center"/>
          </w:tcPr>
          <w:p>
            <w:pPr>
              <w:spacing w:line="276" w:lineRule="auto" w:before="0" w:after="0"/>
            </w:pPr>
            <w:r/>
            <w:r>
              <w:rPr>
                <w:rFonts w:ascii="Figtree" w:hAnsi="Figtree"/>
                <w:b w:val="0"/>
                <w:i w:val="0"/>
                <w:sz w:val="20"/>
              </w:rPr>
              <w:t>Native support target Q3 2026</w:t>
            </w:r>
          </w:p>
        </w:tc>
      </w:tr>
      <w:tr>
        <w:trPr>
          <w:trHeight w:val="425" w:hRule="atLeast"/>
        </w:trPr>
        <w:tc>
          <w:tcPr>
            <w:tcW w:type="dxa" w:w="2436"/>
            <w:vAlign w:val="center"/>
          </w:tcPr>
          <w:p>
            <w:pPr>
              <w:spacing w:line="276" w:lineRule="auto" w:before="0" w:after="0"/>
            </w:pPr>
            <w:r/>
            <w:r>
              <w:rPr>
                <w:rFonts w:ascii="Figtree" w:hAnsi="Figtree"/>
                <w:b w:val="0"/>
                <w:i w:val="0"/>
                <w:sz w:val="20"/>
              </w:rPr>
              <w:t>CBUAE-specific reporting templates</w:t>
            </w:r>
          </w:p>
        </w:tc>
        <w:tc>
          <w:tcPr>
            <w:tcW w:type="dxa" w:w="2436"/>
            <w:vAlign w:val="center"/>
          </w:tcPr>
          <w:p>
            <w:pPr>
              <w:spacing w:line="276" w:lineRule="auto" w:before="0" w:after="0"/>
            </w:pPr>
            <w:r/>
            <w:r>
              <w:rPr>
                <w:rFonts w:ascii="Figtree" w:hAnsi="Figtree"/>
                <w:b w:val="0"/>
                <w:i w:val="0"/>
                <w:sz w:val="20"/>
              </w:rPr>
              <w:t>Configurable reporting engine available</w:t>
            </w:r>
          </w:p>
        </w:tc>
        <w:tc>
          <w:tcPr>
            <w:tcW w:type="dxa" w:w="2436"/>
            <w:vAlign w:val="center"/>
          </w:tcPr>
          <w:p>
            <w:pPr>
              <w:spacing w:line="276" w:lineRule="auto" w:before="0" w:after="0"/>
            </w:pPr>
            <w:r/>
            <w:r>
              <w:rPr>
                <w:rFonts w:ascii="Figtree" w:hAnsi="Figtree"/>
                <w:b w:val="0"/>
                <w:i w:val="0"/>
                <w:sz w:val="20"/>
              </w:rPr>
              <w:t>Templates created during Phase 3 based on Emirates NBD requirements</w:t>
            </w:r>
          </w:p>
        </w:tc>
        <w:tc>
          <w:tcPr>
            <w:tcW w:type="dxa" w:w="2436"/>
            <w:vAlign w:val="center"/>
          </w:tcPr>
          <w:p>
            <w:pPr>
              <w:spacing w:line="276" w:lineRule="auto" w:before="0" w:after="0"/>
            </w:pPr>
            <w:r/>
            <w:r>
              <w:rPr>
                <w:rFonts w:ascii="Figtree" w:hAnsi="Figtree"/>
                <w:b w:val="0"/>
                <w:i w:val="0"/>
                <w:sz w:val="20"/>
              </w:rPr>
              <w:t>Delivered during implementation</w:t>
            </w:r>
          </w:p>
        </w:tc>
      </w:tr>
      <w:tr>
        <w:trPr>
          <w:trHeight w:val="425" w:hRule="atLeast"/>
        </w:trPr>
        <w:tc>
          <w:tcPr>
            <w:tcW w:type="dxa" w:w="2436"/>
            <w:vAlign w:val="center"/>
          </w:tcPr>
          <w:p>
            <w:pPr>
              <w:spacing w:line="276" w:lineRule="auto" w:before="0" w:after="0"/>
            </w:pPr>
            <w:r/>
            <w:r>
              <w:rPr>
                <w:rFonts w:ascii="Figtree" w:hAnsi="Figtree"/>
                <w:b w:val="0"/>
                <w:i w:val="0"/>
                <w:sz w:val="20"/>
              </w:rPr>
              <w:t>Trade finance document verification</w:t>
            </w:r>
          </w:p>
        </w:tc>
        <w:tc>
          <w:tcPr>
            <w:tcW w:type="dxa" w:w="2436"/>
            <w:vAlign w:val="center"/>
          </w:tcPr>
          <w:p>
            <w:pPr>
              <w:spacing w:line="276" w:lineRule="auto" w:before="0" w:after="0"/>
            </w:pPr>
            <w:r/>
            <w:r>
              <w:rPr>
                <w:rFonts w:ascii="Figtree" w:hAnsi="Figtree"/>
                <w:b w:val="0"/>
                <w:i w:val="0"/>
                <w:sz w:val="20"/>
              </w:rPr>
              <w:t>Platform provides workflow and approval infrastructure</w:t>
            </w:r>
          </w:p>
        </w:tc>
        <w:tc>
          <w:tcPr>
            <w:tcW w:type="dxa" w:w="2436"/>
            <w:vAlign w:val="center"/>
          </w:tcPr>
          <w:p>
            <w:pPr>
              <w:spacing w:line="276" w:lineRule="auto" w:before="0" w:after="0"/>
            </w:pPr>
            <w:r/>
            <w:r>
              <w:rPr>
                <w:rFonts w:ascii="Figtree" w:hAnsi="Figtree"/>
                <w:b w:val="0"/>
                <w:i w:val="0"/>
                <w:sz w:val="20"/>
              </w:rPr>
              <w:t>Document content verification requires integration with Emirates NBD's existing document management</w:t>
            </w:r>
          </w:p>
        </w:tc>
        <w:tc>
          <w:tcPr>
            <w:tcW w:type="dxa" w:w="2436"/>
            <w:vAlign w:val="center"/>
          </w:tcPr>
          <w:p>
            <w:pPr>
              <w:spacing w:line="276" w:lineRule="auto" w:before="0" w:after="0"/>
            </w:pPr>
            <w:r/>
            <w:r>
              <w:rPr>
                <w:rFonts w:ascii="Figtree" w:hAnsi="Figtree"/>
                <w:b w:val="0"/>
                <w:i w:val="0"/>
                <w:sz w:val="20"/>
              </w:rPr>
              <w:t>Delivered during Phase 4 integration</w:t>
            </w:r>
          </w:p>
        </w:tc>
      </w:tr>
    </w:tbl>
    <w:p>
      <w:pPr>
        <w:spacing w:before="0" w:after="0" w:line="120" w:lineRule="exact"/>
      </w:pPr>
    </w:p>
    <w:p>
      <w:r>
        <w:br w:type="page"/>
      </w:r>
    </w:p>
    <w:p>
      <w:pPr>
        <w:pStyle w:val="H2"/>
        <w:numPr>
          <w:ilvl w:val="1"/>
          <w:numId w:val="1"/>
        </w:numPr>
      </w:pPr>
      <w:r>
        <w:t>Compliance Matrix</w:t>
      </w:r>
    </w:p>
    <w:p>
      <w:pPr>
        <w:pStyle w:val="H3"/>
        <w:numPr>
          <w:ilvl w:val="2"/>
          <w:numId w:val="1"/>
        </w:numPr>
      </w:pPr>
      <w:r>
        <w:t>Status Legend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30"/>
        <w:gridCol w:w="714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Code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Meaning</w:t>
            </w:r>
          </w:p>
        </w:tc>
      </w:tr>
      <w:tr>
        <w:trPr>
          <w:trHeight w:val="425" w:hRule="atLeast"/>
        </w:trPr>
        <w:tc>
          <w:tcPr>
            <w:tcW w:type="dxa" w:w="4873"/>
            <w:vAlign w:val="center"/>
          </w:tcPr>
          <w:p>
            <w:pPr>
              <w:spacing w:line="276" w:lineRule="auto" w:before="0" w:after="0"/>
            </w:pPr>
            <w:r/>
            <w:r>
              <w:rPr>
                <w:rFonts w:ascii="Figtree" w:hAnsi="Figtree"/>
                <w:b w:val="0"/>
                <w:i w:val="0"/>
                <w:sz w:val="20"/>
              </w:rPr>
              <w:t>Full</w:t>
            </w:r>
          </w:p>
        </w:tc>
        <w:tc>
          <w:tcPr>
            <w:tcW w:type="dxa" w:w="4873"/>
            <w:vAlign w:val="center"/>
          </w:tcPr>
          <w:p>
            <w:pPr>
              <w:spacing w:line="276" w:lineRule="auto" w:before="0" w:after="0"/>
            </w:pPr>
            <w:r/>
            <w:r>
              <w:rPr>
                <w:rFonts w:ascii="Figtree" w:hAnsi="Figtree"/>
                <w:b w:val="0"/>
                <w:i w:val="0"/>
                <w:sz w:val="20"/>
              </w:rPr>
              <w:t>Capability available in production today</w:t>
            </w:r>
          </w:p>
        </w:tc>
      </w:tr>
      <w:tr>
        <w:trPr>
          <w:trHeight w:val="425" w:hRule="atLeast"/>
        </w:trPr>
        <w:tc>
          <w:tcPr>
            <w:tcW w:type="dxa" w:w="4873"/>
            <w:vAlign w:val="center"/>
          </w:tcPr>
          <w:p>
            <w:pPr>
              <w:spacing w:line="276" w:lineRule="auto" w:before="0" w:after="0"/>
            </w:pPr>
            <w:r/>
            <w:r>
              <w:rPr>
                <w:rFonts w:ascii="Figtree" w:hAnsi="Figtree"/>
                <w:b w:val="0"/>
                <w:i w:val="0"/>
                <w:sz w:val="20"/>
              </w:rPr>
              <w:t>Partial</w:t>
            </w:r>
          </w:p>
        </w:tc>
        <w:tc>
          <w:tcPr>
            <w:tcW w:type="dxa" w:w="4873"/>
            <w:vAlign w:val="center"/>
          </w:tcPr>
          <w:p>
            <w:pPr>
              <w:spacing w:line="276" w:lineRule="auto" w:before="0" w:after="0"/>
            </w:pPr>
            <w:r/>
            <w:r>
              <w:rPr>
                <w:rFonts w:ascii="Figtree" w:hAnsi="Figtree"/>
                <w:b w:val="0"/>
                <w:i w:val="0"/>
                <w:sz w:val="20"/>
              </w:rPr>
              <w:t>Capability partially available; gap and mitigation described</w:t>
            </w:r>
          </w:p>
        </w:tc>
      </w:tr>
      <w:tr>
        <w:trPr>
          <w:trHeight w:val="425" w:hRule="atLeast"/>
        </w:trPr>
        <w:tc>
          <w:tcPr>
            <w:tcW w:type="dxa" w:w="4873"/>
            <w:vAlign w:val="center"/>
          </w:tcPr>
          <w:p>
            <w:pPr>
              <w:spacing w:line="276" w:lineRule="auto" w:before="0" w:after="0"/>
            </w:pPr>
            <w:r/>
            <w:r>
              <w:rPr>
                <w:rFonts w:ascii="Figtree" w:hAnsi="Figtree"/>
                <w:b w:val="0"/>
                <w:i w:val="0"/>
                <w:sz w:val="20"/>
              </w:rPr>
              <w:t>Configurable</w:t>
            </w:r>
          </w:p>
        </w:tc>
        <w:tc>
          <w:tcPr>
            <w:tcW w:type="dxa" w:w="4873"/>
            <w:vAlign w:val="center"/>
          </w:tcPr>
          <w:p>
            <w:pPr>
              <w:spacing w:line="276" w:lineRule="auto" w:before="0" w:after="0"/>
            </w:pPr>
            <w:r/>
            <w:r>
              <w:rPr>
                <w:rFonts w:ascii="Figtree" w:hAnsi="Figtree"/>
                <w:b w:val="0"/>
                <w:i w:val="0"/>
                <w:sz w:val="20"/>
              </w:rPr>
              <w:t>Available through platform configuration during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Assumption</w:t>
            </w:r>
          </w:p>
        </w:tc>
        <w:tc>
          <w:tcPr>
            <w:tcW w:type="dxa" w:w="4873"/>
            <w:vAlign w:val="center"/>
          </w:tcPr>
          <w:p>
            <w:pPr>
              <w:spacing w:line="276" w:lineRule="auto" w:before="0" w:after="0"/>
            </w:pPr>
            <w:r/>
            <w:r>
              <w:rPr>
                <w:rFonts w:ascii="Figtree" w:hAnsi="Figtree"/>
                <w:b w:val="0"/>
                <w:i w:val="0"/>
                <w:sz w:val="20"/>
              </w:rPr>
              <w:t>Response assumes a condition that requires validation</w:t>
            </w:r>
          </w:p>
        </w:tc>
      </w:tr>
    </w:tbl>
    <w:p>
      <w:pPr>
        <w:spacing w:before="0" w:after="0" w:line="120" w:lineRule="exact"/>
      </w:pPr>
    </w:p>
    <w:p>
      <w:pPr>
        <w:pStyle w:val="H3"/>
        <w:numPr>
          <w:ilvl w:val="2"/>
          <w:numId w:val="1"/>
        </w:numPr>
      </w:pPr>
      <w:r>
        <w:t>Detailed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68"/>
        <w:gridCol w:w="2289"/>
        <w:gridCol w:w="668"/>
        <w:gridCol w:w="3052"/>
        <w:gridCol w:w="2393"/>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 Summary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Evidence / Notes</w:t>
            </w:r>
          </w:p>
        </w:tc>
      </w:tr>
      <w:tr>
        <w:trPr>
          <w:trHeight w:val="425" w:hRule="atLeast"/>
        </w:trPr>
        <w:tc>
          <w:tcPr>
            <w:tcW w:type="dxa" w:w="1949"/>
            <w:vAlign w:val="center"/>
          </w:tcPr>
          <w:p>
            <w:pPr>
              <w:spacing w:line="276" w:lineRule="auto" w:before="0" w:after="0"/>
            </w:pPr>
            <w:r/>
            <w:r>
              <w:rPr>
                <w:rFonts w:ascii="Figtree" w:hAnsi="Figtree"/>
                <w:b w:val="0"/>
                <w:i w:val="0"/>
                <w:sz w:val="20"/>
              </w:rPr>
              <w:t>REQ-01</w:t>
            </w:r>
          </w:p>
        </w:tc>
        <w:tc>
          <w:tcPr>
            <w:tcW w:type="dxa" w:w="1949"/>
            <w:vAlign w:val="center"/>
          </w:tcPr>
          <w:p>
            <w:pPr>
              <w:spacing w:line="276" w:lineRule="auto" w:before="0" w:after="0"/>
            </w:pPr>
            <w:r/>
            <w:r>
              <w:rPr>
                <w:rFonts w:ascii="Figtree" w:hAnsi="Figtree"/>
                <w:b w:val="0"/>
                <w:i w:val="0"/>
                <w:sz w:val="20"/>
              </w:rPr>
              <w:t>Segregated dev, test, UAT, DR, production environments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Independent DALP instances per environment, Kubernetes-based isolation</w:t>
            </w:r>
          </w:p>
        </w:tc>
        <w:tc>
          <w:tcPr>
            <w:tcW w:type="dxa" w:w="1949"/>
            <w:vAlign w:val="center"/>
          </w:tcPr>
          <w:p>
            <w:pPr>
              <w:spacing w:line="276" w:lineRule="auto" w:before="0" w:after="0"/>
            </w:pPr>
            <w:r/>
            <w:r>
              <w:rPr>
                <w:rFonts w:ascii="Figtree" w:hAnsi="Figtree"/>
                <w:b w:val="0"/>
                <w:i w:val="0"/>
                <w:sz w:val="20"/>
              </w:rPr>
              <w:t>Architecture section; all reference deployments use multi-environment</w:t>
            </w:r>
          </w:p>
        </w:tc>
      </w:tr>
      <w:tr>
        <w:trPr>
          <w:trHeight w:val="425" w:hRule="atLeast"/>
        </w:trPr>
        <w:tc>
          <w:tcPr>
            <w:tcW w:type="dxa" w:w="1949"/>
            <w:vAlign w:val="center"/>
          </w:tcPr>
          <w:p>
            <w:pPr>
              <w:spacing w:line="276" w:lineRule="auto" w:before="0" w:after="0"/>
            </w:pPr>
            <w:r/>
            <w:r>
              <w:rPr>
                <w:rFonts w:ascii="Figtree" w:hAnsi="Figtree"/>
                <w:b w:val="0"/>
                <w:i w:val="0"/>
                <w:sz w:val="20"/>
              </w:rPr>
              <w:t>REQ-02</w:t>
            </w:r>
          </w:p>
        </w:tc>
        <w:tc>
          <w:tcPr>
            <w:tcW w:type="dxa" w:w="1949"/>
            <w:vAlign w:val="center"/>
          </w:tcPr>
          <w:p>
            <w:pPr>
              <w:spacing w:line="276" w:lineRule="auto" w:before="0" w:after="0"/>
            </w:pPr>
            <w:r/>
            <w:r>
              <w:rPr>
                <w:rFonts w:ascii="Figtree" w:hAnsi="Figtree"/>
                <w:b w:val="0"/>
                <w:i w:val="0"/>
                <w:sz w:val="20"/>
              </w:rPr>
              <w:t>API-first interfaces, eventing, version governance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DAPI REST v2 (OpenAPI 3.1), webhooks, SDK, CLI (301 commands), SSE streaming</w:t>
            </w:r>
          </w:p>
        </w:tc>
        <w:tc>
          <w:tcPr>
            <w:tcW w:type="dxa" w:w="1949"/>
            <w:vAlign w:val="center"/>
          </w:tcPr>
          <w:p>
            <w:pPr>
              <w:spacing w:line="276" w:lineRule="auto" w:before="0" w:after="0"/>
            </w:pPr>
            <w:r/>
            <w:r>
              <w:rPr>
                <w:rFonts w:ascii="Figtree" w:hAnsi="Figtree"/>
                <w:b w:val="0"/>
                <w:i w:val="0"/>
                <w:sz w:val="20"/>
              </w:rPr>
              <w:t>Integration Architecture section</w:t>
            </w:r>
          </w:p>
        </w:tc>
      </w:tr>
      <w:tr>
        <w:trPr>
          <w:trHeight w:val="425" w:hRule="atLeast"/>
        </w:trPr>
        <w:tc>
          <w:tcPr>
            <w:tcW w:type="dxa" w:w="1949"/>
            <w:vAlign w:val="center"/>
          </w:tcPr>
          <w:p>
            <w:pPr>
              <w:spacing w:line="276" w:lineRule="auto" w:before="0" w:after="0"/>
            </w:pPr>
            <w:r/>
            <w:r>
              <w:rPr>
                <w:rFonts w:ascii="Figtree" w:hAnsi="Figtree"/>
                <w:b w:val="0"/>
                <w:i w:val="0"/>
                <w:sz w:val="20"/>
              </w:rPr>
              <w:t>REQ-03</w:t>
            </w:r>
          </w:p>
        </w:tc>
        <w:tc>
          <w:tcPr>
            <w:tcW w:type="dxa" w:w="1949"/>
            <w:vAlign w:val="center"/>
          </w:tcPr>
          <w:p>
            <w:pPr>
              <w:spacing w:line="276" w:lineRule="auto" w:before="0" w:after="0"/>
            </w:pPr>
            <w:r/>
            <w:r>
              <w:rPr>
                <w:rFonts w:ascii="Figtree" w:hAnsi="Figtree"/>
                <w:b w:val="0"/>
                <w:i w:val="0"/>
                <w:sz w:val="20"/>
              </w:rPr>
              <w:t>RBAC, segregation of duties, maker-checker, audit logs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9 permission levels, maker-checker native, immutable audit trail</w:t>
            </w:r>
          </w:p>
        </w:tc>
        <w:tc>
          <w:tcPr>
            <w:tcW w:type="dxa" w:w="1949"/>
            <w:vAlign w:val="center"/>
          </w:tcPr>
          <w:p>
            <w:pPr>
              <w:spacing w:line="276" w:lineRule="auto" w:before="0" w:after="0"/>
            </w:pPr>
            <w:r/>
            <w:r>
              <w:rPr>
                <w:rFonts w:ascii="Figtree" w:hAnsi="Figtree"/>
                <w:b w:val="0"/>
                <w:i w:val="0"/>
                <w:sz w:val="20"/>
              </w:rPr>
              <w:t>Security section; Identity section</w:t>
            </w:r>
          </w:p>
        </w:tc>
      </w:tr>
      <w:tr>
        <w:trPr>
          <w:trHeight w:val="425" w:hRule="atLeast"/>
        </w:trPr>
        <w:tc>
          <w:tcPr>
            <w:tcW w:type="dxa" w:w="1949"/>
            <w:vAlign w:val="center"/>
          </w:tcPr>
          <w:p>
            <w:pPr>
              <w:spacing w:line="276" w:lineRule="auto" w:before="0" w:after="0"/>
            </w:pPr>
            <w:r/>
            <w:r>
              <w:rPr>
                <w:rFonts w:ascii="Figtree" w:hAnsi="Figtree"/>
                <w:b w:val="0"/>
                <w:i w:val="0"/>
                <w:sz w:val="20"/>
              </w:rPr>
              <w:t>REQ-04</w:t>
            </w:r>
          </w:p>
        </w:tc>
        <w:tc>
          <w:tcPr>
            <w:tcW w:type="dxa" w:w="1949"/>
            <w:vAlign w:val="center"/>
          </w:tcPr>
          <w:p>
            <w:pPr>
              <w:spacing w:line="276" w:lineRule="auto" w:before="0" w:after="0"/>
            </w:pPr>
            <w:r/>
            <w:r>
              <w:rPr>
                <w:rFonts w:ascii="Figtree" w:hAnsi="Figtree"/>
                <w:b w:val="0"/>
                <w:i w:val="0"/>
                <w:sz w:val="20"/>
              </w:rPr>
              <w:t>Configurable lifecycle, policy controls, limits, reconciliation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DALPAsset configurable features and compliance modules, runtime reconfiguration</w:t>
            </w:r>
          </w:p>
        </w:tc>
        <w:tc>
          <w:tcPr>
            <w:tcW w:type="dxa" w:w="1949"/>
            <w:vAlign w:val="center"/>
          </w:tcPr>
          <w:p>
            <w:pPr>
              <w:spacing w:line="276" w:lineRule="auto" w:before="0" w:after="0"/>
            </w:pPr>
            <w:r/>
            <w:r>
              <w:rPr>
                <w:rFonts w:ascii="Figtree" w:hAnsi="Figtree"/>
                <w:b w:val="0"/>
                <w:i w:val="0"/>
                <w:sz w:val="20"/>
              </w:rPr>
              <w:t>Proposed Solution section</w:t>
            </w:r>
          </w:p>
        </w:tc>
      </w:tr>
      <w:tr>
        <w:trPr>
          <w:trHeight w:val="425" w:hRule="atLeast"/>
        </w:trPr>
        <w:tc>
          <w:tcPr>
            <w:tcW w:type="dxa" w:w="1949"/>
            <w:vAlign w:val="center"/>
          </w:tcPr>
          <w:p>
            <w:pPr>
              <w:spacing w:line="276" w:lineRule="auto" w:before="0" w:after="0"/>
            </w:pPr>
            <w:r/>
            <w:r>
              <w:rPr>
                <w:rFonts w:ascii="Figtree" w:hAnsi="Figtree"/>
                <w:b w:val="0"/>
                <w:i w:val="0"/>
                <w:sz w:val="20"/>
              </w:rPr>
              <w:t>REQ-05</w:t>
            </w:r>
          </w:p>
        </w:tc>
        <w:tc>
          <w:tcPr>
            <w:tcW w:type="dxa" w:w="1949"/>
            <w:vAlign w:val="center"/>
          </w:tcPr>
          <w:p>
            <w:pPr>
              <w:spacing w:line="276" w:lineRule="auto" w:before="0" w:after="0"/>
            </w:pPr>
            <w:r/>
            <w:r>
              <w:rPr>
                <w:rFonts w:ascii="Figtree" w:hAnsi="Figtree"/>
                <w:b w:val="0"/>
                <w:i w:val="0"/>
                <w:sz w:val="20"/>
              </w:rPr>
              <w:t>Third-party dependency disclosure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Dependency register provided; custody (DFNS/Fireblocks), infrastructure (cloud provider)</w:t>
            </w:r>
          </w:p>
        </w:tc>
        <w:tc>
          <w:tcPr>
            <w:tcW w:type="dxa" w:w="1949"/>
            <w:vAlign w:val="center"/>
          </w:tcPr>
          <w:p>
            <w:pPr>
              <w:spacing w:line="276" w:lineRule="auto" w:before="0" w:after="0"/>
            </w:pPr>
            <w:r/>
            <w:r>
              <w:rPr>
                <w:rFonts w:ascii="Figtree" w:hAnsi="Figtree"/>
                <w:b w:val="0"/>
                <w:i w:val="0"/>
                <w:sz w:val="20"/>
              </w:rPr>
              <w:t>Dependencies section</w:t>
            </w:r>
          </w:p>
        </w:tc>
      </w:tr>
      <w:tr>
        <w:trPr>
          <w:trHeight w:val="425" w:hRule="atLeast"/>
        </w:trPr>
        <w:tc>
          <w:tcPr>
            <w:tcW w:type="dxa" w:w="1949"/>
            <w:vAlign w:val="center"/>
          </w:tcPr>
          <w:p>
            <w:pPr>
              <w:spacing w:line="276" w:lineRule="auto" w:before="0" w:after="0"/>
            </w:pPr>
            <w:r/>
            <w:r>
              <w:rPr>
                <w:rFonts w:ascii="Figtree" w:hAnsi="Figtree"/>
                <w:b w:val="0"/>
                <w:i w:val="0"/>
                <w:sz w:val="20"/>
              </w:rPr>
              <w:t>REQ-06</w:t>
            </w:r>
          </w:p>
        </w:tc>
        <w:tc>
          <w:tcPr>
            <w:tcW w:type="dxa" w:w="1949"/>
            <w:vAlign w:val="center"/>
          </w:tcPr>
          <w:p>
            <w:pPr>
              <w:spacing w:line="276" w:lineRule="auto" w:before="0" w:after="0"/>
            </w:pPr>
            <w:r/>
            <w:r>
              <w:rPr>
                <w:rFonts w:ascii="Figtree" w:hAnsi="Figtree"/>
                <w:b w:val="0"/>
                <w:i w:val="0"/>
                <w:sz w:val="20"/>
              </w:rPr>
              <w:t>Resilience, recovery, backup, monitoring, incident management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Multi-AZ, continuous backup, Grafana monitoring, automated alerting, incident escalation</w:t>
            </w:r>
          </w:p>
        </w:tc>
        <w:tc>
          <w:tcPr>
            <w:tcW w:type="dxa" w:w="1949"/>
            <w:vAlign w:val="center"/>
          </w:tcPr>
          <w:p>
            <w:pPr>
              <w:spacing w:line="276" w:lineRule="auto" w:before="0" w:after="0"/>
            </w:pPr>
            <w:r/>
            <w:r>
              <w:rPr>
                <w:rFonts w:ascii="Figtree" w:hAnsi="Figtree"/>
                <w:b w:val="0"/>
                <w:i w:val="0"/>
                <w:sz w:val="20"/>
              </w:rPr>
              <w:t>Security section; Deployment section</w:t>
            </w:r>
          </w:p>
        </w:tc>
      </w:tr>
      <w:tr>
        <w:trPr>
          <w:trHeight w:val="425" w:hRule="atLeast"/>
        </w:trPr>
        <w:tc>
          <w:tcPr>
            <w:tcW w:type="dxa" w:w="1949"/>
            <w:vAlign w:val="center"/>
          </w:tcPr>
          <w:p>
            <w:pPr>
              <w:spacing w:line="276" w:lineRule="auto" w:before="0" w:after="0"/>
            </w:pPr>
            <w:r/>
            <w:r>
              <w:rPr>
                <w:rFonts w:ascii="Figtree" w:hAnsi="Figtree"/>
                <w:b w:val="0"/>
                <w:i w:val="0"/>
                <w:sz w:val="20"/>
              </w:rPr>
              <w:t>REQ-07</w:t>
            </w:r>
          </w:p>
        </w:tc>
        <w:tc>
          <w:tcPr>
            <w:tcW w:type="dxa" w:w="1949"/>
            <w:vAlign w:val="center"/>
          </w:tcPr>
          <w:p>
            <w:pPr>
              <w:spacing w:line="276" w:lineRule="auto" w:before="0" w:after="0"/>
            </w:pPr>
            <w:r/>
            <w:r>
              <w:rPr>
                <w:rFonts w:ascii="Figtree" w:hAnsi="Figtree"/>
                <w:b w:val="0"/>
                <w:i w:val="0"/>
                <w:sz w:val="20"/>
              </w:rPr>
              <w:t>Delivery method, client effort, phased implementation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19-week phase-gated methodology, 75 person-day client effort estimate</w:t>
            </w:r>
          </w:p>
        </w:tc>
        <w:tc>
          <w:tcPr>
            <w:tcW w:type="dxa" w:w="1949"/>
            <w:vAlign w:val="center"/>
          </w:tcPr>
          <w:p>
            <w:pPr>
              <w:spacing w:line="276" w:lineRule="auto" w:before="0" w:after="0"/>
            </w:pPr>
            <w:r/>
            <w:r>
              <w:rPr>
                <w:rFonts w:ascii="Figtree" w:hAnsi="Figtree"/>
                <w:b w:val="0"/>
                <w:i w:val="0"/>
                <w:sz w:val="20"/>
              </w:rPr>
              <w:t>Implementation section</w:t>
            </w:r>
          </w:p>
        </w:tc>
      </w:tr>
      <w:tr>
        <w:trPr>
          <w:trHeight w:val="425" w:hRule="atLeast"/>
        </w:trPr>
        <w:tc>
          <w:tcPr>
            <w:tcW w:type="dxa" w:w="1949"/>
            <w:vAlign w:val="center"/>
          </w:tcPr>
          <w:p>
            <w:pPr>
              <w:spacing w:line="276" w:lineRule="auto" w:before="0" w:after="0"/>
            </w:pPr>
            <w:r/>
            <w:r>
              <w:rPr>
                <w:rFonts w:ascii="Figtree" w:hAnsi="Figtree"/>
                <w:b w:val="0"/>
                <w:i w:val="0"/>
                <w:sz w:val="20"/>
              </w:rPr>
              <w:t>REQ-08</w:t>
            </w:r>
          </w:p>
        </w:tc>
        <w:tc>
          <w:tcPr>
            <w:tcW w:type="dxa" w:w="1949"/>
            <w:vAlign w:val="center"/>
          </w:tcPr>
          <w:p>
            <w:pPr>
              <w:spacing w:line="276" w:lineRule="auto" w:before="0" w:after="0"/>
            </w:pPr>
            <w:r/>
            <w:r>
              <w:rPr>
                <w:rFonts w:ascii="Figtree" w:hAnsi="Figtree"/>
                <w:b w:val="0"/>
                <w:i w:val="0"/>
                <w:sz w:val="20"/>
              </w:rPr>
              <w:t>Evidence extraction for audit, supervisory review, board reporting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GraphQL queries, configurable report templates, immutable on-chain evidence</w:t>
            </w:r>
          </w:p>
        </w:tc>
        <w:tc>
          <w:tcPr>
            <w:tcW w:type="dxa" w:w="1949"/>
            <w:vAlign w:val="center"/>
          </w:tcPr>
          <w:p>
            <w:pPr>
              <w:spacing w:line="276" w:lineRule="auto" w:before="0" w:after="0"/>
            </w:pPr>
            <w:r/>
            <w:r>
              <w:rPr>
                <w:rFonts w:ascii="Figtree" w:hAnsi="Figtree"/>
                <w:b w:val="0"/>
                <w:i w:val="0"/>
                <w:sz w:val="20"/>
              </w:rPr>
              <w:t>Integration section; Observability</w:t>
            </w:r>
          </w:p>
        </w:tc>
      </w:tr>
      <w:tr>
        <w:trPr>
          <w:trHeight w:val="425" w:hRule="atLeast"/>
        </w:trPr>
        <w:tc>
          <w:tcPr>
            <w:tcW w:type="dxa" w:w="1949"/>
            <w:vAlign w:val="center"/>
          </w:tcPr>
          <w:p>
            <w:pPr>
              <w:spacing w:line="276" w:lineRule="auto" w:before="0" w:after="0"/>
            </w:pPr>
            <w:r/>
            <w:r>
              <w:rPr>
                <w:rFonts w:ascii="Figtree" w:hAnsi="Figtree"/>
                <w:b w:val="0"/>
                <w:i w:val="0"/>
                <w:sz w:val="20"/>
              </w:rPr>
              <w:t>REQ-09</w:t>
            </w:r>
          </w:p>
        </w:tc>
        <w:tc>
          <w:tcPr>
            <w:tcW w:type="dxa" w:w="1949"/>
            <w:vAlign w:val="center"/>
          </w:tcPr>
          <w:p>
            <w:pPr>
              <w:spacing w:line="276" w:lineRule="auto" w:before="0" w:after="0"/>
            </w:pPr>
            <w:r/>
            <w:r>
              <w:rPr>
                <w:rFonts w:ascii="Figtree" w:hAnsi="Figtree"/>
                <w:b w:val="0"/>
                <w:i w:val="0"/>
                <w:sz w:val="20"/>
              </w:rPr>
              <w:t>Document-linked trade workflows, milestones, counterparty controls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Durable workflow engine, milestone-based features, transfer approval modules</w:t>
            </w:r>
          </w:p>
        </w:tc>
        <w:tc>
          <w:tcPr>
            <w:tcW w:type="dxa" w:w="1949"/>
            <w:vAlign w:val="center"/>
          </w:tcPr>
          <w:p>
            <w:pPr>
              <w:spacing w:line="276" w:lineRule="auto" w:before="0" w:after="0"/>
            </w:pPr>
            <w:r/>
            <w:r>
              <w:rPr>
                <w:rFonts w:ascii="Figtree" w:hAnsi="Figtree"/>
                <w:b w:val="0"/>
                <w:i w:val="0"/>
                <w:sz w:val="20"/>
              </w:rPr>
              <w:t>Proposed Solution section</w:t>
            </w:r>
          </w:p>
        </w:tc>
      </w:tr>
      <w:tr>
        <w:trPr>
          <w:trHeight w:val="425" w:hRule="atLeast"/>
        </w:trPr>
        <w:tc>
          <w:tcPr>
            <w:tcW w:type="dxa" w:w="1949"/>
            <w:vAlign w:val="center"/>
          </w:tcPr>
          <w:p>
            <w:pPr>
              <w:spacing w:line="276" w:lineRule="auto" w:before="0" w:after="0"/>
            </w:pPr>
            <w:r/>
            <w:r>
              <w:rPr>
                <w:rFonts w:ascii="Figtree" w:hAnsi="Figtree"/>
                <w:b w:val="0"/>
                <w:i w:val="0"/>
                <w:sz w:val="20"/>
              </w:rPr>
              <w:t>REQ-10</w:t>
            </w:r>
          </w:p>
        </w:tc>
        <w:tc>
          <w:tcPr>
            <w:tcW w:type="dxa" w:w="1949"/>
            <w:vAlign w:val="center"/>
          </w:tcPr>
          <w:p>
            <w:pPr>
              <w:spacing w:line="276" w:lineRule="auto" w:before="0" w:after="0"/>
            </w:pPr>
            <w:r/>
            <w:r>
              <w:rPr>
                <w:rFonts w:ascii="Figtree" w:hAnsi="Figtree"/>
                <w:b w:val="0"/>
                <w:i w:val="0"/>
                <w:sz w:val="20"/>
              </w:rPr>
              <w:t>Reconciliation to core trade and treasury books</w:t>
            </w:r>
          </w:p>
        </w:tc>
        <w:tc>
          <w:tcPr>
            <w:tcW w:type="dxa" w:w="1949"/>
            <w:vAlign w:val="center"/>
          </w:tcPr>
          <w:p>
            <w:pPr>
              <w:spacing w:line="276" w:lineRule="auto" w:before="0" w:after="0"/>
            </w:pPr>
            <w:r/>
            <w:r>
              <w:rPr>
                <w:rFonts w:ascii="Figtree" w:hAnsi="Figtree"/>
                <w:b w:val="0"/>
                <w:i w:val="0"/>
                <w:sz w:val="20"/>
              </w:rPr>
              <w:t>Configurable</w:t>
            </w:r>
          </w:p>
        </w:tc>
        <w:tc>
          <w:tcPr>
            <w:tcW w:type="dxa" w:w="1949"/>
            <w:vAlign w:val="center"/>
          </w:tcPr>
          <w:p>
            <w:pPr>
              <w:spacing w:line="276" w:lineRule="auto" w:before="0" w:after="0"/>
            </w:pPr>
            <w:r/>
            <w:r>
              <w:rPr>
                <w:rFonts w:ascii="Figtree" w:hAnsi="Figtree"/>
                <w:b w:val="0"/>
                <w:i w:val="0"/>
                <w:sz w:val="20"/>
              </w:rPr>
              <w:t>REST API integration for bidirectional reconciliation; webhook-driven sync</w:t>
            </w:r>
          </w:p>
        </w:tc>
        <w:tc>
          <w:tcPr>
            <w:tcW w:type="dxa" w:w="1949"/>
            <w:vAlign w:val="center"/>
          </w:tcPr>
          <w:p>
            <w:pPr>
              <w:spacing w:line="276" w:lineRule="auto" w:before="0" w:after="0"/>
            </w:pPr>
            <w:r/>
            <w:r>
              <w:rPr>
                <w:rFonts w:ascii="Figtree" w:hAnsi="Figtree"/>
                <w:b w:val="0"/>
                <w:i w:val="0"/>
                <w:sz w:val="20"/>
              </w:rPr>
              <w:t>Requires Phase 4 integration work</w:t>
            </w:r>
          </w:p>
        </w:tc>
      </w:tr>
      <w:tr>
        <w:trPr>
          <w:trHeight w:val="425" w:hRule="atLeast"/>
        </w:trPr>
        <w:tc>
          <w:tcPr>
            <w:tcW w:type="dxa" w:w="1949"/>
            <w:vAlign w:val="center"/>
          </w:tcPr>
          <w:p>
            <w:pPr>
              <w:spacing w:line="276" w:lineRule="auto" w:before="0" w:after="0"/>
            </w:pPr>
            <w:r/>
            <w:r>
              <w:rPr>
                <w:rFonts w:ascii="Figtree" w:hAnsi="Figtree"/>
                <w:b w:val="0"/>
                <w:i w:val="0"/>
                <w:sz w:val="20"/>
              </w:rPr>
              <w:t>REQ-11</w:t>
            </w:r>
          </w:p>
        </w:tc>
        <w:tc>
          <w:tcPr>
            <w:tcW w:type="dxa" w:w="1949"/>
            <w:vAlign w:val="center"/>
          </w:tcPr>
          <w:p>
            <w:pPr>
              <w:spacing w:line="276" w:lineRule="auto" w:before="0" w:after="0"/>
            </w:pPr>
            <w:r/>
            <w:r>
              <w:rPr>
                <w:rFonts w:ascii="Figtree" w:hAnsi="Figtree"/>
                <w:b w:val="0"/>
                <w:i w:val="0"/>
                <w:sz w:val="20"/>
              </w:rPr>
              <w:t>Multi-entity trade limit allocation</w:t>
            </w:r>
          </w:p>
        </w:tc>
        <w:tc>
          <w:tcPr>
            <w:tcW w:type="dxa" w:w="1949"/>
            <w:vAlign w:val="center"/>
          </w:tcPr>
          <w:p>
            <w:pPr>
              <w:spacing w:line="276" w:lineRule="auto" w:before="0" w:after="0"/>
            </w:pPr>
            <w:r/>
            <w:r>
              <w:rPr>
                <w:rFonts w:ascii="Figtree" w:hAnsi="Figtree"/>
                <w:b w:val="0"/>
                <w:i w:val="0"/>
                <w:sz w:val="20"/>
              </w:rPr>
              <w:t>Configurable</w:t>
            </w:r>
          </w:p>
        </w:tc>
        <w:tc>
          <w:tcPr>
            <w:tcW w:type="dxa" w:w="1949"/>
            <w:vAlign w:val="center"/>
          </w:tcPr>
          <w:p>
            <w:pPr>
              <w:spacing w:line="276" w:lineRule="auto" w:before="0" w:after="0"/>
            </w:pPr>
            <w:r/>
            <w:r>
              <w:rPr>
                <w:rFonts w:ascii="Figtree" w:hAnsi="Figtree"/>
                <w:b w:val="0"/>
                <w:i w:val="0"/>
                <w:sz w:val="20"/>
              </w:rPr>
              <w:t>Compliance modules support entity-level limits; multi-entity allocation via API</w:t>
            </w:r>
          </w:p>
        </w:tc>
        <w:tc>
          <w:tcPr>
            <w:tcW w:type="dxa" w:w="1949"/>
            <w:vAlign w:val="center"/>
          </w:tcPr>
          <w:p>
            <w:pPr>
              <w:spacing w:line="276" w:lineRule="auto" w:before="0" w:after="0"/>
            </w:pPr>
            <w:r/>
            <w:r>
              <w:rPr>
                <w:rFonts w:ascii="Figtree" w:hAnsi="Figtree"/>
                <w:b w:val="0"/>
                <w:i w:val="0"/>
                <w:sz w:val="20"/>
              </w:rPr>
              <w:t>Requires configuration during Phase 3</w:t>
            </w:r>
          </w:p>
        </w:tc>
      </w:tr>
    </w:tbl>
    <w:p>
      <w:pPr>
        <w:spacing w:before="0" w:after="0" w:line="120" w:lineRule="exact"/>
      </w:pPr>
    </w:p>
    <w:p>
      <w:r>
        <w:br w:type="page"/>
      </w:r>
    </w:p>
    <w:p>
      <w:pPr>
        <w:pStyle w:val="H2"/>
        <w:numPr>
          <w:ilvl w:val="1"/>
          <w:numId w:val="1"/>
        </w:numPr>
      </w:pPr>
      <w:r>
        <w:t>Detailed Platform Capabilities for Deposits and Trade Finance</w:t>
      </w:r>
    </w:p>
    <w:p>
      <w:pPr>
        <w:pStyle w:val="H3"/>
        <w:numPr>
          <w:ilvl w:val="2"/>
          <w:numId w:val="1"/>
        </w:numPr>
      </w:pPr>
      <w:r>
        <w:t>Deposit Token Design and Configuration</w:t>
      </w:r>
    </w:p>
    <w:p>
      <w:r>
        <w:rPr>
          <w:rFonts w:ascii="Figtree" w:hAnsi="Figtree"/>
          <w:b w:val="0"/>
          <w:i w:val="0"/>
          <w:sz w:val="22"/>
        </w:rPr>
        <w:t>The traditional approach to tokenizing bank deposits requires specialized Solidity development, security audits costing $200,000 to $500,000 per engagement, and deployment cycles measured in months. For an institution like Emirates NBD offering multiple deposit products — term deposits, notice deposits, callable deposits, and structured deposits — this would mean separate development tracks, each with its own codebase, audit burden, and maintenance cost.</w:t>
      </w:r>
    </w:p>
    <w:p>
      <w:r>
        <w:rPr>
          <w:rFonts w:ascii="Figtree" w:hAnsi="Figtree"/>
          <w:b w:val="0"/>
          <w:i w:val="0"/>
          <w:sz w:val="22"/>
        </w:rPr>
        <w:t>DALP replaces this with a configuration-driven model. At the core of the platform is DALPAsset, a unified, audited token contract built on the ERC-3643 (T-REX) standard. Rather than writing custom smart contracts for each deposit product, Emirates NBD's operators configure DALPAsset through the Asset Designer wizard, which captures the full specification of the instrument: asset class (Cash Equivalent / Deposit), token parameters (name, symbol, decimals, jurisdiction), economic configuration (denomination asset, maximum supply, face value), compliance rules (module selection and parameters), and deployment settings (upgradeable vs. immutable, network selection).</w:t>
      </w:r>
    </w:p>
    <w:p>
      <w:r>
        <w:rPr>
          <w:rFonts w:ascii="Figtree" w:hAnsi="Figtree"/>
          <w:b w:val="0"/>
          <w:i w:val="0"/>
          <w:sz w:val="22"/>
        </w:rPr>
        <w:t>The Asset Designer validates inputs in real time. Asset name and symbol availability are checked against all existing deployments. Jurisdiction is assigned at creation time, binding the token to its regulatory context from the outset. The denomination asset link — connecting a tokenized deposit to a specific on-chain settlement token — establishes the DvP settlement relationship before the first token is ever minted. This means atomic settlement is not an afterthought; it is configured into the instrument from the start.</w:t>
      </w:r>
    </w:p>
    <w:p>
      <w:r>
        <w:rPr>
          <w:rFonts w:ascii="Figtree" w:hAnsi="Figtree"/>
          <w:b w:val="0"/>
          <w:i w:val="0"/>
          <w:sz w:val="22"/>
        </w:rPr>
        <w:t>For Emirates NBD's tokenized deposits, the configuration workflow proceeds as follows:</w:t>
      </w:r>
    </w:p>
    <w:p>
      <w:pPr>
        <w:pStyle w:val="ListParagraph"/>
        <w:numPr>
          <w:ilvl w:val="0"/>
          <w:numId w:val="16"/>
        </w:numPr>
      </w:pPr>
      <w:r>
        <w:rPr>
          <w:rFonts w:ascii="Figtree" w:hAnsi="Figtree"/>
          <w:b/>
          <w:i w:val="0"/>
          <w:sz w:val="22"/>
        </w:rPr>
        <w:t>Asset class selection:</w:t>
      </w:r>
      <w:r>
        <w:rPr>
          <w:rFonts w:ascii="Figtree" w:hAnsi="Figtree"/>
          <w:b w:val="0"/>
          <w:i w:val="0"/>
          <w:sz w:val="22"/>
        </w:rPr>
        <w:t xml:space="preserve"> Cash Equivalent → Deposit</w:t>
      </w:r>
    </w:p>
    <w:p>
      <w:pPr>
        <w:pStyle w:val="ListParagraph"/>
        <w:numPr>
          <w:ilvl w:val="0"/>
          <w:numId w:val="16"/>
        </w:numPr>
      </w:pPr>
      <w:r>
        <w:rPr>
          <w:rFonts w:ascii="Figtree" w:hAnsi="Figtree"/>
          <w:b/>
          <w:i w:val="0"/>
          <w:sz w:val="22"/>
        </w:rPr>
        <w:t>Basic parameters:</w:t>
      </w:r>
      <w:r>
        <w:rPr>
          <w:rFonts w:ascii="Figtree" w:hAnsi="Figtree"/>
          <w:b w:val="0"/>
          <w:i w:val="0"/>
          <w:sz w:val="22"/>
        </w:rPr>
        <w:t xml:space="preserve"> Name (e.g., "Emirates NBD Term Deposit AED"), Symbol (e.g., "ENBD-TD-AED"), Decimals (18), Jurisdiction (UAE)</w:t>
      </w:r>
    </w:p>
    <w:p>
      <w:pPr>
        <w:pStyle w:val="ListParagraph"/>
        <w:numPr>
          <w:ilvl w:val="0"/>
          <w:numId w:val="16"/>
        </w:numPr>
      </w:pPr>
      <w:r>
        <w:rPr>
          <w:rFonts w:ascii="Figtree" w:hAnsi="Figtree"/>
          <w:b/>
          <w:i w:val="0"/>
          <w:sz w:val="22"/>
        </w:rPr>
        <w:t>Economic configuration:</w:t>
      </w:r>
      <w:r>
        <w:rPr>
          <w:rFonts w:ascii="Figtree" w:hAnsi="Figtree"/>
          <w:b w:val="0"/>
          <w:i w:val="0"/>
          <w:sz w:val="22"/>
        </w:rPr>
        <w:t xml:space="preserve"> Denomination asset (AED settlement token), maximum supply (aligned with deposit programme limit), face value per token</w:t>
      </w:r>
    </w:p>
    <w:p>
      <w:pPr>
        <w:pStyle w:val="ListParagraph"/>
        <w:numPr>
          <w:ilvl w:val="0"/>
          <w:numId w:val="16"/>
        </w:numPr>
      </w:pPr>
      <w:r>
        <w:rPr>
          <w:rFonts w:ascii="Figtree" w:hAnsi="Figtree"/>
          <w:b/>
          <w:i w:val="0"/>
          <w:sz w:val="22"/>
        </w:rPr>
        <w:t>Feature selection and ordering:</w:t>
      </w:r>
    </w:p>
    <w:p>
      <w:pPr>
        <w:pStyle w:val="ListParagraph"/>
        <w:numPr>
          <w:ilvl w:val="1"/>
          <w:numId w:val="4"/>
        </w:numPr>
      </w:pPr>
      <w:r>
        <w:rPr>
          <w:rFonts w:ascii="Figtree" w:hAnsi="Figtree"/>
          <w:b w:val="0"/>
          <w:i w:val="0"/>
          <w:sz w:val="22"/>
        </w:rPr>
        <w:t>Historical balances (snapshot capability for regulatory reporting)</w:t>
      </w:r>
    </w:p>
    <w:p>
      <w:pPr>
        <w:pStyle w:val="ListParagraph"/>
        <w:numPr>
          <w:ilvl w:val="1"/>
          <w:numId w:val="4"/>
        </w:numPr>
      </w:pPr>
      <w:r>
        <w:rPr>
          <w:rFonts w:ascii="Figtree" w:hAnsi="Figtree"/>
          <w:b w:val="0"/>
          <w:i w:val="0"/>
          <w:sz w:val="22"/>
        </w:rPr>
        <w:t>Fixed treasury yield (automated interest accrual at configured rate)</w:t>
      </w:r>
    </w:p>
    <w:p>
      <w:pPr>
        <w:pStyle w:val="ListParagraph"/>
        <w:numPr>
          <w:ilvl w:val="1"/>
          <w:numId w:val="4"/>
        </w:numPr>
      </w:pPr>
      <w:r>
        <w:rPr>
          <w:rFonts w:ascii="Figtree" w:hAnsi="Figtree"/>
          <w:b w:val="0"/>
          <w:i w:val="0"/>
          <w:sz w:val="22"/>
        </w:rPr>
        <w:t>Maturity and redemption (automated processing at maturity date)</w:t>
      </w:r>
    </w:p>
    <w:p>
      <w:pPr>
        <w:pStyle w:val="ListParagraph"/>
        <w:numPr>
          <w:ilvl w:val="1"/>
          <w:numId w:val="4"/>
        </w:numPr>
      </w:pPr>
      <w:r>
        <w:rPr>
          <w:rFonts w:ascii="Figtree" w:hAnsi="Figtree"/>
          <w:b w:val="0"/>
          <w:i w:val="0"/>
          <w:sz w:val="22"/>
        </w:rPr>
        <w:t>Transaction fee accounting (for treasury reconciliation)</w:t>
      </w:r>
    </w:p>
    <w:p>
      <w:pPr>
        <w:pStyle w:val="ListParagraph"/>
        <w:numPr>
          <w:ilvl w:val="1"/>
          <w:numId w:val="4"/>
        </w:numPr>
      </w:pPr>
      <w:r>
        <w:rPr>
          <w:rFonts w:ascii="Figtree" w:hAnsi="Figtree"/>
          <w:b w:val="0"/>
          <w:i w:val="0"/>
          <w:sz w:val="22"/>
        </w:rPr>
        <w:t>Permit / EIP-2612 (gasless approvals for operational efficiency)</w:t>
      </w:r>
    </w:p>
    <w:p>
      <w:pPr>
        <w:pStyle w:val="ListParagraph"/>
        <w:numPr>
          <w:ilvl w:val="0"/>
          <w:numId w:val="16"/>
        </w:numPr>
      </w:pPr>
      <w:r>
        <w:rPr>
          <w:rFonts w:ascii="Figtree" w:hAnsi="Figtree"/>
          <w:b/>
          <w:i w:val="0"/>
          <w:sz w:val="22"/>
        </w:rPr>
        <w:t>Compliance module binding:</w:t>
      </w:r>
    </w:p>
    <w:p>
      <w:pPr>
        <w:pStyle w:val="ListParagraph"/>
        <w:numPr>
          <w:ilvl w:val="1"/>
          <w:numId w:val="4"/>
        </w:numPr>
      </w:pPr>
      <w:r>
        <w:rPr>
          <w:rFonts w:ascii="Figtree" w:hAnsi="Figtree"/>
          <w:b w:val="0"/>
          <w:i w:val="0"/>
          <w:sz w:val="22"/>
        </w:rPr>
        <w:t>Identity verification (mandatory for all transfers)</w:t>
      </w:r>
    </w:p>
    <w:p>
      <w:pPr>
        <w:pStyle w:val="ListParagraph"/>
        <w:numPr>
          <w:ilvl w:val="1"/>
          <w:numId w:val="4"/>
        </w:numPr>
      </w:pPr>
      <w:r>
        <w:rPr>
          <w:rFonts w:ascii="Figtree" w:hAnsi="Figtree"/>
          <w:b w:val="0"/>
          <w:i w:val="0"/>
          <w:sz w:val="22"/>
        </w:rPr>
        <w:t>Country allow list (UAE and approved jurisdictions)</w:t>
      </w:r>
    </w:p>
    <w:p>
      <w:pPr>
        <w:pStyle w:val="ListParagraph"/>
        <w:numPr>
          <w:ilvl w:val="1"/>
          <w:numId w:val="4"/>
        </w:numPr>
      </w:pPr>
      <w:r>
        <w:rPr>
          <w:rFonts w:ascii="Figtree" w:hAnsi="Figtree"/>
          <w:b w:val="0"/>
          <w:i w:val="0"/>
          <w:sz w:val="22"/>
        </w:rPr>
        <w:t>Investor count limit (regulatory cap on depositors)</w:t>
      </w:r>
    </w:p>
    <w:p>
      <w:pPr>
        <w:pStyle w:val="ListParagraph"/>
        <w:numPr>
          <w:ilvl w:val="1"/>
          <w:numId w:val="4"/>
        </w:numPr>
      </w:pPr>
      <w:r>
        <w:rPr>
          <w:rFonts w:ascii="Figtree" w:hAnsi="Figtree"/>
          <w:b w:val="0"/>
          <w:i w:val="0"/>
          <w:sz w:val="22"/>
        </w:rPr>
        <w:t>Transfer approval (maker-checker for transfers above threshold)</w:t>
      </w:r>
    </w:p>
    <w:p>
      <w:pPr>
        <w:pStyle w:val="ListParagraph"/>
        <w:numPr>
          <w:ilvl w:val="0"/>
          <w:numId w:val="16"/>
        </w:numPr>
      </w:pPr>
      <w:r>
        <w:rPr>
          <w:rFonts w:ascii="Figtree" w:hAnsi="Figtree"/>
          <w:b/>
          <w:i w:val="0"/>
          <w:sz w:val="22"/>
        </w:rPr>
        <w:t>Deployment configuration:</w:t>
      </w:r>
      <w:r>
        <w:rPr>
          <w:rFonts w:ascii="Figtree" w:hAnsi="Figtree"/>
          <w:b w:val="0"/>
          <w:i w:val="0"/>
          <w:sz w:val="22"/>
        </w:rPr>
        <w:t xml:space="preserve"> UUPS proxy (upgradeable), Hyperledger Besu network</w:t>
      </w:r>
    </w:p>
    <w:p>
      <w:r>
        <w:rPr>
          <w:rFonts w:ascii="Figtree" w:hAnsi="Figtree"/>
          <w:b w:val="0"/>
          <w:i w:val="0"/>
          <w:sz w:val="22"/>
        </w:rPr>
        <w:t>The resulting token inherits the security guarantees of the audited SMART Protocol. Every component — the token logic, compliance modules, identity verification — has been independently audited. Emirates NBD does not need to commission separate security audits for each deposit product.</w:t>
      </w:r>
    </w:p>
    <w:p>
      <w:pPr>
        <w:pStyle w:val="H3"/>
        <w:numPr>
          <w:ilvl w:val="2"/>
          <w:numId w:val="1"/>
        </w:numPr>
      </w:pPr>
      <w:r>
        <w:t>Trade Finance Instrument Configuration</w:t>
      </w:r>
    </w:p>
    <w:p>
      <w:r>
        <w:rPr>
          <w:rFonts w:ascii="Figtree" w:hAnsi="Figtree"/>
          <w:b w:val="0"/>
          <w:i w:val="0"/>
          <w:sz w:val="22"/>
        </w:rPr>
        <w:t>Trade finance instruments present a different configuration challenge. Unlike deposits, which follow relatively standardized lifecycle patterns, trade finance instruments are document-linked, multi-party, and milestone-driven. A letter of credit involves document presentation, counterparty verification, multiple approval stages, conditional payment release, and final settlement — all of which must produce auditable evidence.</w:t>
      </w:r>
    </w:p>
    <w:p>
      <w:r>
        <w:rPr>
          <w:rFonts w:ascii="Figtree" w:hAnsi="Figtree"/>
          <w:b w:val="0"/>
          <w:i w:val="0"/>
          <w:sz w:val="22"/>
        </w:rPr>
        <w:t>DALP handles this complexity through DALPAsset's configurable architecture combined with the durable workflow engine:</w:t>
      </w:r>
    </w:p>
    <w:p>
      <w:pPr>
        <w:pStyle w:val="ListParagraph"/>
        <w:numPr>
          <w:ilvl w:val="0"/>
          <w:numId w:val="17"/>
        </w:numPr>
      </w:pPr>
      <w:r>
        <w:rPr>
          <w:rFonts w:ascii="Figtree" w:hAnsi="Figtree"/>
          <w:b/>
          <w:i w:val="0"/>
          <w:sz w:val="22"/>
        </w:rPr>
        <w:t>Asset class selection:</w:t>
      </w:r>
      <w:r>
        <w:rPr>
          <w:rFonts w:ascii="Figtree" w:hAnsi="Figtree"/>
          <w:b w:val="0"/>
          <w:i w:val="0"/>
          <w:sz w:val="22"/>
        </w:rPr>
        <w:t xml:space="preserve"> Configurable (DALPAsset)</w:t>
      </w:r>
    </w:p>
    <w:p>
      <w:pPr>
        <w:pStyle w:val="ListParagraph"/>
        <w:numPr>
          <w:ilvl w:val="0"/>
          <w:numId w:val="17"/>
        </w:numPr>
      </w:pPr>
      <w:r>
        <w:rPr>
          <w:rFonts w:ascii="Figtree" w:hAnsi="Figtree"/>
          <w:b/>
          <w:i w:val="0"/>
          <w:sz w:val="22"/>
        </w:rPr>
        <w:t>Basic parameters:</w:t>
      </w:r>
      <w:r>
        <w:rPr>
          <w:rFonts w:ascii="Figtree" w:hAnsi="Figtree"/>
          <w:b w:val="0"/>
          <w:i w:val="0"/>
          <w:sz w:val="22"/>
        </w:rPr>
        <w:t xml:space="preserve"> Name (e.g., "Emirates NBD LC-2026-001"), Symbol (auto-generated), Jurisdiction (UAE)</w:t>
      </w:r>
    </w:p>
    <w:p>
      <w:pPr>
        <w:pStyle w:val="ListParagraph"/>
        <w:numPr>
          <w:ilvl w:val="0"/>
          <w:numId w:val="17"/>
        </w:numPr>
      </w:pPr>
      <w:r>
        <w:rPr>
          <w:rFonts w:ascii="Figtree" w:hAnsi="Figtree"/>
          <w:b/>
          <w:i w:val="0"/>
          <w:sz w:val="22"/>
        </w:rPr>
        <w:t>Metadata configuration:</w:t>
      </w:r>
      <w:r>
        <w:rPr>
          <w:rFonts w:ascii="Figtree" w:hAnsi="Figtree"/>
          <w:b w:val="0"/>
          <w:i w:val="0"/>
          <w:sz w:val="22"/>
        </w:rPr>
        <w:t xml:space="preserve"> Document references (LC number, underlying trade details, counterparty information), milestone definitions (document presentation, verification, approval, settlement)</w:t>
      </w:r>
    </w:p>
    <w:p>
      <w:pPr>
        <w:pStyle w:val="ListParagraph"/>
        <w:numPr>
          <w:ilvl w:val="0"/>
          <w:numId w:val="17"/>
        </w:numPr>
      </w:pPr>
      <w:r>
        <w:rPr>
          <w:rFonts w:ascii="Figtree" w:hAnsi="Figtree"/>
          <w:b/>
          <w:i w:val="0"/>
          <w:sz w:val="22"/>
        </w:rPr>
        <w:t>Feature selection:</w:t>
      </w:r>
    </w:p>
    <w:p>
      <w:pPr>
        <w:pStyle w:val="ListParagraph"/>
        <w:numPr>
          <w:ilvl w:val="1"/>
          <w:numId w:val="4"/>
        </w:numPr>
      </w:pPr>
      <w:r>
        <w:rPr>
          <w:rFonts w:ascii="Figtree" w:hAnsi="Figtree"/>
          <w:b w:val="0"/>
          <w:i w:val="0"/>
          <w:sz w:val="22"/>
        </w:rPr>
        <w:t>Historical balances (trade history and audit trail)</w:t>
      </w:r>
    </w:p>
    <w:p>
      <w:pPr>
        <w:pStyle w:val="ListParagraph"/>
        <w:numPr>
          <w:ilvl w:val="1"/>
          <w:numId w:val="4"/>
        </w:numPr>
      </w:pPr>
      <w:r>
        <w:rPr>
          <w:rFonts w:ascii="Figtree" w:hAnsi="Figtree"/>
          <w:b w:val="0"/>
          <w:i w:val="0"/>
          <w:sz w:val="22"/>
        </w:rPr>
        <w:t>Timelock (enforced holding periods for liquidity instruments)</w:t>
      </w:r>
    </w:p>
    <w:p>
      <w:pPr>
        <w:pStyle w:val="ListParagraph"/>
        <w:numPr>
          <w:ilvl w:val="0"/>
          <w:numId w:val="17"/>
        </w:numPr>
      </w:pPr>
      <w:r>
        <w:rPr>
          <w:rFonts w:ascii="Figtree" w:hAnsi="Figtree"/>
          <w:b/>
          <w:i w:val="0"/>
          <w:sz w:val="22"/>
        </w:rPr>
        <w:t>Compliance module binding:</w:t>
      </w:r>
    </w:p>
    <w:p>
      <w:pPr>
        <w:pStyle w:val="ListParagraph"/>
        <w:numPr>
          <w:ilvl w:val="1"/>
          <w:numId w:val="4"/>
        </w:numPr>
      </w:pPr>
      <w:r>
        <w:rPr>
          <w:rFonts w:ascii="Figtree" w:hAnsi="Figtree"/>
          <w:b w:val="0"/>
          <w:i w:val="0"/>
          <w:sz w:val="22"/>
        </w:rPr>
        <w:t>Identity verification (counterparty identity required for all operations)</w:t>
      </w:r>
    </w:p>
    <w:p>
      <w:pPr>
        <w:pStyle w:val="ListParagraph"/>
        <w:numPr>
          <w:ilvl w:val="1"/>
          <w:numId w:val="4"/>
        </w:numPr>
      </w:pPr>
      <w:r>
        <w:rPr>
          <w:rFonts w:ascii="Figtree" w:hAnsi="Figtree"/>
          <w:b w:val="0"/>
          <w:i w:val="0"/>
          <w:sz w:val="22"/>
        </w:rPr>
        <w:t>Address allow list (only nominated counterparties can hold or transfer)</w:t>
      </w:r>
    </w:p>
    <w:p>
      <w:pPr>
        <w:pStyle w:val="ListParagraph"/>
        <w:numPr>
          <w:ilvl w:val="1"/>
          <w:numId w:val="4"/>
        </w:numPr>
      </w:pPr>
      <w:r>
        <w:rPr>
          <w:rFonts w:ascii="Figtree" w:hAnsi="Figtree"/>
          <w:b w:val="0"/>
          <w:i w:val="0"/>
          <w:sz w:val="22"/>
        </w:rPr>
        <w:t>Transfer approval (multi-party approval with configurable expiry)</w:t>
      </w:r>
    </w:p>
    <w:p>
      <w:pPr>
        <w:pStyle w:val="ListParagraph"/>
        <w:numPr>
          <w:ilvl w:val="1"/>
          <w:numId w:val="4"/>
        </w:numPr>
      </w:pPr>
      <w:r>
        <w:rPr>
          <w:rFonts w:ascii="Figtree" w:hAnsi="Figtree"/>
          <w:b w:val="0"/>
          <w:i w:val="0"/>
          <w:sz w:val="22"/>
        </w:rPr>
        <w:t>Timelock (minimum holding period enforcement with FIFO batch tracking)</w:t>
      </w:r>
    </w:p>
    <w:p>
      <w:pPr>
        <w:pStyle w:val="ListParagraph"/>
        <w:numPr>
          <w:ilvl w:val="0"/>
          <w:numId w:val="17"/>
        </w:numPr>
      </w:pPr>
      <w:r>
        <w:rPr>
          <w:rFonts w:ascii="Figtree" w:hAnsi="Figtree"/>
          <w:b/>
          <w:i w:val="0"/>
          <w:sz w:val="22"/>
        </w:rPr>
        <w:t>Workflow configuration:</w:t>
      </w:r>
      <w:r>
        <w:rPr>
          <w:rFonts w:ascii="Figtree" w:hAnsi="Figtree"/>
          <w:b w:val="0"/>
          <w:i w:val="0"/>
          <w:sz w:val="22"/>
        </w:rPr>
        <w:t xml:space="preserve"> Durable workflow template defining milestone sequence, approval requirements, timeout escalation, and settlement trigger conditions</w:t>
      </w:r>
    </w:p>
    <w:p>
      <w:r>
        <w:rPr>
          <w:rFonts w:ascii="Figtree" w:hAnsi="Figtree"/>
          <w:b w:val="0"/>
          <w:i w:val="0"/>
          <w:sz w:val="22"/>
        </w:rPr>
        <w:t>The durable workflow engine guarantees that multi-step trade finance operations complete reliably even in the face of system restarts, network partitions, or partner outages. Each workflow step persists its state to PostgreSQL before proceeding, ensuring that a failure at any point can be recovered without data loss or inconsistent state.</w:t>
      </w:r>
    </w:p>
    <w:p>
      <w:pPr>
        <w:pStyle w:val="H3"/>
        <w:numPr>
          <w:ilvl w:val="2"/>
          <w:numId w:val="1"/>
        </w:numPr>
      </w:pPr>
      <w:r>
        <w:t>Factory Pattern and Deterministic Deployment</w:t>
      </w:r>
    </w:p>
    <w:p>
      <w:r>
        <w:rPr>
          <w:rFonts w:ascii="Figtree" w:hAnsi="Figtree"/>
          <w:b w:val="0"/>
          <w:i w:val="0"/>
          <w:sz w:val="22"/>
        </w:rPr>
        <w:t>All asset types — both deposits and trade finance instruments — are deployed through a factory pattern using CREATE2 deterministic deployment:</w:t>
      </w:r>
    </w:p>
    <w:p>
      <w:pPr>
        <w:pStyle w:val="ListParagraph"/>
        <w:numPr>
          <w:ilvl w:val="0"/>
          <w:numId w:val="4"/>
        </w:numPr>
      </w:pPr>
      <w:r>
        <w:rPr>
          <w:rFonts w:ascii="Figtree" w:hAnsi="Figtree"/>
          <w:b w:val="0"/>
          <w:i w:val="0"/>
          <w:sz w:val="22"/>
        </w:rPr>
        <w:t>The factory receives a createAsset call and deploys a proxy via CREATE2 with a deterministic address derived from the deployment parameters</w:t>
      </w:r>
    </w:p>
    <w:p>
      <w:pPr>
        <w:pStyle w:val="ListParagraph"/>
        <w:numPr>
          <w:ilvl w:val="0"/>
          <w:numId w:val="4"/>
        </w:numPr>
      </w:pPr>
      <w:r>
        <w:rPr>
          <w:rFonts w:ascii="Figtree" w:hAnsi="Figtree"/>
          <w:b w:val="0"/>
          <w:i w:val="0"/>
          <w:sz w:val="22"/>
        </w:rPr>
        <w:t>The factory registers an OnchainID identity contract for the token</w:t>
      </w:r>
    </w:p>
    <w:p>
      <w:pPr>
        <w:pStyle w:val="ListParagraph"/>
        <w:numPr>
          <w:ilvl w:val="0"/>
          <w:numId w:val="4"/>
        </w:numPr>
      </w:pPr>
      <w:r>
        <w:rPr>
          <w:rFonts w:ascii="Figtree" w:hAnsi="Figtree"/>
          <w:b w:val="0"/>
          <w:i w:val="0"/>
          <w:sz w:val="22"/>
        </w:rPr>
        <w:t>The proxy is initialized with the identity and delegates to the implementation contract</w:t>
      </w:r>
    </w:p>
    <w:p>
      <w:pPr>
        <w:pStyle w:val="ListParagraph"/>
        <w:numPr>
          <w:ilvl w:val="0"/>
          <w:numId w:val="4"/>
        </w:numPr>
      </w:pPr>
      <w:r>
        <w:rPr>
          <w:rFonts w:ascii="Figtree" w:hAnsi="Figtree"/>
          <w:b w:val="0"/>
          <w:i w:val="0"/>
          <w:sz w:val="22"/>
        </w:rPr>
        <w:t>Required system roles are assigned and a TokenDeployed event is emitted for indexing</w:t>
      </w:r>
    </w:p>
    <w:p>
      <w:r>
        <w:rPr>
          <w:rFonts w:ascii="Figtree" w:hAnsi="Figtree"/>
          <w:b w:val="0"/>
          <w:i w:val="0"/>
          <w:sz w:val="22"/>
        </w:rPr>
        <w:t>The factory transaction is atomic. If any step fails, the entire deployment reverts. No partially deployed tokens can exist on-chain. This guarantees that Emirates NBD never encounters a token that exists in a partially initialized state.</w:t>
      </w:r>
    </w:p>
    <w:p>
      <w:r>
        <w:rPr>
          <w:rFonts w:ascii="Figtree" w:hAnsi="Figtree"/>
          <w:b w:val="0"/>
          <w:i w:val="0"/>
          <w:sz w:val="22"/>
        </w:rPr>
        <w:t>CREATE2 determinism means token addresses are predictable from deployment parameters. The same parameters always produce the same address. This is operationally significant for Emirates NBD: integration systems can compute token addresses before deployment, enabling pre-configuration of downstream systems.</w:t>
      </w:r>
    </w:p>
    <w:p>
      <w:pPr>
        <w:pStyle w:val="H3"/>
        <w:numPr>
          <w:ilvl w:val="2"/>
          <w:numId w:val="1"/>
        </w:numPr>
      </w:pPr>
      <w:r>
        <w:t>Administrative Controls</w:t>
      </w:r>
    </w:p>
    <w:p>
      <w:r>
        <w:rPr>
          <w:rFonts w:ascii="Figtree" w:hAnsi="Figtree"/>
          <w:b w:val="0"/>
          <w:i w:val="0"/>
          <w:sz w:val="22"/>
        </w:rPr>
        <w:t>Every asset deployed through DALP inherits administrative controls through the Custodian extension:</w:t>
      </w:r>
    </w:p>
    <w:p>
      <w:pPr>
        <w:pStyle w:val="ListParagraph"/>
        <w:numPr>
          <w:ilvl w:val="0"/>
          <w:numId w:val="4"/>
        </w:numPr>
      </w:pPr>
      <w:r>
        <w:rPr>
          <w:rFonts w:ascii="Figtree" w:hAnsi="Figtree"/>
          <w:b/>
          <w:i w:val="0"/>
          <w:sz w:val="22"/>
        </w:rPr>
        <w:t>Forced transfers:</w:t>
      </w:r>
      <w:r>
        <w:rPr>
          <w:rFonts w:ascii="Figtree" w:hAnsi="Figtree"/>
          <w:b w:val="0"/>
          <w:i w:val="0"/>
          <w:sz w:val="22"/>
        </w:rPr>
        <w:t xml:space="preserve"> For court orders, inheritance, regulatory seizures — with full audit trail documenting the legal basis and authorizing officer</w:t>
      </w:r>
    </w:p>
    <w:p>
      <w:pPr>
        <w:pStyle w:val="ListParagraph"/>
        <w:numPr>
          <w:ilvl w:val="0"/>
          <w:numId w:val="4"/>
        </w:numPr>
      </w:pPr>
      <w:r>
        <w:rPr>
          <w:rFonts w:ascii="Figtree" w:hAnsi="Figtree"/>
          <w:b/>
          <w:i w:val="0"/>
          <w:sz w:val="22"/>
        </w:rPr>
        <w:t>Account freezing:</w:t>
      </w:r>
      <w:r>
        <w:rPr>
          <w:rFonts w:ascii="Figtree" w:hAnsi="Figtree"/>
          <w:b w:val="0"/>
          <w:i w:val="0"/>
          <w:sz w:val="22"/>
        </w:rPr>
        <w:t xml:space="preserve"> Full or partial freezing of participant accounts, with separate freeze and unfreeze operations</w:t>
      </w:r>
    </w:p>
    <w:p>
      <w:pPr>
        <w:pStyle w:val="ListParagraph"/>
        <w:numPr>
          <w:ilvl w:val="0"/>
          <w:numId w:val="4"/>
        </w:numPr>
      </w:pPr>
      <w:r>
        <w:rPr>
          <w:rFonts w:ascii="Figtree" w:hAnsi="Figtree"/>
          <w:b/>
          <w:i w:val="0"/>
          <w:sz w:val="22"/>
        </w:rPr>
        <w:t>Token recovery:</w:t>
      </w:r>
      <w:r>
        <w:rPr>
          <w:rFonts w:ascii="Figtree" w:hAnsi="Figtree"/>
          <w:b w:val="0"/>
          <w:i w:val="0"/>
          <w:sz w:val="22"/>
        </w:rPr>
        <w:t xml:space="preserve"> Two-step identity recovery for lost keys, ensuring that lost wallet access does not mean lost assets</w:t>
      </w:r>
    </w:p>
    <w:p>
      <w:pPr>
        <w:pStyle w:val="ListParagraph"/>
        <w:numPr>
          <w:ilvl w:val="0"/>
          <w:numId w:val="4"/>
        </w:numPr>
      </w:pPr>
      <w:r>
        <w:rPr>
          <w:rFonts w:ascii="Figtree" w:hAnsi="Figtree"/>
          <w:b/>
          <w:i w:val="0"/>
          <w:sz w:val="22"/>
        </w:rPr>
        <w:t>Batch operations:</w:t>
      </w:r>
      <w:r>
        <w:rPr>
          <w:rFonts w:ascii="Figtree" w:hAnsi="Figtree"/>
          <w:b w:val="0"/>
          <w:i w:val="0"/>
          <w:sz w:val="22"/>
        </w:rPr>
        <w:t xml:space="preserve"> Bulk minting, transfers, and compliance operations for operational efficiency</w:t>
      </w:r>
    </w:p>
    <w:p>
      <w:r>
        <w:rPr>
          <w:rFonts w:ascii="Figtree" w:hAnsi="Figtree"/>
          <w:b w:val="0"/>
          <w:i w:val="0"/>
          <w:sz w:val="22"/>
        </w:rPr>
        <w:t>All custodian actions emit events for auditability. Emirates NBD's compliance and audit teams can reconstruct any custodian action — who authorized it, why, when, and what the resulting state change was.</w:t>
      </w:r>
    </w:p>
    <w:p>
      <w:pPr>
        <w:pStyle w:val="H3"/>
        <w:numPr>
          <w:ilvl w:val="2"/>
          <w:numId w:val="1"/>
        </w:numPr>
      </w:pPr>
      <w:r>
        <w:t>Middleware Architecture Deep Dive</w:t>
      </w:r>
    </w:p>
    <w:p>
      <w:r>
        <w:rPr>
          <w:rFonts w:ascii="Figtree" w:hAnsi="Figtree"/>
          <w:b w:val="0"/>
          <w:i w:val="0"/>
          <w:sz w:val="22"/>
        </w:rPr>
        <w:t>The middleware layer handles the operational complexity of blockchain interaction. External consumers never interact with these services directly — they are internal to the platform, providing the reliability and consistency guarantees that enterprise systems require.</w:t>
      </w:r>
    </w:p>
    <w:p>
      <w:r>
        <w:rPr>
          <w:rFonts w:ascii="Figtree" w:hAnsi="Figtree"/>
          <w:b/>
          <w:i w:val="0"/>
          <w:sz w:val="22"/>
        </w:rPr>
        <w:t>Execution Engine.</w:t>
      </w:r>
      <w:r>
        <w:rPr>
          <w:rFonts w:ascii="Figtree" w:hAnsi="Figtree"/>
          <w:b w:val="0"/>
          <w:i w:val="0"/>
          <w:sz w:val="22"/>
        </w:rPr>
        <w:t xml:space="preserve"> The Execution Engine provides reliable workflow orchestration with persistent state and exactly-once semantics. All stateful operations — token deployments, settlement workflows, compliance updates — run through durable workflows that survive infrastructure failures, process restarts, and network partitions. For Emirates NBD's trade finance workflows, this means that a multi-day letter of credit approval process will complete correctly even if the underlying infrastructure experiences intermittent failures.</w:t>
      </w:r>
    </w:p>
    <w:p>
      <w:r>
        <w:rPr>
          <w:rFonts w:ascii="Figtree" w:hAnsi="Figtree"/>
          <w:b/>
          <w:i w:val="0"/>
          <w:sz w:val="22"/>
        </w:rPr>
        <w:t>Transaction Signer.</w:t>
      </w:r>
      <w:r>
        <w:rPr>
          <w:rFonts w:ascii="Figtree" w:hAnsi="Figtree"/>
          <w:b w:val="0"/>
          <w:i w:val="0"/>
          <w:sz w:val="22"/>
        </w:rPr>
        <w:t xml:space="preserve"> The Transaction Signer handles transaction preparation, gas estimation, nonce management, and signing. It supports EIP-1559 gas pricing for efficient fee management and meta-transactions (ERC-2771) for gasless operations where appropriate. Nonce coordination uses a virtual-object service that serializes nonce allocation per address and chain ID, with self-healing behavior for nonce conflicts.</w:t>
      </w:r>
    </w:p>
    <w:p>
      <w:r>
        <w:rPr>
          <w:rFonts w:ascii="Figtree" w:hAnsi="Figtree"/>
          <w:b/>
          <w:i w:val="0"/>
          <w:sz w:val="22"/>
        </w:rPr>
        <w:t>Chain Indexer.</w:t>
      </w:r>
      <w:r>
        <w:rPr>
          <w:rFonts w:ascii="Figtree" w:hAnsi="Figtree"/>
          <w:b w:val="0"/>
          <w:i w:val="0"/>
          <w:sz w:val="22"/>
        </w:rPr>
        <w:t xml:space="preserve"> The Chain Indexer processes blockchain events in real time, translating on-chain state changes into queryable data structures. For Emirates NBD, this means that every deposit creation, transfer, yield distribution, and maturity event is immediately available through the API and dashboard — not after a batch processing cycle.</w:t>
      </w:r>
    </w:p>
    <w:p>
      <w:r>
        <w:rPr>
          <w:rFonts w:ascii="Figtree" w:hAnsi="Figtree"/>
          <w:b/>
          <w:i w:val="0"/>
          <w:sz w:val="22"/>
        </w:rPr>
        <w:t>Feeds System.</w:t>
      </w:r>
      <w:r>
        <w:rPr>
          <w:rFonts w:ascii="Figtree" w:hAnsi="Figtree"/>
          <w:b w:val="0"/>
          <w:i w:val="0"/>
          <w:sz w:val="22"/>
        </w:rPr>
        <w:t xml:space="preserve"> The Feeds System provides trusted market data for pricing, NAV calculations, and reference data. For deposit products, this includes interest rate feeds, FX rates, and denomination asset valuations. Each data source is configurable with defined update frequencies, staleness thresholds, and fallback behavior.</w:t>
      </w:r>
    </w:p>
    <w:p>
      <w:pPr>
        <w:pStyle w:val="H3"/>
        <w:numPr>
          <w:ilvl w:val="2"/>
          <w:numId w:val="1"/>
        </w:numPr>
      </w:pPr>
      <w:r>
        <w:t>Observability and Monitoring Architecture</w:t>
      </w:r>
    </w:p>
    <w:p>
      <w:r>
        <w:rPr>
          <w:rFonts w:ascii="Figtree" w:hAnsi="Figtree"/>
          <w:b w:val="0"/>
          <w:i w:val="0"/>
          <w:sz w:val="22"/>
        </w:rPr>
        <w:t>DALP's observability stack provides comprehensive operational visibility for Emirates NBD:</w:t>
      </w:r>
    </w:p>
    <w:p>
      <w:r>
        <w:rPr>
          <w:rFonts w:ascii="Figtree" w:hAnsi="Figtree"/>
          <w:b/>
          <w:i w:val="0"/>
          <w:sz w:val="22"/>
        </w:rPr>
        <w:t>Real-time dashboards.</w:t>
      </w:r>
      <w:r>
        <w:rPr>
          <w:rFonts w:ascii="Figtree" w:hAnsi="Figtree"/>
          <w:b w:val="0"/>
          <w:i w:val="0"/>
          <w:sz w:val="22"/>
        </w:rPr>
        <w:t xml:space="preserve"> Grafana-based dashboards surface platform health, blockchain state, transaction throughput, compliance event rates, and settlement status. Dashboards are pre-configured for common operational views and customizable for Emirates NBD's specific requirements.</w:t>
      </w:r>
    </w:p>
    <w:p>
      <w:r>
        <w:rPr>
          <w:rFonts w:ascii="Figtree" w:hAnsi="Figtree"/>
          <w:b/>
          <w:i w:val="0"/>
          <w:sz w:val="22"/>
        </w:rPr>
        <w:t>Automated alerting.</w:t>
      </w:r>
      <w:r>
        <w:rPr>
          <w:rFonts w:ascii="Figtree" w:hAnsi="Figtree"/>
          <w:b w:val="0"/>
          <w:i w:val="0"/>
          <w:sz w:val="22"/>
        </w:rPr>
        <w:t xml:space="preserve"> Configurable alert rules trigger notifications for critical events: failed transactions, compliance module vetoes, approaching capacity limits, infrastructure health degradation. Alerts route through email, Slack/Teams channels, and PagerDuty integration.</w:t>
      </w:r>
    </w:p>
    <w:p>
      <w:r>
        <w:rPr>
          <w:rFonts w:ascii="Figtree" w:hAnsi="Figtree"/>
          <w:b/>
          <w:i w:val="0"/>
          <w:sz w:val="22"/>
        </w:rPr>
        <w:t>Log aggregation.</w:t>
      </w:r>
      <w:r>
        <w:rPr>
          <w:rFonts w:ascii="Figtree" w:hAnsi="Figtree"/>
          <w:b w:val="0"/>
          <w:i w:val="0"/>
          <w:sz w:val="22"/>
        </w:rPr>
        <w:t xml:space="preserve"> Structured logging across all platform components enables troubleshooting, audit evidence extraction, and regulatory reporting. Logs are retained according to configurable retention policies aligned with Emirates NBD's data governance requirements.</w:t>
      </w:r>
    </w:p>
    <w:p>
      <w:r>
        <w:rPr>
          <w:rFonts w:ascii="Figtree" w:hAnsi="Figtree"/>
          <w:b/>
          <w:i w:val="0"/>
          <w:sz w:val="22"/>
        </w:rPr>
        <w:t>Distributed tracing.</w:t>
      </w:r>
      <w:r>
        <w:rPr>
          <w:rFonts w:ascii="Figtree" w:hAnsi="Figtree"/>
          <w:b w:val="0"/>
          <w:i w:val="0"/>
          <w:sz w:val="22"/>
        </w:rPr>
        <w:t xml:space="preserve"> End-to-end request tracing from API entry through middleware processing to blockchain execution, enabling root-cause analysis of performance issues and operational anomalies.</w:t>
      </w:r>
    </w:p>
    <w:p>
      <w:r>
        <w:rPr>
          <w:rFonts w:ascii="Figtree" w:hAnsi="Figtree"/>
          <w:b/>
          <w:i w:val="0"/>
          <w:sz w:val="22"/>
        </w:rPr>
        <w:t>Health monitoring.</w:t>
      </w:r>
      <w:r>
        <w:rPr>
          <w:rFonts w:ascii="Figtree" w:hAnsi="Figtree"/>
          <w:b w:val="0"/>
          <w:i w:val="0"/>
          <w:sz w:val="22"/>
        </w:rPr>
        <w:t xml:space="preserve"> Automated health collection with blockchain-specific polling for RPC endpoints and indexer status. Hysteresis-based health classification requires three consecutive samples before status changes, preventing alert fatigue from transient issues.</w:t>
      </w:r>
    </w:p>
    <w:p>
      <w:pPr>
        <w:pStyle w:val="H3"/>
        <w:numPr>
          <w:ilvl w:val="2"/>
          <w:numId w:val="1"/>
        </w:numPr>
      </w:pPr>
      <w:r>
        <w:t>Smart Contract Security Deep Dive</w:t>
      </w:r>
    </w:p>
    <w:p>
      <w:r>
        <w:rPr>
          <w:rFonts w:ascii="Figtree" w:hAnsi="Figtree"/>
          <w:b/>
          <w:i w:val="0"/>
          <w:sz w:val="22"/>
        </w:rPr>
        <w:t>ERC-3643 Foundation Security.</w:t>
      </w:r>
      <w:r>
        <w:rPr>
          <w:rFonts w:ascii="Figtree" w:hAnsi="Figtree"/>
          <w:b w:val="0"/>
          <w:i w:val="0"/>
          <w:sz w:val="22"/>
        </w:rPr>
        <w:t xml:space="preserve"> All DALP smart contracts are built on the SMART Protocol, an implementation of ERC-3643 chosen for its modular compliance engine, on-chain identity integration through OnchainID, and active ecosystem support. The compliance engine evaluates a configurable set of transfer rules before each transaction — this is a fail-closed design where the default is denial unless all modules explicitly approve.</w:t>
      </w:r>
    </w:p>
    <w:p>
      <w:r>
        <w:rPr>
          <w:rFonts w:ascii="Figtree" w:hAnsi="Figtree"/>
          <w:b/>
          <w:i w:val="0"/>
          <w:sz w:val="22"/>
        </w:rPr>
        <w:t>Audit and Verification.</w:t>
      </w:r>
      <w:r>
        <w:rPr>
          <w:rFonts w:ascii="Figtree" w:hAnsi="Figtree"/>
          <w:b w:val="0"/>
          <w:i w:val="0"/>
          <w:sz w:val="22"/>
        </w:rPr>
        <w:t xml:space="preserve"> The SMART Protocol and DALPAsset contracts have been independently audited by third-party security firms. Audit reports are available under NDA for Emirates NBD's security review process. All critical functions are protected by reentrancy guards, and the contract architecture follows the checks-effects-interactions pattern to prevent state manipulation.</w:t>
      </w:r>
    </w:p>
    <w:p>
      <w:r>
        <w:rPr>
          <w:rFonts w:ascii="Figtree" w:hAnsi="Figtree"/>
          <w:b/>
          <w:i w:val="0"/>
          <w:sz w:val="22"/>
        </w:rPr>
        <w:t>Upgrade Security.</w:t>
      </w:r>
      <w:r>
        <w:rPr>
          <w:rFonts w:ascii="Figtree" w:hAnsi="Figtree"/>
          <w:b w:val="0"/>
          <w:i w:val="0"/>
          <w:sz w:val="22"/>
        </w:rPr>
        <w:t xml:space="preserve"> DALPAsset contracts deployed with the UUPS proxy pattern include explicit upgrade authorization in the implementation contract. This prevents unauthorized contract replacement — an attacker who gains proxy admin access cannot replace the implementation without passing the authorization checks coded into the implementation itself. Emirates NBD can choose immutable deployment for instruments where regulatory or legal frameworks require compile-time guarantees.</w:t>
      </w:r>
    </w:p>
    <w:p>
      <w:r>
        <w:rPr>
          <w:rFonts w:ascii="Figtree" w:hAnsi="Figtree"/>
          <w:b/>
          <w:i w:val="0"/>
          <w:sz w:val="22"/>
        </w:rPr>
        <w:t>Access Control on-chain.</w:t>
      </w:r>
      <w:r>
        <w:rPr>
          <w:rFonts w:ascii="Figtree" w:hAnsi="Figtree"/>
          <w:b w:val="0"/>
          <w:i w:val="0"/>
          <w:sz w:val="22"/>
        </w:rPr>
        <w:t xml:space="preserve"> The AccessManager contract is the authoritative source for all role assignments. Twenty-six distinct roles organized across four layers (Platform, System People, Per-Asset, System Module) provide granular control over every operation. Role grants and revocations are on-chain events, meaning they are immutable, timestamped, and auditable. There is no separate off-chain permission database that could diverge from the on-chain state.</w:t>
      </w:r>
    </w:p>
    <w:p>
      <w:pPr>
        <w:pStyle w:val="H3"/>
        <w:numPr>
          <w:ilvl w:val="2"/>
          <w:numId w:val="1"/>
        </w:numPr>
      </w:pPr>
      <w:r>
        <w:t>Data Architecture for Deposits and Trade Finance</w:t>
      </w:r>
    </w:p>
    <w:p>
      <w:r>
        <w:rPr>
          <w:rFonts w:ascii="Figtree" w:hAnsi="Figtree"/>
          <w:b w:val="0"/>
          <w:i w:val="0"/>
          <w:sz w:val="22"/>
        </w:rPr>
        <w:t>Emirates NBD's data architecture within DALP spans five distinct storage domains, each serving a specific purpose in the overall system:</w:t>
      </w:r>
    </w:p>
    <w:p>
      <w:r>
        <w:rPr>
          <w:rFonts w:ascii="Figtree" w:hAnsi="Figtree"/>
          <w:b/>
          <w:i w:val="0"/>
          <w:sz w:val="22"/>
        </w:rPr>
        <w:t>On-chain state (Blockchain — Hyperledger Besu).</w:t>
      </w:r>
      <w:r>
        <w:rPr>
          <w:rFonts w:ascii="Figtree" w:hAnsi="Figtree"/>
          <w:b w:val="0"/>
          <w:i w:val="0"/>
          <w:sz w:val="22"/>
        </w:rPr>
        <w:t xml:space="preserve"> This is the authoritative record for all token operations: balances, compliance module configurations, identity claims, and settlement state. On-chain state is permanent and immutable — once written, it cannot be altered, deleted, or retroactively modified. This immutability is the foundation of DALP's audit evidence model.</w:t>
      </w:r>
    </w:p>
    <w:p>
      <w:r>
        <w:rPr>
          <w:rFonts w:ascii="Figtree" w:hAnsi="Figtree"/>
          <w:b/>
          <w:i w:val="0"/>
          <w:sz w:val="22"/>
        </w:rPr>
        <w:t>Application state (PostgreSQL).</w:t>
      </w:r>
      <w:r>
        <w:rPr>
          <w:rFonts w:ascii="Figtree" w:hAnsi="Figtree"/>
          <w:b w:val="0"/>
          <w:i w:val="0"/>
          <w:sz w:val="22"/>
        </w:rPr>
        <w:t xml:space="preserve"> User accounts, session management, workflow state, configuration settings, and operational metadata. This is the transactional database supporting the platform's operational functions. Application state is backed up hourly and replicated to the DR environment.</w:t>
      </w:r>
    </w:p>
    <w:p>
      <w:r>
        <w:rPr>
          <w:rFonts w:ascii="Figtree" w:hAnsi="Figtree"/>
          <w:b/>
          <w:i w:val="0"/>
          <w:sz w:val="22"/>
        </w:rPr>
        <w:t>Indexed state (Chain Indexer → PostgreSQL).</w:t>
      </w:r>
      <w:r>
        <w:rPr>
          <w:rFonts w:ascii="Figtree" w:hAnsi="Figtree"/>
          <w:b w:val="0"/>
          <w:i w:val="0"/>
          <w:sz w:val="22"/>
        </w:rPr>
        <w:t xml:space="preserve"> The Chain Indexer continuously processes on-chain events and projects them into queryable PostgreSQL tables. This enables Emirates NBD to run complex queries, generate reports, and power dashboards without directly querying the blockchain — which would be impractical for analytical workloads. Indexed state is derived from on-chain state and can be reconstructed from the blockchain at any time.</w:t>
      </w:r>
    </w:p>
    <w:p>
      <w:r>
        <w:rPr>
          <w:rFonts w:ascii="Figtree" w:hAnsi="Figtree"/>
          <w:b/>
          <w:i w:val="0"/>
          <w:sz w:val="22"/>
        </w:rPr>
        <w:t>Audit evidence (Blockchain + PostgreSQL).</w:t>
      </w:r>
      <w:r>
        <w:rPr>
          <w:rFonts w:ascii="Figtree" w:hAnsi="Figtree"/>
          <w:b w:val="0"/>
          <w:i w:val="0"/>
          <w:sz w:val="22"/>
        </w:rPr>
        <w:t xml:space="preserve"> Every operation produces audit evidence spanning both on-chain (immutable transaction records, event logs) and off-chain (API request logs, authentication events, approval decisions) components. Together, these provide a complete audit trail that satisfies regulatory examination requirements.</w:t>
      </w:r>
    </w:p>
    <w:p>
      <w:r>
        <w:rPr>
          <w:rFonts w:ascii="Figtree" w:hAnsi="Figtree"/>
          <w:b/>
          <w:i w:val="0"/>
          <w:sz w:val="22"/>
        </w:rPr>
        <w:t>Document storage (Object Storage).</w:t>
      </w:r>
      <w:r>
        <w:rPr>
          <w:rFonts w:ascii="Figtree" w:hAnsi="Figtree"/>
          <w:b w:val="0"/>
          <w:i w:val="0"/>
          <w:sz w:val="22"/>
        </w:rPr>
        <w:t xml:space="preserve"> Trade finance documents, evidence attachments, and compliance documentation are stored in encrypted object storage (AWS S3 or Azure Blob Storage) with versioning enabled. Document references are linked to on-chain asset metadata, creating an immutable association between the tokenized instrument and its supporting documentation.</w:t>
      </w:r>
    </w:p>
    <w:p>
      <w:pPr>
        <w:pStyle w:val="H3"/>
        <w:numPr>
          <w:ilvl w:val="2"/>
          <w:numId w:val="1"/>
        </w:numPr>
      </w:pPr>
      <w:r>
        <w:t>Detailed Compliance Module Behavior</w:t>
      </w:r>
    </w:p>
    <w:p>
      <w:r>
        <w:rPr>
          <w:rFonts w:ascii="Figtree" w:hAnsi="Figtree"/>
          <w:b w:val="0"/>
          <w:i w:val="0"/>
          <w:sz w:val="22"/>
        </w:rPr>
        <w:t>Each compliance module follows a specific evaluation pattern. For Emirates NBD's deposit and trade finance scope, the following modules warrant detailed explanation:</w:t>
      </w:r>
    </w:p>
    <w:p>
      <w:r>
        <w:rPr>
          <w:rFonts w:ascii="Figtree" w:hAnsi="Figtree"/>
          <w:b/>
          <w:i w:val="0"/>
          <w:sz w:val="22"/>
        </w:rPr>
        <w:t>Identity Verification Module.</w:t>
      </w:r>
      <w:r>
        <w:rPr>
          <w:rFonts w:ascii="Figtree" w:hAnsi="Figtree"/>
          <w:b w:val="0"/>
          <w:i w:val="0"/>
          <w:sz w:val="22"/>
        </w:rPr>
        <w:t xml:space="preserve"> Before any transfer executes, this module verifies that both sender and receiver have a valid OnchainID with the required claims (jurisdiction, accreditation level, entity type). If either party lacks a verified identity, the transfer is blocked. This is not a recommendation — it is an enforcement mechanism. No amount of operational override can bypass this check without removing the module from the token's compliance configuration (which itself requires GOVERNANCE_ROLE authority).</w:t>
      </w:r>
    </w:p>
    <w:p>
      <w:r>
        <w:rPr>
          <w:rFonts w:ascii="Figtree" w:hAnsi="Figtree"/>
          <w:b/>
          <w:i w:val="0"/>
          <w:sz w:val="22"/>
        </w:rPr>
        <w:t>Country Allow List Module.</w:t>
      </w:r>
      <w:r>
        <w:rPr>
          <w:rFonts w:ascii="Figtree" w:hAnsi="Figtree"/>
          <w:b w:val="0"/>
          <w:i w:val="0"/>
          <w:sz w:val="22"/>
        </w:rPr>
        <w:t xml:space="preserve"> Restricts transfers to parties whose OnchainID includes a country claim matching the allowed jurisdiction list. For Emirates NBD, this would typically include UAE and approved counterparty jurisdictions. Adding or removing jurisdictions requires a governance transaction — providing audit trail evidence of any compliance configuration change.</w:t>
      </w:r>
    </w:p>
    <w:p>
      <w:r>
        <w:rPr>
          <w:rFonts w:ascii="Figtree" w:hAnsi="Figtree"/>
          <w:b/>
          <w:i w:val="0"/>
          <w:sz w:val="22"/>
        </w:rPr>
        <w:t>Transfer Approval Module.</w:t>
      </w:r>
      <w:r>
        <w:rPr>
          <w:rFonts w:ascii="Figtree" w:hAnsi="Figtree"/>
          <w:b w:val="0"/>
          <w:i w:val="0"/>
          <w:sz w:val="22"/>
        </w:rPr>
        <w:t xml:space="preserve"> Implements maker-checker workflows for transfers. When enabled, transfers do not execute immediately — they enter a pending state requiring explicit approval from an authorized approver. The module supports configurable approval expiry (transfers not approved within the window are automatically cancelled). This is particularly relevant for Emirates NBD's trade finance workflows, where large-value liquidity releases require multi-level authorization.</w:t>
      </w:r>
    </w:p>
    <w:p>
      <w:r>
        <w:rPr>
          <w:rFonts w:ascii="Figtree" w:hAnsi="Figtree"/>
          <w:b/>
          <w:i w:val="0"/>
          <w:sz w:val="22"/>
        </w:rPr>
        <w:t>Timelock Module.</w:t>
      </w:r>
      <w:r>
        <w:rPr>
          <w:rFonts w:ascii="Figtree" w:hAnsi="Figtree"/>
          <w:b w:val="0"/>
          <w:i w:val="0"/>
          <w:sz w:val="22"/>
        </w:rPr>
        <w:t xml:space="preserve"> Enforces minimum holding periods for tokens. When a transfer is received, the tokens are locked for the configured period before they can be transferred again. The module tracks locks using FIFO (first-in, first-out) batch accounting, meaning partial transfers respect the chronological order of token receipt. This is relevant for trade finance instruments where regulatory or contractual holding periods apply.</w:t>
      </w:r>
    </w:p>
    <w:p>
      <w:r>
        <w:rPr>
          <w:rFonts w:ascii="Figtree" w:hAnsi="Figtree"/>
          <w:b/>
          <w:i w:val="0"/>
          <w:sz w:val="22"/>
        </w:rPr>
        <w:t>Investor Count Limit Module.</w:t>
      </w:r>
      <w:r>
        <w:rPr>
          <w:rFonts w:ascii="Figtree" w:hAnsi="Figtree"/>
          <w:b w:val="0"/>
          <w:i w:val="0"/>
          <w:sz w:val="22"/>
        </w:rPr>
        <w:t xml:space="preserve"> Caps the number of unique addresses that can hold a token. For regulated deposit instruments, this may be required to maintain specific product classifications (e.g., wholesale deposit designation requires limiting to qualified institutional investors). The module enforces the cap at the transfer level — a transfer that would cause the holder count to exceed the limit is blocked.</w:t>
      </w:r>
    </w:p>
    <w:p>
      <w:r>
        <w:rPr>
          <w:rFonts w:ascii="Figtree" w:hAnsi="Figtree"/>
          <w:b/>
          <w:i w:val="0"/>
          <w:sz w:val="22"/>
        </w:rPr>
        <w:t>Collateral Requirement Module.</w:t>
      </w:r>
      <w:r>
        <w:rPr>
          <w:rFonts w:ascii="Figtree" w:hAnsi="Figtree"/>
          <w:b w:val="0"/>
          <w:i w:val="0"/>
          <w:sz w:val="22"/>
        </w:rPr>
        <w:t xml:space="preserve"> Requires on-chain proof of reserves before minting operations. For secured deposit instruments, this ensures that the minting of new deposit tokens is gated on the availability of underlying collateral. The module checks a specified collateral token balance against a configured ratio before allowing mint operations to proceed.</w:t>
      </w:r>
    </w:p>
    <w:p>
      <w:pPr>
        <w:pStyle w:val="H3"/>
        <w:numPr>
          <w:ilvl w:val="2"/>
          <w:numId w:val="1"/>
        </w:numPr>
      </w:pPr>
      <w:r>
        <w:t>Multi-Jurisdiction Considerations for UAE</w:t>
      </w:r>
    </w:p>
    <w:p>
      <w:r>
        <w:rPr>
          <w:rFonts w:ascii="Figtree" w:hAnsi="Figtree"/>
          <w:b w:val="0"/>
          <w:i w:val="0"/>
          <w:sz w:val="22"/>
        </w:rPr>
        <w:t>Emirates NBD operates within a multi-regulator environment that creates specific compliance configuration requirements:</w:t>
      </w:r>
    </w:p>
    <w:p>
      <w:r>
        <w:rPr>
          <w:rFonts w:ascii="Figtree" w:hAnsi="Figtree"/>
          <w:b/>
          <w:i w:val="0"/>
          <w:sz w:val="22"/>
        </w:rPr>
        <w:t>CBUAE (Central Bank of the UAE).</w:t>
      </w:r>
      <w:r>
        <w:rPr>
          <w:rFonts w:ascii="Figtree" w:hAnsi="Figtree"/>
          <w:b w:val="0"/>
          <w:i w:val="0"/>
          <w:sz w:val="22"/>
        </w:rPr>
        <w:t xml:space="preserve"> The primary regulator for deposit-taking activities. DALP's compliance engine is configured to enforce CBUAE requirements around depositor eligibility, limit enforcement, and regulatory reporting. The observability stack provides data extraction capabilities for CBUAE reporting submissions.</w:t>
      </w:r>
    </w:p>
    <w:p>
      <w:r>
        <w:rPr>
          <w:rFonts w:ascii="Figtree" w:hAnsi="Figtree"/>
          <w:b/>
          <w:i w:val="0"/>
          <w:sz w:val="22"/>
        </w:rPr>
        <w:t>DFSA (Dubai Financial Services Authority).</w:t>
      </w:r>
      <w:r>
        <w:rPr>
          <w:rFonts w:ascii="Figtree" w:hAnsi="Figtree"/>
          <w:b w:val="0"/>
          <w:i w:val="0"/>
          <w:sz w:val="22"/>
        </w:rPr>
        <w:t xml:space="preserve"> Applies if any operations are scoped within DIFC. DALP's per-token compliance module composition allows different regulatory configurations for DIFC-scoped and onshore-scoped products, operating on the same platform instance.</w:t>
      </w:r>
    </w:p>
    <w:p>
      <w:r>
        <w:rPr>
          <w:rFonts w:ascii="Figtree" w:hAnsi="Figtree"/>
          <w:b/>
          <w:i w:val="0"/>
          <w:sz w:val="22"/>
        </w:rPr>
        <w:t>ADGM (Abu Dhabi Global Market) FSMR.</w:t>
      </w:r>
      <w:r>
        <w:rPr>
          <w:rFonts w:ascii="Figtree" w:hAnsi="Figtree"/>
          <w:b w:val="0"/>
          <w:i w:val="0"/>
          <w:sz w:val="22"/>
        </w:rPr>
        <w:t xml:space="preserve"> Similar to DFSA, applies for ADGM-scoped operations. The same per-token configuration flexibility applies.</w:t>
      </w:r>
    </w:p>
    <w:p>
      <w:r>
        <w:rPr>
          <w:rFonts w:ascii="Figtree" w:hAnsi="Figtree"/>
          <w:b/>
          <w:i w:val="0"/>
          <w:sz w:val="22"/>
        </w:rPr>
        <w:t>UAE SCA (Securities and Commodities Authority).</w:t>
      </w:r>
      <w:r>
        <w:rPr>
          <w:rFonts w:ascii="Figtree" w:hAnsi="Figtree"/>
          <w:b w:val="0"/>
          <w:i w:val="0"/>
          <w:sz w:val="22"/>
        </w:rPr>
        <w:t xml:space="preserve"> Relevant for any tokenized instruments classified as securities. Compliance module composition addresses investor eligibility, disclosure requirements, and trading restrictions.</w:t>
      </w:r>
    </w:p>
    <w:p>
      <w:r>
        <w:rPr>
          <w:rFonts w:ascii="Figtree" w:hAnsi="Figtree"/>
          <w:b/>
          <w:i w:val="0"/>
          <w:sz w:val="22"/>
        </w:rPr>
        <w:t>UAE AML/CFT Law.</w:t>
      </w:r>
      <w:r>
        <w:rPr>
          <w:rFonts w:ascii="Figtree" w:hAnsi="Figtree"/>
          <w:b w:val="0"/>
          <w:i w:val="0"/>
          <w:sz w:val="22"/>
        </w:rPr>
        <w:t xml:space="preserve"> Anti-money laundering and counter-terrorism financing obligations are addressed through OnchainID's verifiable claims model. KYC/AML verification outcomes from Emirates NBD's existing systems feed into OnchainID claims, maintaining a single enforcement mechanism across all tokenized instruments.</w:t>
      </w:r>
    </w:p>
    <w:p>
      <w:r>
        <w:rPr>
          <w:rFonts w:ascii="Figtree" w:hAnsi="Figtree"/>
          <w:b/>
          <w:i w:val="0"/>
          <w:sz w:val="22"/>
        </w:rPr>
        <w:t>Important qualification repeated for clarity:</w:t>
      </w:r>
      <w:r>
        <w:rPr>
          <w:rFonts w:ascii="Figtree" w:hAnsi="Figtree"/>
          <w:b w:val="0"/>
          <w:i w:val="0"/>
          <w:sz w:val="22"/>
        </w:rPr>
        <w:t xml:space="preserve"> DALP provides the technical infrastructure for compliance enforcement. Emirates NBD retains responsibility for regulatory interpretation and policy decisions. The platform enforces whatever rules the bank configures — it is a compliance enforcement engine, not a compliance advisory service.</w:t>
      </w:r>
    </w:p>
    <w:p>
      <w:pPr>
        <w:pStyle w:val="H3"/>
        <w:numPr>
          <w:ilvl w:val="2"/>
          <w:numId w:val="1"/>
        </w:numPr>
      </w:pPr>
      <w:r>
        <w:t>API Surface Detail</w:t>
      </w:r>
    </w:p>
    <w:p>
      <w:r>
        <w:rPr>
          <w:rFonts w:ascii="Figtree" w:hAnsi="Figtree"/>
          <w:b w:val="0"/>
          <w:i w:val="0"/>
          <w:sz w:val="22"/>
        </w:rPr>
        <w:t>DALP's API surface provides comprehensive programmatic access for Emirates NBD's integration requirements:</w:t>
      </w:r>
    </w:p>
    <w:p>
      <w:r>
        <w:rPr>
          <w:rFonts w:ascii="Figtree" w:hAnsi="Figtree"/>
          <w:b/>
          <w:i w:val="0"/>
          <w:sz w:val="22"/>
        </w:rPr>
        <w:t>REST API v2 (/api/v2).</w:t>
      </w:r>
      <w:r>
        <w:rPr>
          <w:rFonts w:ascii="Figtree" w:hAnsi="Figtree"/>
          <w:b w:val="0"/>
          <w:i w:val="0"/>
          <w:sz w:val="22"/>
        </w:rPr>
        <w:t xml:space="preserve"> The primary integration endpoint, authenticated via API keys (HTTP-method-scoped). Organized by procedure namespace: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74"/>
        <w:gridCol w:w="4873"/>
        <w:gridCol w:w="322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Namespace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Procedures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Emirates NBD Use</w:t>
            </w:r>
          </w:p>
        </w:tc>
      </w:tr>
      <w:tr>
        <w:trPr>
          <w:trHeight w:val="425" w:hRule="atLeast"/>
        </w:trPr>
        <w:tc>
          <w:tcPr>
            <w:tcW w:type="dxa" w:w="3249"/>
            <w:vAlign w:val="center"/>
          </w:tcPr>
          <w:p>
            <w:pPr>
              <w:spacing w:line="276" w:lineRule="auto" w:before="0" w:after="0"/>
            </w:pPr>
            <w:r/>
            <w:r>
              <w:rPr>
                <w:rFonts w:ascii="Figtree" w:hAnsi="Figtree"/>
                <w:b w:val="0"/>
                <w:i w:val="0"/>
                <w:sz w:val="20"/>
              </w:rPr>
              <w:t>token</w:t>
            </w:r>
          </w:p>
        </w:tc>
        <w:tc>
          <w:tcPr>
            <w:tcW w:type="dxa" w:w="3249"/>
            <w:vAlign w:val="center"/>
          </w:tcPr>
          <w:p>
            <w:pPr>
              <w:spacing w:line="276" w:lineRule="auto" w:before="0" w:after="0"/>
            </w:pPr>
            <w:r/>
            <w:r>
              <w:rPr>
                <w:rFonts w:ascii="Figtree" w:hAnsi="Figtree"/>
                <w:b w:val="0"/>
                <w:i w:val="0"/>
                <w:sz w:val="20"/>
              </w:rPr>
              <w:t>create, mint, burn, transfer, pause, freeze</w:t>
            </w:r>
          </w:p>
        </w:tc>
        <w:tc>
          <w:tcPr>
            <w:tcW w:type="dxa" w:w="3249"/>
            <w:vAlign w:val="center"/>
          </w:tcPr>
          <w:p>
            <w:pPr>
              <w:spacing w:line="276" w:lineRule="auto" w:before="0" w:after="0"/>
            </w:pPr>
            <w:r/>
            <w:r>
              <w:rPr>
                <w:rFonts w:ascii="Figtree" w:hAnsi="Figtree"/>
                <w:b w:val="0"/>
                <w:i w:val="0"/>
                <w:sz w:val="20"/>
              </w:rPr>
              <w:t>Deposit lifecycle, trade finance operations</w:t>
            </w:r>
          </w:p>
        </w:tc>
      </w:tr>
      <w:tr>
        <w:trPr>
          <w:trHeight w:val="425" w:hRule="atLeast"/>
        </w:trPr>
        <w:tc>
          <w:tcPr>
            <w:tcW w:type="dxa" w:w="3249"/>
            <w:vAlign w:val="center"/>
          </w:tcPr>
          <w:p>
            <w:pPr>
              <w:spacing w:line="276" w:lineRule="auto" w:before="0" w:after="0"/>
            </w:pPr>
            <w:r/>
            <w:r>
              <w:rPr>
                <w:rFonts w:ascii="Figtree" w:hAnsi="Figtree"/>
                <w:b w:val="0"/>
                <w:i w:val="0"/>
                <w:sz w:val="20"/>
              </w:rPr>
              <w:t>system</w:t>
            </w:r>
          </w:p>
        </w:tc>
        <w:tc>
          <w:tcPr>
            <w:tcW w:type="dxa" w:w="3249"/>
            <w:vAlign w:val="center"/>
          </w:tcPr>
          <w:p>
            <w:pPr>
              <w:spacing w:line="276" w:lineRule="auto" w:before="0" w:after="0"/>
            </w:pPr>
            <w:r/>
            <w:r>
              <w:rPr>
                <w:rFonts w:ascii="Figtree" w:hAnsi="Figtree"/>
                <w:b w:val="0"/>
                <w:i w:val="0"/>
                <w:sz w:val="20"/>
              </w:rPr>
              <w:t>accessManager.grantRole, identity.register, trustedIssuers.create</w:t>
            </w:r>
          </w:p>
        </w:tc>
        <w:tc>
          <w:tcPr>
            <w:tcW w:type="dxa" w:w="3249"/>
            <w:vAlign w:val="center"/>
          </w:tcPr>
          <w:p>
            <w:pPr>
              <w:spacing w:line="276" w:lineRule="auto" w:before="0" w:after="0"/>
            </w:pPr>
            <w:r/>
            <w:r>
              <w:rPr>
                <w:rFonts w:ascii="Figtree" w:hAnsi="Figtree"/>
                <w:b w:val="0"/>
                <w:i w:val="0"/>
                <w:sz w:val="20"/>
              </w:rPr>
              <w:t>Identity management, role administration</w:t>
            </w:r>
          </w:p>
        </w:tc>
      </w:tr>
      <w:tr>
        <w:trPr>
          <w:trHeight w:val="425" w:hRule="atLeast"/>
        </w:trPr>
        <w:tc>
          <w:tcPr>
            <w:tcW w:type="dxa" w:w="3249"/>
            <w:vAlign w:val="center"/>
          </w:tcPr>
          <w:p>
            <w:pPr>
              <w:spacing w:line="276" w:lineRule="auto" w:before="0" w:after="0"/>
            </w:pPr>
            <w:r/>
            <w:r>
              <w:rPr>
                <w:rFonts w:ascii="Figtree" w:hAnsi="Figtree"/>
                <w:b w:val="0"/>
                <w:i w:val="0"/>
                <w:sz w:val="20"/>
              </w:rPr>
              <w:t>user</w:t>
            </w:r>
          </w:p>
        </w:tc>
        <w:tc>
          <w:tcPr>
            <w:tcW w:type="dxa" w:w="3249"/>
            <w:vAlign w:val="center"/>
          </w:tcPr>
          <w:p>
            <w:pPr>
              <w:spacing w:line="276" w:lineRule="auto" w:before="0" w:after="0"/>
            </w:pPr>
            <w:r/>
            <w:r>
              <w:rPr>
                <w:rFonts w:ascii="Figtree" w:hAnsi="Figtree"/>
                <w:b w:val="0"/>
                <w:i w:val="0"/>
                <w:sz w:val="20"/>
              </w:rPr>
              <w:t>me, update, stats</w:t>
            </w:r>
          </w:p>
        </w:tc>
        <w:tc>
          <w:tcPr>
            <w:tcW w:type="dxa" w:w="3249"/>
            <w:vAlign w:val="center"/>
          </w:tcPr>
          <w:p>
            <w:pPr>
              <w:spacing w:line="276" w:lineRule="auto" w:before="0" w:after="0"/>
            </w:pPr>
            <w:r/>
            <w:r>
              <w:rPr>
                <w:rFonts w:ascii="Figtree" w:hAnsi="Figtree"/>
                <w:b w:val="0"/>
                <w:i w:val="0"/>
                <w:sz w:val="20"/>
              </w:rPr>
              <w:t>Operator management</w:t>
            </w:r>
          </w:p>
        </w:tc>
      </w:tr>
      <w:tr>
        <w:trPr>
          <w:trHeight w:val="425" w:hRule="atLeast"/>
        </w:trPr>
        <w:tc>
          <w:tcPr>
            <w:tcW w:type="dxa" w:w="3249"/>
            <w:vAlign w:val="center"/>
          </w:tcPr>
          <w:p>
            <w:pPr>
              <w:spacing w:line="276" w:lineRule="auto" w:before="0" w:after="0"/>
            </w:pPr>
            <w:r/>
            <w:r>
              <w:rPr>
                <w:rFonts w:ascii="Figtree" w:hAnsi="Figtree"/>
                <w:b w:val="0"/>
                <w:i w:val="0"/>
                <w:sz w:val="20"/>
              </w:rPr>
              <w:t>account</w:t>
            </w:r>
          </w:p>
        </w:tc>
        <w:tc>
          <w:tcPr>
            <w:tcW w:type="dxa" w:w="3249"/>
            <w:vAlign w:val="center"/>
          </w:tcPr>
          <w:p>
            <w:pPr>
              <w:spacing w:line="276" w:lineRule="auto" w:before="0" w:after="0"/>
            </w:pPr>
            <w:r/>
            <w:r>
              <w:rPr>
                <w:rFonts w:ascii="Figtree" w:hAnsi="Figtree"/>
                <w:b w:val="0"/>
                <w:i w:val="0"/>
                <w:sz w:val="20"/>
              </w:rPr>
              <w:t>identity, claims</w:t>
            </w:r>
          </w:p>
        </w:tc>
        <w:tc>
          <w:tcPr>
            <w:tcW w:type="dxa" w:w="3249"/>
            <w:vAlign w:val="center"/>
          </w:tcPr>
          <w:p>
            <w:pPr>
              <w:spacing w:line="276" w:lineRule="auto" w:before="0" w:after="0"/>
            </w:pPr>
            <w:r/>
            <w:r>
              <w:rPr>
                <w:rFonts w:ascii="Figtree" w:hAnsi="Figtree"/>
                <w:b w:val="0"/>
                <w:i w:val="0"/>
                <w:sz w:val="20"/>
              </w:rPr>
              <w:t>Wallet and identity queries</w:t>
            </w:r>
          </w:p>
        </w:tc>
      </w:tr>
      <w:tr>
        <w:trPr>
          <w:trHeight w:val="425" w:hRule="atLeast"/>
        </w:trPr>
        <w:tc>
          <w:tcPr>
            <w:tcW w:type="dxa" w:w="3249"/>
            <w:vAlign w:val="center"/>
          </w:tcPr>
          <w:p>
            <w:pPr>
              <w:spacing w:line="276" w:lineRule="auto" w:before="0" w:after="0"/>
            </w:pPr>
            <w:r/>
            <w:r>
              <w:rPr>
                <w:rFonts w:ascii="Figtree" w:hAnsi="Figtree"/>
                <w:b w:val="0"/>
                <w:i w:val="0"/>
                <w:sz w:val="20"/>
              </w:rPr>
              <w:t>addons</w:t>
            </w:r>
          </w:p>
        </w:tc>
        <w:tc>
          <w:tcPr>
            <w:tcW w:type="dxa" w:w="3249"/>
            <w:vAlign w:val="center"/>
          </w:tcPr>
          <w:p>
            <w:pPr>
              <w:spacing w:line="276" w:lineRule="auto" w:before="0" w:after="0"/>
            </w:pPr>
            <w:r/>
            <w:r>
              <w:rPr>
                <w:rFonts w:ascii="Figtree" w:hAnsi="Figtree"/>
                <w:b w:val="0"/>
                <w:i w:val="0"/>
                <w:sz w:val="20"/>
              </w:rPr>
              <w:t>xvp.create, fixedYield.configure, vault.create</w:t>
            </w:r>
          </w:p>
        </w:tc>
        <w:tc>
          <w:tcPr>
            <w:tcW w:type="dxa" w:w="3249"/>
            <w:vAlign w:val="center"/>
          </w:tcPr>
          <w:p>
            <w:pPr>
              <w:spacing w:line="276" w:lineRule="auto" w:before="0" w:after="0"/>
            </w:pPr>
            <w:r/>
            <w:r>
              <w:rPr>
                <w:rFonts w:ascii="Figtree" w:hAnsi="Figtree"/>
                <w:b w:val="0"/>
                <w:i w:val="0"/>
                <w:sz w:val="20"/>
              </w:rPr>
              <w:t>Settlement, yield distribution, treasury</w:t>
            </w:r>
          </w:p>
        </w:tc>
      </w:tr>
      <w:tr>
        <w:trPr>
          <w:trHeight w:val="425" w:hRule="atLeast"/>
        </w:trPr>
        <w:tc>
          <w:tcPr>
            <w:tcW w:type="dxa" w:w="3249"/>
            <w:vAlign w:val="center"/>
          </w:tcPr>
          <w:p>
            <w:pPr>
              <w:spacing w:line="276" w:lineRule="auto" w:before="0" w:after="0"/>
            </w:pPr>
            <w:r/>
            <w:r>
              <w:rPr>
                <w:rFonts w:ascii="Figtree" w:hAnsi="Figtree"/>
                <w:b w:val="0"/>
                <w:i w:val="0"/>
                <w:sz w:val="20"/>
              </w:rPr>
              <w:t>monitoring</w:t>
            </w:r>
          </w:p>
        </w:tc>
        <w:tc>
          <w:tcPr>
            <w:tcW w:type="dxa" w:w="3249"/>
            <w:vAlign w:val="center"/>
          </w:tcPr>
          <w:p>
            <w:pPr>
              <w:spacing w:line="276" w:lineRule="auto" w:before="0" w:after="0"/>
            </w:pPr>
            <w:r/>
            <w:r>
              <w:rPr>
                <w:rFonts w:ascii="Figtree" w:hAnsi="Figtree"/>
                <w:b w:val="0"/>
                <w:i w:val="0"/>
                <w:sz w:val="20"/>
              </w:rPr>
              <w:t>health, logs, snapshots</w:t>
            </w:r>
          </w:p>
        </w:tc>
        <w:tc>
          <w:tcPr>
            <w:tcW w:type="dxa" w:w="3249"/>
            <w:vAlign w:val="center"/>
          </w:tcPr>
          <w:p>
            <w:pPr>
              <w:spacing w:line="276" w:lineRule="auto" w:before="0" w:after="0"/>
            </w:pPr>
            <w:r/>
            <w:r>
              <w:rPr>
                <w:rFonts w:ascii="Figtree" w:hAnsi="Figtree"/>
                <w:b w:val="0"/>
                <w:i w:val="0"/>
                <w:sz w:val="20"/>
              </w:rPr>
              <w:t>Operational monitoring</w:t>
            </w:r>
          </w:p>
        </w:tc>
      </w:tr>
      <w:tr>
        <w:trPr>
          <w:trHeight w:val="425" w:hRule="atLeast"/>
        </w:trPr>
        <w:tc>
          <w:tcPr>
            <w:tcW w:type="dxa" w:w="3249"/>
            <w:vAlign w:val="center"/>
          </w:tcPr>
          <w:p>
            <w:pPr>
              <w:spacing w:line="276" w:lineRule="auto" w:before="0" w:after="0"/>
            </w:pPr>
            <w:r/>
            <w:r>
              <w:rPr>
                <w:rFonts w:ascii="Figtree" w:hAnsi="Figtree"/>
                <w:b w:val="0"/>
                <w:i w:val="0"/>
                <w:sz w:val="20"/>
              </w:rPr>
              <w:t>search</w:t>
            </w:r>
          </w:p>
        </w:tc>
        <w:tc>
          <w:tcPr>
            <w:tcW w:type="dxa" w:w="3249"/>
            <w:vAlign w:val="center"/>
          </w:tcPr>
          <w:p>
            <w:pPr>
              <w:spacing w:line="276" w:lineRule="auto" w:before="0" w:after="0"/>
            </w:pPr>
            <w:r/>
            <w:r>
              <w:rPr>
                <w:rFonts w:ascii="Figtree" w:hAnsi="Figtree"/>
                <w:b w:val="0"/>
                <w:i w:val="0"/>
                <w:sz w:val="20"/>
              </w:rPr>
              <w:t>query (across tokens, contacts, transactions)</w:t>
            </w:r>
          </w:p>
        </w:tc>
        <w:tc>
          <w:tcPr>
            <w:tcW w:type="dxa" w:w="3249"/>
            <w:vAlign w:val="center"/>
          </w:tcPr>
          <w:p>
            <w:pPr>
              <w:spacing w:line="276" w:lineRule="auto" w:before="0" w:after="0"/>
            </w:pPr>
            <w:r/>
            <w:r>
              <w:rPr>
                <w:rFonts w:ascii="Figtree" w:hAnsi="Figtree"/>
                <w:b w:val="0"/>
                <w:i w:val="0"/>
                <w:sz w:val="20"/>
              </w:rPr>
              <w:t>Global search integration</w:t>
            </w:r>
          </w:p>
        </w:tc>
      </w:tr>
      <w:tr>
        <w:trPr>
          <w:trHeight w:val="425" w:hRule="atLeast"/>
        </w:trPr>
        <w:tc>
          <w:tcPr>
            <w:tcW w:type="dxa" w:w="3249"/>
            <w:vAlign w:val="center"/>
          </w:tcPr>
          <w:p>
            <w:pPr>
              <w:spacing w:line="276" w:lineRule="auto" w:before="0" w:after="0"/>
            </w:pPr>
            <w:r/>
            <w:r>
              <w:rPr>
                <w:rFonts w:ascii="Figtree" w:hAnsi="Figtree"/>
                <w:b w:val="0"/>
                <w:i w:val="0"/>
                <w:sz w:val="20"/>
              </w:rPr>
              <w:t>settings</w:t>
            </w:r>
          </w:p>
        </w:tc>
        <w:tc>
          <w:tcPr>
            <w:tcW w:type="dxa" w:w="3249"/>
            <w:vAlign w:val="center"/>
          </w:tcPr>
          <w:p>
            <w:pPr>
              <w:spacing w:line="276" w:lineRule="auto" w:before="0" w:after="0"/>
            </w:pPr>
            <w:r/>
            <w:r>
              <w:rPr>
                <w:rFonts w:ascii="Figtree" w:hAnsi="Figtree"/>
                <w:b w:val="0"/>
                <w:i w:val="0"/>
                <w:sz w:val="20"/>
              </w:rPr>
              <w:t>get, update</w:t>
            </w:r>
          </w:p>
        </w:tc>
        <w:tc>
          <w:tcPr>
            <w:tcW w:type="dxa" w:w="3249"/>
            <w:vAlign w:val="center"/>
          </w:tcPr>
          <w:p>
            <w:pPr>
              <w:spacing w:line="276" w:lineRule="auto" w:before="0" w:after="0"/>
            </w:pPr>
            <w:r/>
            <w:r>
              <w:rPr>
                <w:rFonts w:ascii="Figtree" w:hAnsi="Figtree"/>
                <w:b w:val="0"/>
                <w:i w:val="0"/>
                <w:sz w:val="20"/>
              </w:rPr>
              <w:t>Platform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exchangeRates</w:t>
            </w:r>
          </w:p>
        </w:tc>
        <w:tc>
          <w:tcPr>
            <w:tcW w:type="dxa" w:w="3249"/>
            <w:vAlign w:val="center"/>
          </w:tcPr>
          <w:p>
            <w:pPr>
              <w:spacing w:line="276" w:lineRule="auto" w:before="0" w:after="0"/>
            </w:pPr>
            <w:r/>
            <w:r>
              <w:rPr>
                <w:rFonts w:ascii="Figtree" w:hAnsi="Figtree"/>
                <w:b w:val="0"/>
                <w:i w:val="0"/>
                <w:sz w:val="20"/>
              </w:rPr>
              <w:t>list, convert, sync</w:t>
            </w:r>
          </w:p>
        </w:tc>
        <w:tc>
          <w:tcPr>
            <w:tcW w:type="dxa" w:w="3249"/>
            <w:vAlign w:val="center"/>
          </w:tcPr>
          <w:p>
            <w:pPr>
              <w:spacing w:line="276" w:lineRule="auto" w:before="0" w:after="0"/>
            </w:pPr>
            <w:r/>
            <w:r>
              <w:rPr>
                <w:rFonts w:ascii="Figtree" w:hAnsi="Figtree"/>
                <w:b w:val="0"/>
                <w:i w:val="0"/>
                <w:sz w:val="20"/>
              </w:rPr>
              <w:t>Multi-currency support</w:t>
            </w:r>
          </w:p>
        </w:tc>
      </w:tr>
    </w:tbl>
    <w:p>
      <w:pPr>
        <w:spacing w:before="0" w:after="0" w:line="120" w:lineRule="exact"/>
      </w:pPr>
    </w:p>
    <w:p>
      <w:r>
        <w:rPr>
          <w:rFonts w:ascii="Figtree" w:hAnsi="Figtree"/>
          <w:b/>
          <w:i w:val="0"/>
          <w:sz w:val="22"/>
        </w:rPr>
        <w:t>TypeScript SDK.</w:t>
      </w:r>
      <w:r>
        <w:rPr>
          <w:rFonts w:ascii="Figtree" w:hAnsi="Figtree"/>
          <w:b w:val="0"/>
          <w:i w:val="0"/>
          <w:sz w:val="22"/>
        </w:rPr>
        <w:t xml:space="preserve"> A typed SDK providing compile-time type safety for API consumers. Reduces integration error rates and improves developer productivity compared to raw REST calls.</w:t>
      </w:r>
    </w:p>
    <w:p>
      <w:r>
        <w:rPr>
          <w:rFonts w:ascii="Figtree" w:hAnsi="Figtree"/>
          <w:b/>
          <w:i w:val="0"/>
          <w:sz w:val="22"/>
        </w:rPr>
        <w:t>CLI (301 commands, 26 command groups).</w:t>
      </w:r>
      <w:r>
        <w:rPr>
          <w:rFonts w:ascii="Figtree" w:hAnsi="Figtree"/>
          <w:b w:val="0"/>
          <w:i w:val="0"/>
          <w:sz w:val="22"/>
        </w:rPr>
        <w:t xml:space="preserve"> A comprehensive command-line interface supporting all platform operations. Particularly useful for automation, scripting, and CI/CD pipeline integration. Emirates NBD's operations teams can use CLI commands in runbooks and automation scripts.</w:t>
      </w:r>
    </w:p>
    <w:p>
      <w:r>
        <w:rPr>
          <w:rFonts w:ascii="Figtree" w:hAnsi="Figtree"/>
          <w:b/>
          <w:i w:val="0"/>
          <w:sz w:val="22"/>
        </w:rPr>
        <w:t>Webhooks.</w:t>
      </w:r>
      <w:r>
        <w:rPr>
          <w:rFonts w:ascii="Figtree" w:hAnsi="Figtree"/>
          <w:b w:val="0"/>
          <w:i w:val="0"/>
          <w:sz w:val="22"/>
        </w:rPr>
        <w:t xml:space="preserve"> Event-driven notifications for downstream system integration. Configurable per event type (token created, transfer executed, compliance module triggered, settlement completed). Webhook payloads include full event context, enabling receiving systems to process events without additional API queries.</w:t>
      </w:r>
    </w:p>
    <w:p>
      <w:r>
        <w:rPr>
          <w:rFonts w:ascii="Figtree" w:hAnsi="Figtree"/>
          <w:b/>
          <w:i w:val="0"/>
          <w:sz w:val="22"/>
        </w:rPr>
        <w:t>Server-Sent Events (SSE).</w:t>
      </w:r>
      <w:r>
        <w:rPr>
          <w:rFonts w:ascii="Figtree" w:hAnsi="Figtree"/>
          <w:b w:val="0"/>
          <w:i w:val="0"/>
          <w:sz w:val="22"/>
        </w:rPr>
        <w:t xml:space="preserve"> Real-time event streaming for operational dashboards and monitoring systems. SSE provides a continuous stream of platform events without the overhead of polling.</w:t>
      </w:r>
    </w:p>
    <w:p>
      <w:r>
        <w:rPr>
          <w:rFonts w:ascii="Figtree" w:hAnsi="Figtree"/>
          <w:b/>
          <w:i w:val="0"/>
          <w:sz w:val="22"/>
        </w:rPr>
        <w:t>GraphQL (via subgraph).</w:t>
      </w:r>
      <w:r>
        <w:rPr>
          <w:rFonts w:ascii="Figtree" w:hAnsi="Figtree"/>
          <w:b w:val="0"/>
          <w:i w:val="0"/>
          <w:sz w:val="22"/>
        </w:rPr>
        <w:t xml:space="preserve"> Complex query capability for analytics, reporting, and audit evidence extraction. Particularly useful for Emirates NBD's regulatory reporting requirements, where queries may span multiple asset types, time periods, and event categories.</w:t>
      </w:r>
    </w:p>
    <w:p>
      <w:pPr>
        <w:pStyle w:val="H3"/>
        <w:numPr>
          <w:ilvl w:val="2"/>
          <w:numId w:val="1"/>
        </w:numPr>
      </w:pPr>
      <w:r>
        <w:t>Detailed Implementation Phase Activities</w:t>
      </w:r>
    </w:p>
    <w:p>
      <w:r>
        <w:rPr>
          <w:rFonts w:ascii="Figtree" w:hAnsi="Figtree"/>
          <w:b/>
          <w:i w:val="0"/>
          <w:sz w:val="22"/>
        </w:rPr>
        <w:t>Phase 1 Activities — Extended Detail:</w:t>
      </w:r>
    </w:p>
    <w:p>
      <w:r>
        <w:rPr>
          <w:rFonts w:ascii="Figtree" w:hAnsi="Figtree"/>
          <w:b w:val="0"/>
          <w:i w:val="0"/>
          <w:sz w:val="22"/>
        </w:rPr>
        <w:t>During Discovery and Requirements, the SettleMint team conducts 8–12 structured stakeholder sessions covering:</w:t>
      </w:r>
    </w:p>
    <w:p>
      <w:pPr>
        <w:pStyle w:val="ListParagraph"/>
        <w:numPr>
          <w:ilvl w:val="0"/>
          <w:numId w:val="18"/>
        </w:numPr>
      </w:pPr>
      <w:r>
        <w:rPr>
          <w:rFonts w:ascii="Figtree" w:hAnsi="Figtree"/>
          <w:b w:val="0"/>
          <w:i w:val="0"/>
          <w:sz w:val="22"/>
        </w:rPr>
        <w:t>Business sponsor session: Programme objectives, success metrics, governance expectations, commercial boundaries</w:t>
      </w:r>
    </w:p>
    <w:p>
      <w:pPr>
        <w:pStyle w:val="ListParagraph"/>
        <w:numPr>
          <w:ilvl w:val="0"/>
          <w:numId w:val="18"/>
        </w:numPr>
      </w:pPr>
      <w:r>
        <w:rPr>
          <w:rFonts w:ascii="Figtree" w:hAnsi="Figtree"/>
          <w:b w:val="0"/>
          <w:i w:val="0"/>
          <w:sz w:val="22"/>
        </w:rPr>
        <w:t>Technology leadership session: Architecture standards, integration constraints, security requirements, deployment preferences</w:t>
      </w:r>
    </w:p>
    <w:p>
      <w:pPr>
        <w:pStyle w:val="ListParagraph"/>
        <w:numPr>
          <w:ilvl w:val="0"/>
          <w:numId w:val="18"/>
        </w:numPr>
      </w:pPr>
      <w:r>
        <w:rPr>
          <w:rFonts w:ascii="Figtree" w:hAnsi="Figtree"/>
          <w:b w:val="0"/>
          <w:i w:val="0"/>
          <w:sz w:val="22"/>
        </w:rPr>
        <w:t>Compliance and risk session: Regulatory mapping, compliance module requirements, reporting obligations, audit expectations</w:t>
      </w:r>
    </w:p>
    <w:p>
      <w:pPr>
        <w:pStyle w:val="ListParagraph"/>
        <w:numPr>
          <w:ilvl w:val="0"/>
          <w:numId w:val="18"/>
        </w:numPr>
      </w:pPr>
      <w:r>
        <w:rPr>
          <w:rFonts w:ascii="Figtree" w:hAnsi="Figtree"/>
          <w:b w:val="0"/>
          <w:i w:val="0"/>
          <w:sz w:val="22"/>
        </w:rPr>
        <w:t>Treasury session: Deposit product specifications, interest rate management, liquidity classification, FX considerations</w:t>
      </w:r>
    </w:p>
    <w:p>
      <w:pPr>
        <w:pStyle w:val="ListParagraph"/>
        <w:numPr>
          <w:ilvl w:val="0"/>
          <w:numId w:val="18"/>
        </w:numPr>
      </w:pPr>
      <w:r>
        <w:rPr>
          <w:rFonts w:ascii="Figtree" w:hAnsi="Figtree"/>
          <w:b w:val="0"/>
          <w:i w:val="0"/>
          <w:sz w:val="22"/>
        </w:rPr>
        <w:t>Trade finance operations session: LC workflow mapping, document handling, milestone definitions, counterparty management</w:t>
      </w:r>
    </w:p>
    <w:p>
      <w:pPr>
        <w:pStyle w:val="ListParagraph"/>
        <w:numPr>
          <w:ilvl w:val="0"/>
          <w:numId w:val="18"/>
        </w:numPr>
      </w:pPr>
      <w:r>
        <w:rPr>
          <w:rFonts w:ascii="Figtree" w:hAnsi="Figtree"/>
          <w:b w:val="0"/>
          <w:i w:val="0"/>
          <w:sz w:val="22"/>
        </w:rPr>
        <w:t>IT integration session: Core banking API capabilities, trade finance system interfaces, identity management integration</w:t>
      </w:r>
    </w:p>
    <w:p>
      <w:pPr>
        <w:pStyle w:val="ListParagraph"/>
        <w:numPr>
          <w:ilvl w:val="0"/>
          <w:numId w:val="18"/>
        </w:numPr>
      </w:pPr>
      <w:r>
        <w:rPr>
          <w:rFonts w:ascii="Figtree" w:hAnsi="Figtree"/>
          <w:b w:val="0"/>
          <w:i w:val="0"/>
          <w:sz w:val="22"/>
        </w:rPr>
        <w:t>Information security session: Security review process, penetration testing requirements, certification expectations</w:t>
      </w:r>
    </w:p>
    <w:p>
      <w:pPr>
        <w:pStyle w:val="ListParagraph"/>
        <w:numPr>
          <w:ilvl w:val="0"/>
          <w:numId w:val="18"/>
        </w:numPr>
      </w:pPr>
      <w:r>
        <w:rPr>
          <w:rFonts w:ascii="Figtree" w:hAnsi="Figtree"/>
          <w:b w:val="0"/>
          <w:i w:val="0"/>
          <w:sz w:val="22"/>
        </w:rPr>
        <w:t>Operations session: Runbook requirements, support model, incident management, monitoring needs</w:t>
      </w:r>
    </w:p>
    <w:p>
      <w:r>
        <w:rPr>
          <w:rFonts w:ascii="Figtree" w:hAnsi="Figtree"/>
          <w:b w:val="0"/>
          <w:i w:val="0"/>
          <w:sz w:val="22"/>
        </w:rPr>
        <w:t>Each session produces a documented output validated within 48 hours. The combined outputs feed into the requirements document, architecture design, and implementation roadmap.</w:t>
      </w:r>
    </w:p>
    <w:p>
      <w:r>
        <w:rPr>
          <w:rFonts w:ascii="Figtree" w:hAnsi="Figtree"/>
          <w:b/>
          <w:i w:val="0"/>
          <w:sz w:val="22"/>
        </w:rPr>
        <w:t>Phase 3 Activities — Extended Detail:</w:t>
      </w:r>
    </w:p>
    <w:p>
      <w:r>
        <w:rPr>
          <w:rFonts w:ascii="Figtree" w:hAnsi="Figtree"/>
          <w:b w:val="0"/>
          <w:i w:val="0"/>
          <w:sz w:val="22"/>
        </w:rPr>
        <w:t>Configuration and Compliance spans four weeks and represents the core of the DALP deployment:</w:t>
      </w:r>
    </w:p>
    <w:p>
      <w:pPr>
        <w:pStyle w:val="ListParagraph"/>
        <w:numPr>
          <w:ilvl w:val="0"/>
          <w:numId w:val="4"/>
        </w:numPr>
      </w:pPr>
      <w:r>
        <w:rPr>
          <w:rFonts w:ascii="Figtree" w:hAnsi="Figtree"/>
          <w:b w:val="0"/>
          <w:i w:val="0"/>
          <w:sz w:val="22"/>
        </w:rPr>
        <w:t>Week 6: Deploy DALPAsset factory contracts, configure asset class templates for deposits and trade finance</w:t>
      </w:r>
    </w:p>
    <w:p>
      <w:pPr>
        <w:pStyle w:val="ListParagraph"/>
        <w:numPr>
          <w:ilvl w:val="0"/>
          <w:numId w:val="4"/>
        </w:numPr>
      </w:pPr>
      <w:r>
        <w:rPr>
          <w:rFonts w:ascii="Figtree" w:hAnsi="Figtree"/>
          <w:b w:val="0"/>
          <w:i w:val="0"/>
          <w:sz w:val="22"/>
        </w:rPr>
        <w:t>Week 7: Bind compliance modules, configure identity requirements, deploy test compliance configurations</w:t>
      </w:r>
    </w:p>
    <w:p>
      <w:pPr>
        <w:pStyle w:val="ListParagraph"/>
        <w:numPr>
          <w:ilvl w:val="0"/>
          <w:numId w:val="4"/>
        </w:numPr>
      </w:pPr>
      <w:r>
        <w:rPr>
          <w:rFonts w:ascii="Figtree" w:hAnsi="Figtree"/>
          <w:b w:val="0"/>
          <w:i w:val="0"/>
          <w:sz w:val="22"/>
        </w:rPr>
        <w:t>Week 8: Configure settlement workflows (XvP for deposits, milestone-based for trade finance), set up yield distribution</w:t>
      </w:r>
    </w:p>
    <w:p>
      <w:pPr>
        <w:pStyle w:val="ListParagraph"/>
        <w:numPr>
          <w:ilvl w:val="0"/>
          <w:numId w:val="4"/>
        </w:numPr>
      </w:pPr>
      <w:r>
        <w:rPr>
          <w:rFonts w:ascii="Figtree" w:hAnsi="Figtree"/>
          <w:b w:val="0"/>
          <w:i w:val="0"/>
          <w:sz w:val="22"/>
        </w:rPr>
        <w:t>Week 9: End-to-end configuration testing, compliance module validation, performance baseline establishment</w:t>
      </w:r>
    </w:p>
    <w:p>
      <w:r>
        <w:rPr>
          <w:rFonts w:ascii="Figtree" w:hAnsi="Figtree"/>
          <w:b w:val="0"/>
          <w:i w:val="0"/>
          <w:sz w:val="22"/>
        </w:rPr>
        <w:t>Each week concludes with a configuration validation checkpoint where Emirates NBD's business and compliance representatives confirm that the configured behavior matches their requirements.</w:t>
      </w:r>
    </w:p>
    <w:p>
      <w:r>
        <w:rPr>
          <w:rFonts w:ascii="Figtree" w:hAnsi="Figtree"/>
          <w:b/>
          <w:i w:val="0"/>
          <w:sz w:val="22"/>
        </w:rPr>
        <w:t>Phase 4 Activities — Extended Detail:</w:t>
      </w:r>
    </w:p>
    <w:p>
      <w:r>
        <w:rPr>
          <w:rFonts w:ascii="Figtree" w:hAnsi="Figtree"/>
          <w:b w:val="0"/>
          <w:i w:val="0"/>
          <w:sz w:val="22"/>
        </w:rPr>
        <w:t>Integration and Testing covers system integration, security validation, and formal UAT:</w:t>
      </w:r>
    </w:p>
    <w:p>
      <w:pPr>
        <w:pStyle w:val="ListParagraph"/>
        <w:numPr>
          <w:ilvl w:val="0"/>
          <w:numId w:val="4"/>
        </w:numPr>
      </w:pPr>
      <w:r>
        <w:rPr>
          <w:rFonts w:ascii="Figtree" w:hAnsi="Figtree"/>
          <w:b w:val="0"/>
          <w:i w:val="0"/>
          <w:sz w:val="22"/>
        </w:rPr>
        <w:t>Week 10: Core banking API integration — deposit creation, balance reconciliation, interest calculation cross-check</w:t>
      </w:r>
    </w:p>
    <w:p>
      <w:pPr>
        <w:pStyle w:val="ListParagraph"/>
        <w:numPr>
          <w:ilvl w:val="0"/>
          <w:numId w:val="4"/>
        </w:numPr>
      </w:pPr>
      <w:r>
        <w:rPr>
          <w:rFonts w:ascii="Figtree" w:hAnsi="Figtree"/>
          <w:b w:val="0"/>
          <w:i w:val="0"/>
          <w:sz w:val="22"/>
        </w:rPr>
        <w:t>Week 11: Trade finance back-office integration — document workflow events, milestone notifications, settlement triggers</w:t>
      </w:r>
    </w:p>
    <w:p>
      <w:pPr>
        <w:pStyle w:val="ListParagraph"/>
        <w:numPr>
          <w:ilvl w:val="0"/>
          <w:numId w:val="4"/>
        </w:numPr>
      </w:pPr>
      <w:r>
        <w:rPr>
          <w:rFonts w:ascii="Figtree" w:hAnsi="Figtree"/>
          <w:b w:val="0"/>
          <w:i w:val="0"/>
          <w:sz w:val="22"/>
        </w:rPr>
        <w:t>Week 12: KYC/AML and SWIFT integration — identity claim feeds, settlement message generation</w:t>
      </w:r>
    </w:p>
    <w:p>
      <w:pPr>
        <w:pStyle w:val="ListParagraph"/>
        <w:numPr>
          <w:ilvl w:val="0"/>
          <w:numId w:val="4"/>
        </w:numPr>
      </w:pPr>
      <w:r>
        <w:rPr>
          <w:rFonts w:ascii="Figtree" w:hAnsi="Figtree"/>
          <w:b w:val="0"/>
          <w:i w:val="0"/>
          <w:sz w:val="22"/>
        </w:rPr>
        <w:t>Week 13: Security testing (penetration test by independent third party), performance testing (load profiles matching projected volumes), formal UAT with Emirates NBD test scripts</w:t>
      </w:r>
    </w:p>
    <w:p>
      <w:r>
        <w:rPr>
          <w:rFonts w:ascii="Figtree" w:hAnsi="Figtree"/>
          <w:b w:val="0"/>
          <w:i w:val="0"/>
          <w:sz w:val="22"/>
        </w:rPr>
        <w:t>The security assessment includes infrastructure penetration testing, API security testing, smart contract interaction testing, and access control verification. Results are shared with Emirates NBD's information security team for review.</w:t>
      </w:r>
    </w:p>
    <w:p>
      <w:pPr>
        <w:pStyle w:val="H2"/>
        <w:numPr>
          <w:ilvl w:val="1"/>
          <w:numId w:val="1"/>
        </w:numPr>
      </w:pPr>
      <w:r>
        <w:t>Appendices</w:t>
      </w:r>
    </w:p>
    <w:p>
      <w:pPr>
        <w:pStyle w:val="H3"/>
        <w:numPr>
          <w:ilvl w:val="2"/>
          <w:numId w:val="1"/>
        </w:numPr>
      </w:pPr>
      <w:r>
        <w:t>Wallet Verification and Step-Up Authentication</w:t>
      </w:r>
    </w:p>
    <w:p>
      <w:r>
        <w:rPr>
          <w:rFonts w:ascii="Figtree" w:hAnsi="Figtree"/>
          <w:b w:val="0"/>
          <w:i w:val="0"/>
          <w:sz w:val="22"/>
        </w:rPr>
        <w:t>Beyond session authentication and RBAC authorization, DALP enforces a dedicated second factor for all blockchain write operations. This is one of the most important security boundaries for Emirates NBD's deposit and trade finance operations.</w:t>
      </w:r>
    </w:p>
    <w:p>
      <w:r>
        <w:rPr>
          <w:rFonts w:ascii="Figtree" w:hAnsi="Figtree"/>
          <w:b w:val="0"/>
          <w:i w:val="0"/>
          <w:sz w:val="22"/>
        </w:rPr>
        <w:t>Even with a valid authenticated session and appropriate RBAC permissions, no on-chain transaction executes without the user proving control of their wallet. This wallet verification step is enforced at the middleware level and cannot be bypassed by any administrative action.</w:t>
      </w:r>
    </w:p>
    <w:p>
      <w:r>
        <w:rPr>
          <w:rFonts w:ascii="Figtree" w:hAnsi="Figtree"/>
          <w:b/>
          <w:i w:val="0"/>
          <w:sz w:val="22"/>
        </w:rPr>
        <w:t>Available verification methods: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94"/>
        <w:gridCol w:w="5363"/>
        <w:gridCol w:w="291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Method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Emirates NBD Use Case</w:t>
            </w:r>
          </w:p>
        </w:tc>
      </w:tr>
      <w:tr>
        <w:trPr>
          <w:trHeight w:val="425" w:hRule="atLeast"/>
        </w:trPr>
        <w:tc>
          <w:tcPr>
            <w:tcW w:type="dxa" w:w="3249"/>
            <w:vAlign w:val="center"/>
          </w:tcPr>
          <w:p>
            <w:pPr>
              <w:spacing w:line="276" w:lineRule="auto" w:before="0" w:after="0"/>
            </w:pPr>
            <w:r/>
            <w:r>
              <w:rPr>
                <w:rFonts w:ascii="Figtree" w:hAnsi="Figtree"/>
                <w:b w:val="0"/>
                <w:i w:val="0"/>
                <w:sz w:val="20"/>
              </w:rPr>
              <w:t>PIN</w:t>
            </w:r>
          </w:p>
        </w:tc>
        <w:tc>
          <w:tcPr>
            <w:tcW w:type="dxa" w:w="3249"/>
            <w:vAlign w:val="center"/>
          </w:tcPr>
          <w:p>
            <w:pPr>
              <w:spacing w:line="276" w:lineRule="auto" w:before="0" w:after="0"/>
            </w:pPr>
            <w:r/>
            <w:r>
              <w:rPr>
                <w:rFonts w:ascii="Figtree" w:hAnsi="Figtree"/>
                <w:b w:val="0"/>
                <w:i w:val="0"/>
                <w:sz w:val="20"/>
              </w:rPr>
              <w:t>6-digit code set during wallet setup</w:t>
            </w:r>
          </w:p>
        </w:tc>
        <w:tc>
          <w:tcPr>
            <w:tcW w:type="dxa" w:w="3249"/>
            <w:vAlign w:val="center"/>
          </w:tcPr>
          <w:p>
            <w:pPr>
              <w:spacing w:line="276" w:lineRule="auto" w:before="0" w:after="0"/>
            </w:pPr>
            <w:r/>
            <w:r>
              <w:rPr>
                <w:rFonts w:ascii="Figtree" w:hAnsi="Figtree"/>
                <w:b w:val="0"/>
                <w:i w:val="0"/>
                <w:sz w:val="20"/>
              </w:rPr>
              <w:t>Standard operational transactions</w:t>
            </w:r>
          </w:p>
        </w:tc>
      </w:tr>
      <w:tr>
        <w:trPr>
          <w:trHeight w:val="425" w:hRule="atLeast"/>
        </w:trPr>
        <w:tc>
          <w:tcPr>
            <w:tcW w:type="dxa" w:w="3249"/>
            <w:vAlign w:val="center"/>
          </w:tcPr>
          <w:p>
            <w:pPr>
              <w:spacing w:line="276" w:lineRule="auto" w:before="0" w:after="0"/>
            </w:pPr>
            <w:r/>
            <w:r>
              <w:rPr>
                <w:rFonts w:ascii="Figtree" w:hAnsi="Figtree"/>
                <w:b w:val="0"/>
                <w:i w:val="0"/>
                <w:sz w:val="20"/>
              </w:rPr>
              <w:t>TOTP</w:t>
            </w:r>
          </w:p>
        </w:tc>
        <w:tc>
          <w:tcPr>
            <w:tcW w:type="dxa" w:w="3249"/>
            <w:vAlign w:val="center"/>
          </w:tcPr>
          <w:p>
            <w:pPr>
              <w:spacing w:line="276" w:lineRule="auto" w:before="0" w:after="0"/>
            </w:pPr>
            <w:r/>
            <w:r>
              <w:rPr>
                <w:rFonts w:ascii="Figtree" w:hAnsi="Figtree"/>
                <w:b w:val="0"/>
                <w:i w:val="0"/>
                <w:sz w:val="20"/>
              </w:rPr>
              <w:t>Time-based one-time password via authenticator app (RFC 6238, 30-second rotation)</w:t>
            </w:r>
          </w:p>
        </w:tc>
        <w:tc>
          <w:tcPr>
            <w:tcW w:type="dxa" w:w="3249"/>
            <w:vAlign w:val="center"/>
          </w:tcPr>
          <w:p>
            <w:pPr>
              <w:spacing w:line="276" w:lineRule="auto" w:before="0" w:after="0"/>
            </w:pPr>
            <w:r/>
            <w:r>
              <w:rPr>
                <w:rFonts w:ascii="Figtree" w:hAnsi="Figtree"/>
                <w:b w:val="0"/>
                <w:i w:val="0"/>
                <w:sz w:val="20"/>
              </w:rPr>
              <w:t>Enhanced security for large-value operations</w:t>
            </w:r>
          </w:p>
        </w:tc>
      </w:tr>
      <w:tr>
        <w:trPr>
          <w:trHeight w:val="425" w:hRule="atLeast"/>
        </w:trPr>
        <w:tc>
          <w:tcPr>
            <w:tcW w:type="dxa" w:w="3249"/>
            <w:vAlign w:val="center"/>
          </w:tcPr>
          <w:p>
            <w:pPr>
              <w:spacing w:line="276" w:lineRule="auto" w:before="0" w:after="0"/>
            </w:pPr>
            <w:r/>
            <w:r>
              <w:rPr>
                <w:rFonts w:ascii="Figtree" w:hAnsi="Figtree"/>
                <w:b w:val="0"/>
                <w:i w:val="0"/>
                <w:sz w:val="20"/>
              </w:rPr>
              <w:t>Backup codes</w:t>
            </w:r>
          </w:p>
        </w:tc>
        <w:tc>
          <w:tcPr>
            <w:tcW w:type="dxa" w:w="3249"/>
            <w:vAlign w:val="center"/>
          </w:tcPr>
          <w:p>
            <w:pPr>
              <w:spacing w:line="276" w:lineRule="auto" w:before="0" w:after="0"/>
            </w:pPr>
            <w:r/>
            <w:r>
              <w:rPr>
                <w:rFonts w:ascii="Figtree" w:hAnsi="Figtree"/>
                <w:b w:val="0"/>
                <w:i w:val="0"/>
                <w:sz w:val="20"/>
              </w:rPr>
              <w:t>One-time recovery codes generated during wallet setup</w:t>
            </w:r>
          </w:p>
        </w:tc>
        <w:tc>
          <w:tcPr>
            <w:tcW w:type="dxa" w:w="3249"/>
            <w:vAlign w:val="center"/>
          </w:tcPr>
          <w:p>
            <w:pPr>
              <w:spacing w:line="276" w:lineRule="auto" w:before="0" w:after="0"/>
            </w:pPr>
            <w:r/>
            <w:r>
              <w:rPr>
                <w:rFonts w:ascii="Figtree" w:hAnsi="Figtree"/>
                <w:b w:val="0"/>
                <w:i w:val="0"/>
                <w:sz w:val="20"/>
              </w:rPr>
              <w:t>Emergency recovery access</w:t>
            </w:r>
          </w:p>
        </w:tc>
      </w:tr>
      <w:tr>
        <w:trPr>
          <w:trHeight w:val="425" w:hRule="atLeast"/>
        </w:trPr>
        <w:tc>
          <w:tcPr>
            <w:tcW w:type="dxa" w:w="3249"/>
            <w:vAlign w:val="center"/>
          </w:tcPr>
          <w:p>
            <w:pPr>
              <w:spacing w:line="276" w:lineRule="auto" w:before="0" w:after="0"/>
            </w:pPr>
            <w:r/>
            <w:r>
              <w:rPr>
                <w:rFonts w:ascii="Figtree" w:hAnsi="Figtree"/>
                <w:b w:val="0"/>
                <w:i w:val="0"/>
                <w:sz w:val="20"/>
              </w:rPr>
              <w:t>Passkey</w:t>
            </w:r>
          </w:p>
        </w:tc>
        <w:tc>
          <w:tcPr>
            <w:tcW w:type="dxa" w:w="3249"/>
            <w:vAlign w:val="center"/>
          </w:tcPr>
          <w:p>
            <w:pPr>
              <w:spacing w:line="276" w:lineRule="auto" w:before="0" w:after="0"/>
            </w:pPr>
            <w:r/>
            <w:r>
              <w:rPr>
                <w:rFonts w:ascii="Figtree" w:hAnsi="Figtree"/>
                <w:b w:val="0"/>
                <w:i w:val="0"/>
                <w:sz w:val="20"/>
              </w:rPr>
              <w:t>WebAuthn challenge-response with hardware key or biometric</w:t>
            </w:r>
          </w:p>
        </w:tc>
        <w:tc>
          <w:tcPr>
            <w:tcW w:type="dxa" w:w="3249"/>
            <w:vAlign w:val="center"/>
          </w:tcPr>
          <w:p>
            <w:pPr>
              <w:spacing w:line="276" w:lineRule="auto" w:before="0" w:after="0"/>
            </w:pPr>
            <w:r/>
            <w:r>
              <w:rPr>
                <w:rFonts w:ascii="Figtree" w:hAnsi="Figtree"/>
                <w:b w:val="0"/>
                <w:i w:val="0"/>
                <w:sz w:val="20"/>
              </w:rPr>
              <w:t>Highest security for treasury operations</w:t>
            </w:r>
          </w:p>
        </w:tc>
      </w:tr>
    </w:tbl>
    <w:p>
      <w:pPr>
        <w:spacing w:before="0" w:after="0" w:line="120" w:lineRule="exact"/>
      </w:pPr>
    </w:p>
    <w:p>
      <w:r>
        <w:rPr>
          <w:rFonts w:ascii="Figtree" w:hAnsi="Figtree"/>
          <w:b w:val="0"/>
          <w:i w:val="0"/>
          <w:sz w:val="22"/>
        </w:rPr>
        <w:t>If wallet verification fails, the request is rejected immediately. No gas is consumed, no custody provider interaction occurs, and no on-chain state changes. There is no administrative override that skips wallet verification — recovery requires backup codes or credential re-enrollment.</w:t>
      </w:r>
    </w:p>
    <w:p>
      <w:r>
        <w:rPr>
          <w:rFonts w:ascii="Figtree" w:hAnsi="Figtree"/>
          <w:b w:val="0"/>
          <w:i w:val="0"/>
          <w:sz w:val="22"/>
        </w:rPr>
        <w:t>This security boundary is particularly important for Emirates NBD's trade finance operations. A compromised session token alone cannot authorize a large-value liquidity release — the attacker would also need to prove wallet control, which requires possession of the physical device or biometric.</w:t>
      </w:r>
    </w:p>
    <w:p>
      <w:pPr>
        <w:pStyle w:val="H3"/>
        <w:numPr>
          <w:ilvl w:val="2"/>
          <w:numId w:val="1"/>
        </w:numPr>
      </w:pPr>
      <w:r>
        <w:t>On-Chain Access Control Deep Dive</w:t>
      </w:r>
    </w:p>
    <w:p>
      <w:r>
        <w:rPr>
          <w:rFonts w:ascii="Figtree" w:hAnsi="Figtree"/>
          <w:b w:val="0"/>
          <w:i w:val="0"/>
          <w:sz w:val="22"/>
        </w:rPr>
        <w:t>The AccessManager contract serves as the authoritative source for all role assignments within the DALP platform. This is not a conventional off-chain RBAC system — roles are stored on-chain, making them immutable, timestamped, and independently verifiable.</w:t>
      </w:r>
    </w:p>
    <w:p>
      <w:r>
        <w:rPr>
          <w:rFonts w:ascii="Figtree" w:hAnsi="Figtree"/>
          <w:b/>
          <w:i w:val="0"/>
          <w:sz w:val="22"/>
        </w:rPr>
        <w:t>Role taxonomy for Emirates NBD:</w:t>
      </w:r>
    </w:p>
    <w:p>
      <w:r>
        <w:rPr>
          <w:rFonts w:ascii="Figtree" w:hAnsi="Figtree"/>
          <w:b/>
          <w:i w:val="0"/>
          <w:sz w:val="22"/>
        </w:rPr>
        <w:t>Platform roles (3):</w:t>
      </w:r>
      <w:r>
        <w:rPr>
          <w:rFonts w:ascii="Figtree" w:hAnsi="Figtree"/>
          <w:b w:val="0"/>
          <w:i w:val="0"/>
          <w:sz w:val="22"/>
        </w:rPr>
        <w:t xml:space="preserve"> Owner, admin, and member roles control access to the DALP management console. Emirates NBD's platform administrators are assigned the admin role; operational staff are assigned the member role with specific system and per-asset role grants.</w:t>
      </w:r>
    </w:p>
    <w:p>
      <w:r>
        <w:rPr>
          <w:rFonts w:ascii="Figtree" w:hAnsi="Figtree"/>
          <w:b/>
          <w:i w:val="0"/>
          <w:sz w:val="22"/>
        </w:rPr>
        <w:t>System roles (9):</w:t>
      </w:r>
      <w:r>
        <w:rPr>
          <w:rFonts w:ascii="Figtree" w:hAnsi="Figtree"/>
          <w:b w:val="0"/>
          <w:i w:val="0"/>
          <w:sz w:val="22"/>
        </w:rPr>
        <w:t xml:space="preserve"> These roles govern platform-wide operations:</w:t>
      </w:r>
    </w:p>
    <w:p>
      <w:pPr>
        <w:pStyle w:val="ListParagraph"/>
        <w:numPr>
          <w:ilvl w:val="0"/>
          <w:numId w:val="4"/>
        </w:numPr>
      </w:pPr>
      <w:r>
        <w:rPr>
          <w:rFonts w:ascii="Figtree" w:hAnsi="Figtree"/>
          <w:b w:val="0"/>
          <w:i w:val="0"/>
          <w:sz w:val="22"/>
        </w:rPr>
        <w:t>systemManager: Platform configuration and system-level operations</w:t>
      </w:r>
    </w:p>
    <w:p>
      <w:pPr>
        <w:pStyle w:val="ListParagraph"/>
        <w:numPr>
          <w:ilvl w:val="0"/>
          <w:numId w:val="4"/>
        </w:numPr>
      </w:pPr>
      <w:r>
        <w:rPr>
          <w:rFonts w:ascii="Figtree" w:hAnsi="Figtree"/>
          <w:b w:val="0"/>
          <w:i w:val="0"/>
          <w:sz w:val="22"/>
        </w:rPr>
        <w:t>identityManager: OnchainID creation, claim management, and trusted issuer administration</w:t>
      </w:r>
    </w:p>
    <w:p>
      <w:pPr>
        <w:pStyle w:val="ListParagraph"/>
        <w:numPr>
          <w:ilvl w:val="0"/>
          <w:numId w:val="4"/>
        </w:numPr>
      </w:pPr>
      <w:r>
        <w:rPr>
          <w:rFonts w:ascii="Figtree" w:hAnsi="Figtree"/>
          <w:b w:val="0"/>
          <w:i w:val="0"/>
          <w:sz w:val="22"/>
        </w:rPr>
        <w:t>tokenManager: Asset lifecycle management (create, configure, deploy)</w:t>
      </w:r>
    </w:p>
    <w:p>
      <w:pPr>
        <w:pStyle w:val="ListParagraph"/>
        <w:numPr>
          <w:ilvl w:val="0"/>
          <w:numId w:val="4"/>
        </w:numPr>
      </w:pPr>
      <w:r>
        <w:rPr>
          <w:rFonts w:ascii="Figtree" w:hAnsi="Figtree"/>
          <w:b w:val="0"/>
          <w:i w:val="0"/>
          <w:sz w:val="22"/>
        </w:rPr>
        <w:t>complianceManager: Compliance module administration (add, remove, configure)</w:t>
      </w:r>
    </w:p>
    <w:p>
      <w:pPr>
        <w:pStyle w:val="ListParagraph"/>
        <w:numPr>
          <w:ilvl w:val="0"/>
          <w:numId w:val="4"/>
        </w:numPr>
      </w:pPr>
      <w:r>
        <w:rPr>
          <w:rFonts w:ascii="Figtree" w:hAnsi="Figtree"/>
          <w:b w:val="0"/>
          <w:i w:val="0"/>
          <w:sz w:val="22"/>
        </w:rPr>
        <w:t>claimPolicyManager: Claim verification policy management</w:t>
      </w:r>
    </w:p>
    <w:p>
      <w:pPr>
        <w:pStyle w:val="ListParagraph"/>
        <w:numPr>
          <w:ilvl w:val="0"/>
          <w:numId w:val="4"/>
        </w:numPr>
      </w:pPr>
      <w:r>
        <w:rPr>
          <w:rFonts w:ascii="Figtree" w:hAnsi="Figtree"/>
          <w:b w:val="0"/>
          <w:i w:val="0"/>
          <w:sz w:val="22"/>
        </w:rPr>
        <w:t>organisationIdentityManager: Organization-level identity administration</w:t>
      </w:r>
    </w:p>
    <w:p>
      <w:pPr>
        <w:pStyle w:val="ListParagraph"/>
        <w:numPr>
          <w:ilvl w:val="0"/>
          <w:numId w:val="4"/>
        </w:numPr>
      </w:pPr>
      <w:r>
        <w:rPr>
          <w:rFonts w:ascii="Figtree" w:hAnsi="Figtree"/>
          <w:b w:val="0"/>
          <w:i w:val="0"/>
          <w:sz w:val="22"/>
        </w:rPr>
        <w:t>claimIssuer: Authority to issue verifiable claims (assigned to Emirates NBD as trusted issuer)</w:t>
      </w:r>
    </w:p>
    <w:p>
      <w:pPr>
        <w:pStyle w:val="ListParagraph"/>
        <w:numPr>
          <w:ilvl w:val="0"/>
          <w:numId w:val="4"/>
        </w:numPr>
      </w:pPr>
      <w:r>
        <w:rPr>
          <w:rFonts w:ascii="Figtree" w:hAnsi="Figtree"/>
          <w:b w:val="0"/>
          <w:i w:val="0"/>
          <w:sz w:val="22"/>
        </w:rPr>
        <w:t>auditor: Read-only access to all platform data for audit and compliance review</w:t>
      </w:r>
    </w:p>
    <w:p>
      <w:pPr>
        <w:pStyle w:val="ListParagraph"/>
        <w:numPr>
          <w:ilvl w:val="0"/>
          <w:numId w:val="4"/>
        </w:numPr>
      </w:pPr>
      <w:r>
        <w:rPr>
          <w:rFonts w:ascii="Figtree" w:hAnsi="Figtree"/>
          <w:b w:val="0"/>
          <w:i w:val="0"/>
          <w:sz w:val="22"/>
        </w:rPr>
        <w:t>feedsManager: Price feed and market data management</w:t>
      </w:r>
    </w:p>
    <w:p>
      <w:r>
        <w:rPr>
          <w:rFonts w:ascii="Figtree" w:hAnsi="Figtree"/>
          <w:b/>
          <w:i w:val="0"/>
          <w:sz w:val="22"/>
        </w:rPr>
        <w:t>Per-asset roles (7):</w:t>
      </w:r>
      <w:r>
        <w:rPr>
          <w:rFonts w:ascii="Figtree" w:hAnsi="Figtree"/>
          <w:b w:val="0"/>
          <w:i w:val="0"/>
          <w:sz w:val="22"/>
        </w:rPr>
        <w:t xml:space="preserve"> These roles are scoped to individual token contracts, enabling fine-grained control:</w:t>
      </w:r>
    </w:p>
    <w:p>
      <w:pPr>
        <w:pStyle w:val="ListParagraph"/>
        <w:numPr>
          <w:ilvl w:val="0"/>
          <w:numId w:val="4"/>
        </w:numPr>
      </w:pPr>
      <w:r>
        <w:rPr>
          <w:rFonts w:ascii="Figtree" w:hAnsi="Figtree"/>
          <w:b w:val="0"/>
          <w:i w:val="0"/>
          <w:sz w:val="22"/>
        </w:rPr>
        <w:t>admin (DEFAULT</w:t>
      </w:r>
      <w:r>
        <w:rPr>
          <w:rFonts w:ascii="Figtree" w:hAnsi="Figtree"/>
          <w:b w:val="0"/>
          <w:i/>
          <w:sz w:val="22"/>
        </w:rPr>
        <w:t>ADMIN</w:t>
      </w:r>
      <w:r>
        <w:rPr>
          <w:rFonts w:ascii="Figtree" w:hAnsi="Figtree"/>
          <w:b w:val="0"/>
          <w:i w:val="0"/>
          <w:sz w:val="22"/>
        </w:rPr>
        <w:t>ROLE): Full administrative control over a specific asset</w:t>
      </w:r>
    </w:p>
    <w:p>
      <w:pPr>
        <w:pStyle w:val="ListParagraph"/>
        <w:numPr>
          <w:ilvl w:val="0"/>
          <w:numId w:val="4"/>
        </w:numPr>
      </w:pPr>
      <w:r>
        <w:rPr>
          <w:rFonts w:ascii="Figtree" w:hAnsi="Figtree"/>
          <w:b w:val="0"/>
          <w:i w:val="0"/>
          <w:sz w:val="22"/>
        </w:rPr>
        <w:t>governance: Compliance module configuration and governance decisions</w:t>
      </w:r>
    </w:p>
    <w:p>
      <w:pPr>
        <w:pStyle w:val="ListParagraph"/>
        <w:numPr>
          <w:ilvl w:val="0"/>
          <w:numId w:val="4"/>
        </w:numPr>
      </w:pPr>
      <w:r>
        <w:rPr>
          <w:rFonts w:ascii="Figtree" w:hAnsi="Figtree"/>
          <w:b w:val="0"/>
          <w:i w:val="0"/>
          <w:sz w:val="22"/>
        </w:rPr>
        <w:t>supplyManagement: Minting and burning authority</w:t>
      </w:r>
    </w:p>
    <w:p>
      <w:pPr>
        <w:pStyle w:val="ListParagraph"/>
        <w:numPr>
          <w:ilvl w:val="0"/>
          <w:numId w:val="4"/>
        </w:numPr>
      </w:pPr>
      <w:r>
        <w:rPr>
          <w:rFonts w:ascii="Figtree" w:hAnsi="Figtree"/>
          <w:b w:val="0"/>
          <w:i w:val="0"/>
          <w:sz w:val="22"/>
        </w:rPr>
        <w:t>custodian: Forced transfers, freezing, recovery operations</w:t>
      </w:r>
    </w:p>
    <w:p>
      <w:pPr>
        <w:pStyle w:val="ListParagraph"/>
        <w:numPr>
          <w:ilvl w:val="0"/>
          <w:numId w:val="4"/>
        </w:numPr>
      </w:pPr>
      <w:r>
        <w:rPr>
          <w:rFonts w:ascii="Figtree" w:hAnsi="Figtree"/>
          <w:b w:val="0"/>
          <w:i w:val="0"/>
          <w:sz w:val="22"/>
        </w:rPr>
        <w:t>emergency: Pause/unpause capability for circuit-breaker scenarios</w:t>
      </w:r>
    </w:p>
    <w:p>
      <w:pPr>
        <w:pStyle w:val="ListParagraph"/>
        <w:numPr>
          <w:ilvl w:val="0"/>
          <w:numId w:val="4"/>
        </w:numPr>
      </w:pPr>
      <w:r>
        <w:rPr>
          <w:rFonts w:ascii="Figtree" w:hAnsi="Figtree"/>
          <w:b w:val="0"/>
          <w:i w:val="0"/>
          <w:sz w:val="22"/>
        </w:rPr>
        <w:t>saleAdmin: Token sale and distribution management</w:t>
      </w:r>
    </w:p>
    <w:p>
      <w:pPr>
        <w:pStyle w:val="ListParagraph"/>
        <w:numPr>
          <w:ilvl w:val="0"/>
          <w:numId w:val="4"/>
        </w:numPr>
      </w:pPr>
      <w:r>
        <w:rPr>
          <w:rFonts w:ascii="Figtree" w:hAnsi="Figtree"/>
          <w:b w:val="0"/>
          <w:i w:val="0"/>
          <w:sz w:val="22"/>
        </w:rPr>
        <w:t>fundsManager: Treasury and vault management</w:t>
      </w:r>
    </w:p>
    <w:p>
      <w:r>
        <w:rPr>
          <w:rFonts w:ascii="Figtree" w:hAnsi="Figtree"/>
          <w:b/>
          <w:i w:val="0"/>
          <w:sz w:val="22"/>
        </w:rPr>
        <w:t>Role assignment workflow:</w:t>
      </w:r>
    </w:p>
    <w:p>
      <w:pPr>
        <w:pStyle w:val="ListParagraph"/>
        <w:numPr>
          <w:ilvl w:val="0"/>
          <w:numId w:val="19"/>
        </w:numPr>
      </w:pPr>
      <w:r>
        <w:rPr>
          <w:rFonts w:ascii="Figtree" w:hAnsi="Figtree"/>
          <w:b w:val="0"/>
          <w:i w:val="0"/>
          <w:sz w:val="22"/>
        </w:rPr>
        <w:t>Emirates NBD designates users for specific roles during Phase 1 requirements</w:t>
      </w:r>
    </w:p>
    <w:p>
      <w:pPr>
        <w:pStyle w:val="ListParagraph"/>
        <w:numPr>
          <w:ilvl w:val="0"/>
          <w:numId w:val="19"/>
        </w:numPr>
      </w:pPr>
      <w:r>
        <w:rPr>
          <w:rFonts w:ascii="Figtree" w:hAnsi="Figtree"/>
          <w:b w:val="0"/>
          <w:i w:val="0"/>
          <w:sz w:val="22"/>
        </w:rPr>
        <w:t>Roles are configured in DALP during Phase 2 foundation setup</w:t>
      </w:r>
    </w:p>
    <w:p>
      <w:pPr>
        <w:pStyle w:val="ListParagraph"/>
        <w:numPr>
          <w:ilvl w:val="0"/>
          <w:numId w:val="19"/>
        </w:numPr>
      </w:pPr>
      <w:r>
        <w:rPr>
          <w:rFonts w:ascii="Figtree" w:hAnsi="Figtree"/>
          <w:b w:val="0"/>
          <w:i w:val="0"/>
          <w:sz w:val="22"/>
        </w:rPr>
        <w:t>On-chain role grants produce immutable evidence of who has what authority</w:t>
      </w:r>
    </w:p>
    <w:p>
      <w:pPr>
        <w:pStyle w:val="ListParagraph"/>
        <w:numPr>
          <w:ilvl w:val="0"/>
          <w:numId w:val="19"/>
        </w:numPr>
      </w:pPr>
      <w:r>
        <w:rPr>
          <w:rFonts w:ascii="Figtree" w:hAnsi="Figtree"/>
          <w:b w:val="0"/>
          <w:i w:val="0"/>
          <w:sz w:val="22"/>
        </w:rPr>
        <w:t>Role changes require appropriate administrative authority and produce audit events</w:t>
      </w:r>
    </w:p>
    <w:p>
      <w:pPr>
        <w:pStyle w:val="ListParagraph"/>
        <w:numPr>
          <w:ilvl w:val="0"/>
          <w:numId w:val="19"/>
        </w:numPr>
      </w:pPr>
      <w:r>
        <w:rPr>
          <w:rFonts w:ascii="Figtree" w:hAnsi="Figtree"/>
          <w:b w:val="0"/>
          <w:i w:val="0"/>
          <w:sz w:val="22"/>
        </w:rPr>
        <w:t>Periodic role reviews (recommended quarterly) ensure alignment with Emirates NBD's access management policies</w:t>
      </w:r>
    </w:p>
    <w:p>
      <w:pPr>
        <w:pStyle w:val="H3"/>
        <w:numPr>
          <w:ilvl w:val="2"/>
          <w:numId w:val="1"/>
        </w:numPr>
      </w:pPr>
      <w:r>
        <w:t>Deposit Servicing Detailed Workflows</w:t>
      </w:r>
    </w:p>
    <w:p>
      <w:r>
        <w:rPr>
          <w:rFonts w:ascii="Figtree" w:hAnsi="Figtree"/>
          <w:b w:val="0"/>
          <w:i w:val="0"/>
          <w:sz w:val="22"/>
        </w:rPr>
        <w:t>DALP manages the complete lifecycle of tokenized deposits with specific workflows for each servicing event:</w:t>
      </w:r>
    </w:p>
    <w:p>
      <w:r>
        <w:rPr>
          <w:rFonts w:ascii="Figtree" w:hAnsi="Figtree"/>
          <w:b/>
          <w:i w:val="0"/>
          <w:sz w:val="22"/>
        </w:rPr>
        <w:t>Interest Accrual and Distribution:</w:t>
      </w:r>
    </w:p>
    <w:p>
      <w:r>
        <w:rPr>
          <w:rFonts w:ascii="Figtree" w:hAnsi="Figtree"/>
          <w:b w:val="0"/>
          <w:i w:val="0"/>
          <w:sz w:val="22"/>
        </w:rPr>
        <w:t>The fixed treasury yield feature automates interest accrual and distribution for Emirates NBD's tokenized deposits. The configuration includes:</w:t>
      </w:r>
    </w:p>
    <w:p>
      <w:pPr>
        <w:pStyle w:val="ListParagraph"/>
        <w:numPr>
          <w:ilvl w:val="0"/>
          <w:numId w:val="4"/>
        </w:numPr>
      </w:pPr>
      <w:r>
        <w:rPr>
          <w:rFonts w:ascii="Figtree" w:hAnsi="Figtree"/>
          <w:b w:val="0"/>
          <w:i w:val="0"/>
          <w:sz w:val="22"/>
        </w:rPr>
        <w:t>Interest rate (annual, configurable per deposit product)</w:t>
      </w:r>
    </w:p>
    <w:p>
      <w:pPr>
        <w:pStyle w:val="ListParagraph"/>
        <w:numPr>
          <w:ilvl w:val="0"/>
          <w:numId w:val="4"/>
        </w:numPr>
      </w:pPr>
      <w:r>
        <w:rPr>
          <w:rFonts w:ascii="Figtree" w:hAnsi="Figtree"/>
          <w:b w:val="0"/>
          <w:i w:val="0"/>
          <w:sz w:val="22"/>
        </w:rPr>
        <w:t>Accrual frequency (daily, weekly, monthly)</w:t>
      </w:r>
    </w:p>
    <w:p>
      <w:pPr>
        <w:pStyle w:val="ListParagraph"/>
        <w:numPr>
          <w:ilvl w:val="0"/>
          <w:numId w:val="4"/>
        </w:numPr>
      </w:pPr>
      <w:r>
        <w:rPr>
          <w:rFonts w:ascii="Figtree" w:hAnsi="Figtree"/>
          <w:b w:val="0"/>
          <w:i w:val="0"/>
          <w:sz w:val="22"/>
        </w:rPr>
        <w:t>Distribution frequency (monthly, quarterly, at maturity)</w:t>
      </w:r>
    </w:p>
    <w:p>
      <w:pPr>
        <w:pStyle w:val="ListParagraph"/>
        <w:numPr>
          <w:ilvl w:val="0"/>
          <w:numId w:val="4"/>
        </w:numPr>
      </w:pPr>
      <w:r>
        <w:rPr>
          <w:rFonts w:ascii="Figtree" w:hAnsi="Figtree"/>
          <w:b w:val="0"/>
          <w:i w:val="0"/>
          <w:sz w:val="22"/>
        </w:rPr>
        <w:t>Distribution method (credited to holder balance, transferred as separate denomination tokens)</w:t>
      </w:r>
    </w:p>
    <w:p>
      <w:pPr>
        <w:pStyle w:val="ListParagraph"/>
        <w:numPr>
          <w:ilvl w:val="0"/>
          <w:numId w:val="4"/>
        </w:numPr>
      </w:pPr>
      <w:r>
        <w:rPr>
          <w:rFonts w:ascii="Figtree" w:hAnsi="Figtree"/>
          <w:b w:val="0"/>
          <w:i w:val="0"/>
          <w:sz w:val="22"/>
        </w:rPr>
        <w:t>Basis convention (actual/365, 30/360, actual/actual — configurable per product)</w:t>
      </w:r>
    </w:p>
    <w:p>
      <w:r>
        <w:rPr>
          <w:rFonts w:ascii="Figtree" w:hAnsi="Figtree"/>
          <w:b w:val="0"/>
          <w:i w:val="0"/>
          <w:sz w:val="22"/>
        </w:rPr>
        <w:t>The yield calculation is deterministic and verifiable. Each distribution event produces an on-chain record showing the calculation basis, distribution amount per holder, and resulting balance changes. Emirates NBD's treasury team can independently verify yield calculations against their own models.</w:t>
      </w:r>
    </w:p>
    <w:p>
      <w:r>
        <w:rPr>
          <w:rFonts w:ascii="Figtree" w:hAnsi="Figtree"/>
          <w:b/>
          <w:i w:val="0"/>
          <w:sz w:val="22"/>
        </w:rPr>
        <w:t>Maturity Processing:</w:t>
      </w:r>
    </w:p>
    <w:p>
      <w:r>
        <w:rPr>
          <w:rFonts w:ascii="Figtree" w:hAnsi="Figtree"/>
          <w:b w:val="0"/>
          <w:i w:val="0"/>
          <w:sz w:val="22"/>
        </w:rPr>
        <w:t>When a deposit reaches its configured maturity date, the maturity and redemption feature triggers automatic processing:</w:t>
      </w:r>
    </w:p>
    <w:p>
      <w:pPr>
        <w:pStyle w:val="ListParagraph"/>
        <w:numPr>
          <w:ilvl w:val="0"/>
          <w:numId w:val="20"/>
        </w:numPr>
      </w:pPr>
      <w:r>
        <w:rPr>
          <w:rFonts w:ascii="Figtree" w:hAnsi="Figtree"/>
          <w:b w:val="0"/>
          <w:i w:val="0"/>
          <w:sz w:val="22"/>
        </w:rPr>
        <w:t>Platform identifies tokens approaching maturity through the scheduled event system</w:t>
      </w:r>
    </w:p>
    <w:p>
      <w:pPr>
        <w:pStyle w:val="ListParagraph"/>
        <w:numPr>
          <w:ilvl w:val="0"/>
          <w:numId w:val="20"/>
        </w:numPr>
      </w:pPr>
      <w:r>
        <w:rPr>
          <w:rFonts w:ascii="Figtree" w:hAnsi="Figtree"/>
          <w:b w:val="0"/>
          <w:i w:val="0"/>
          <w:sz w:val="22"/>
        </w:rPr>
        <w:t>Pre-maturity notification sent to holders (configurable notice period)</w:t>
      </w:r>
    </w:p>
    <w:p>
      <w:pPr>
        <w:pStyle w:val="ListParagraph"/>
        <w:numPr>
          <w:ilvl w:val="0"/>
          <w:numId w:val="20"/>
        </w:numPr>
      </w:pPr>
      <w:r>
        <w:rPr>
          <w:rFonts w:ascii="Figtree" w:hAnsi="Figtree"/>
          <w:b w:val="0"/>
          <w:i w:val="0"/>
          <w:sz w:val="22"/>
        </w:rPr>
        <w:t>At maturity date, redemption operation triggered automatically</w:t>
      </w:r>
    </w:p>
    <w:p>
      <w:pPr>
        <w:pStyle w:val="ListParagraph"/>
        <w:numPr>
          <w:ilvl w:val="0"/>
          <w:numId w:val="20"/>
        </w:numPr>
      </w:pPr>
      <w:r>
        <w:rPr>
          <w:rFonts w:ascii="Figtree" w:hAnsi="Figtree"/>
          <w:b w:val="0"/>
          <w:i w:val="0"/>
          <w:sz w:val="22"/>
        </w:rPr>
        <w:t>Deposit tokens burned and denomination tokens transferred to holders (atomic DvP)</w:t>
      </w:r>
    </w:p>
    <w:p>
      <w:pPr>
        <w:pStyle w:val="ListParagraph"/>
        <w:numPr>
          <w:ilvl w:val="0"/>
          <w:numId w:val="20"/>
        </w:numPr>
      </w:pPr>
      <w:r>
        <w:rPr>
          <w:rFonts w:ascii="Figtree" w:hAnsi="Figtree"/>
          <w:b w:val="0"/>
          <w:i w:val="0"/>
          <w:sz w:val="22"/>
        </w:rPr>
        <w:t>Settlement confirmation recorded on-chain with full audit trail</w:t>
      </w:r>
    </w:p>
    <w:p>
      <w:pPr>
        <w:pStyle w:val="ListParagraph"/>
        <w:numPr>
          <w:ilvl w:val="0"/>
          <w:numId w:val="20"/>
        </w:numPr>
      </w:pPr>
      <w:r>
        <w:rPr>
          <w:rFonts w:ascii="Figtree" w:hAnsi="Figtree"/>
          <w:b w:val="0"/>
          <w:i w:val="0"/>
          <w:sz w:val="22"/>
        </w:rPr>
        <w:t>Post-maturity reconciliation events sent to core banking via webhook</w:t>
      </w:r>
    </w:p>
    <w:p>
      <w:r>
        <w:rPr>
          <w:rFonts w:ascii="Figtree" w:hAnsi="Figtree"/>
          <w:b w:val="0"/>
          <w:i w:val="0"/>
          <w:sz w:val="22"/>
        </w:rPr>
        <w:t>For deposits with automatic rollover options, the platform supports a re-issuance workflow that creates a new deposit token and transfers the proceeds, maintaining continuous investment without manual intervention.</w:t>
      </w:r>
    </w:p>
    <w:p>
      <w:r>
        <w:rPr>
          <w:rFonts w:ascii="Figtree" w:hAnsi="Figtree"/>
          <w:b/>
          <w:i w:val="0"/>
          <w:sz w:val="22"/>
        </w:rPr>
        <w:t>Early Withdrawal:</w:t>
      </w:r>
    </w:p>
    <w:p>
      <w:r>
        <w:rPr>
          <w:rFonts w:ascii="Figtree" w:hAnsi="Figtree"/>
          <w:b w:val="0"/>
          <w:i w:val="0"/>
          <w:sz w:val="22"/>
        </w:rPr>
        <w:t>Early withdrawal from a tokenized deposit follows a controlled workflow:</w:t>
      </w:r>
    </w:p>
    <w:p>
      <w:pPr>
        <w:pStyle w:val="ListParagraph"/>
        <w:numPr>
          <w:ilvl w:val="0"/>
          <w:numId w:val="21"/>
        </w:numPr>
      </w:pPr>
      <w:r>
        <w:rPr>
          <w:rFonts w:ascii="Figtree" w:hAnsi="Figtree"/>
          <w:b w:val="0"/>
          <w:i w:val="0"/>
          <w:sz w:val="22"/>
        </w:rPr>
        <w:t>Holder submits withdrawal request through the platform (API or UI)</w:t>
      </w:r>
    </w:p>
    <w:p>
      <w:pPr>
        <w:pStyle w:val="ListParagraph"/>
        <w:numPr>
          <w:ilvl w:val="0"/>
          <w:numId w:val="21"/>
        </w:numPr>
      </w:pPr>
      <w:r>
        <w:rPr>
          <w:rFonts w:ascii="Figtree" w:hAnsi="Figtree"/>
          <w:b w:val="0"/>
          <w:i w:val="0"/>
          <w:sz w:val="22"/>
        </w:rPr>
        <w:t>Transfer approval module places the request in pending state</w:t>
      </w:r>
    </w:p>
    <w:p>
      <w:pPr>
        <w:pStyle w:val="ListParagraph"/>
        <w:numPr>
          <w:ilvl w:val="0"/>
          <w:numId w:val="21"/>
        </w:numPr>
      </w:pPr>
      <w:r>
        <w:rPr>
          <w:rFonts w:ascii="Figtree" w:hAnsi="Figtree"/>
          <w:b w:val="0"/>
          <w:i w:val="0"/>
          <w:sz w:val="22"/>
        </w:rPr>
        <w:t>Authorized approver reviews the withdrawal (maker-checker)</w:t>
      </w:r>
    </w:p>
    <w:p>
      <w:pPr>
        <w:pStyle w:val="ListParagraph"/>
        <w:numPr>
          <w:ilvl w:val="0"/>
          <w:numId w:val="21"/>
        </w:numPr>
      </w:pPr>
      <w:r>
        <w:rPr>
          <w:rFonts w:ascii="Figtree" w:hAnsi="Figtree"/>
          <w:b w:val="0"/>
          <w:i w:val="0"/>
          <w:sz w:val="22"/>
        </w:rPr>
        <w:t>If approved, compliance checks execute (identity, jurisdiction, limits)</w:t>
      </w:r>
    </w:p>
    <w:p>
      <w:pPr>
        <w:pStyle w:val="ListParagraph"/>
        <w:numPr>
          <w:ilvl w:val="0"/>
          <w:numId w:val="21"/>
        </w:numPr>
      </w:pPr>
      <w:r>
        <w:rPr>
          <w:rFonts w:ascii="Figtree" w:hAnsi="Figtree"/>
          <w:b w:val="0"/>
          <w:i w:val="0"/>
          <w:sz w:val="22"/>
        </w:rPr>
        <w:t>Deposit tokens burned for the withdrawal amount</w:t>
      </w:r>
    </w:p>
    <w:p>
      <w:pPr>
        <w:pStyle w:val="ListParagraph"/>
        <w:numPr>
          <w:ilvl w:val="0"/>
          <w:numId w:val="21"/>
        </w:numPr>
      </w:pPr>
      <w:r>
        <w:rPr>
          <w:rFonts w:ascii="Figtree" w:hAnsi="Figtree"/>
          <w:b w:val="0"/>
          <w:i w:val="0"/>
          <w:sz w:val="22"/>
        </w:rPr>
        <w:t>Denomination tokens transferred to the holder (minus any early withdrawal penalty, calculated by the transaction fee feature)</w:t>
      </w:r>
    </w:p>
    <w:p>
      <w:pPr>
        <w:pStyle w:val="ListParagraph"/>
        <w:numPr>
          <w:ilvl w:val="0"/>
          <w:numId w:val="21"/>
        </w:numPr>
      </w:pPr>
      <w:r>
        <w:rPr>
          <w:rFonts w:ascii="Figtree" w:hAnsi="Figtree"/>
          <w:b w:val="0"/>
          <w:i w:val="0"/>
          <w:sz w:val="22"/>
        </w:rPr>
        <w:t>Withdrawal event recorded with full context (holder, amount, penalty, approver, timestamp)</w:t>
      </w:r>
    </w:p>
    <w:p>
      <w:pPr>
        <w:pStyle w:val="ListParagraph"/>
        <w:numPr>
          <w:ilvl w:val="0"/>
          <w:numId w:val="21"/>
        </w:numPr>
      </w:pPr>
      <w:r>
        <w:rPr>
          <w:rFonts w:ascii="Figtree" w:hAnsi="Figtree"/>
          <w:b w:val="0"/>
          <w:i w:val="0"/>
          <w:sz w:val="22"/>
        </w:rPr>
        <w:t>Core banking notification sent via webhook</w:t>
      </w:r>
    </w:p>
    <w:p>
      <w:r>
        <w:rPr>
          <w:rFonts w:ascii="Figtree" w:hAnsi="Figtree"/>
          <w:b/>
          <w:i w:val="0"/>
          <w:sz w:val="22"/>
        </w:rPr>
        <w:t>Corporate Actions:</w:t>
      </w:r>
    </w:p>
    <w:p>
      <w:r>
        <w:rPr>
          <w:rFonts w:ascii="Figtree" w:hAnsi="Figtree"/>
          <w:b w:val="0"/>
          <w:i w:val="0"/>
          <w:sz w:val="22"/>
        </w:rPr>
        <w:t>DALP supports corporate actions on tokenized deposits through the SMART Protocol's governance mechanisms:</w:t>
      </w:r>
    </w:p>
    <w:p>
      <w:pPr>
        <w:pStyle w:val="ListParagraph"/>
        <w:numPr>
          <w:ilvl w:val="0"/>
          <w:numId w:val="4"/>
        </w:numPr>
      </w:pPr>
      <w:r>
        <w:rPr>
          <w:rFonts w:ascii="Figtree" w:hAnsi="Figtree"/>
          <w:b w:val="0"/>
          <w:i w:val="0"/>
          <w:sz w:val="22"/>
        </w:rPr>
        <w:t>Rate changes: Interest rate modifications applied to future accrual periods (not retroactive)</w:t>
      </w:r>
    </w:p>
    <w:p>
      <w:pPr>
        <w:pStyle w:val="ListParagraph"/>
        <w:numPr>
          <w:ilvl w:val="0"/>
          <w:numId w:val="4"/>
        </w:numPr>
      </w:pPr>
      <w:r>
        <w:rPr>
          <w:rFonts w:ascii="Figtree" w:hAnsi="Figtree"/>
          <w:b w:val="0"/>
          <w:i w:val="0"/>
          <w:sz w:val="22"/>
        </w:rPr>
        <w:t>Product amendments: Feature and compliance module reconfiguration at runtime</w:t>
      </w:r>
    </w:p>
    <w:p>
      <w:pPr>
        <w:pStyle w:val="ListParagraph"/>
        <w:numPr>
          <w:ilvl w:val="0"/>
          <w:numId w:val="4"/>
        </w:numPr>
      </w:pPr>
      <w:r>
        <w:rPr>
          <w:rFonts w:ascii="Figtree" w:hAnsi="Figtree"/>
          <w:b w:val="0"/>
          <w:i w:val="0"/>
          <w:sz w:val="22"/>
        </w:rPr>
        <w:t>Regulatory changes: Compliance module updates to reflect new regulatory requirements</w:t>
      </w:r>
    </w:p>
    <w:p>
      <w:pPr>
        <w:pStyle w:val="ListParagraph"/>
        <w:numPr>
          <w:ilvl w:val="0"/>
          <w:numId w:val="4"/>
        </w:numPr>
      </w:pPr>
      <w:r>
        <w:rPr>
          <w:rFonts w:ascii="Figtree" w:hAnsi="Figtree"/>
          <w:b w:val="0"/>
          <w:i w:val="0"/>
          <w:sz w:val="22"/>
        </w:rPr>
        <w:t>Communication: Event notifications to all holders triggered by corporate action events</w:t>
      </w:r>
    </w:p>
    <w:p>
      <w:r>
        <w:rPr>
          <w:rFonts w:ascii="Figtree" w:hAnsi="Figtree"/>
          <w:b w:val="0"/>
          <w:i w:val="0"/>
          <w:sz w:val="22"/>
        </w:rPr>
        <w:t>Each corporate action produces governance evidence: who authorized it, when, what changed, and the effective date. This governance trail is critical for Emirates NBD's regulatory reporting and internal audit requirements.</w:t>
      </w:r>
    </w:p>
    <w:p>
      <w:pPr>
        <w:pStyle w:val="H3"/>
        <w:numPr>
          <w:ilvl w:val="2"/>
          <w:numId w:val="1"/>
        </w:numPr>
      </w:pPr>
      <w:r>
        <w:t>Trade Finance Workflow Orchestration Deep Dive</w:t>
      </w:r>
    </w:p>
    <w:p>
      <w:r>
        <w:rPr>
          <w:rFonts w:ascii="Figtree" w:hAnsi="Figtree"/>
          <w:b w:val="0"/>
          <w:i w:val="0"/>
          <w:sz w:val="22"/>
        </w:rPr>
        <w:t>The durable workflow engine handles the complete lifecycle of trade finance operations with deterministic completion guarantees:</w:t>
      </w:r>
    </w:p>
    <w:p>
      <w:r>
        <w:rPr>
          <w:rFonts w:ascii="Figtree" w:hAnsi="Figtree"/>
          <w:b/>
          <w:i w:val="0"/>
          <w:sz w:val="22"/>
        </w:rPr>
        <w:t>Letter of Credit Workflow:</w:t>
      </w:r>
    </w:p>
    <w:p>
      <w:pPr>
        <w:jc w:val="center"/>
      </w:pPr>
      <w:r>
        <w:drawing>
          <wp:inline xmlns:a="http://schemas.openxmlformats.org/drawingml/2006/main" xmlns:pic="http://schemas.openxmlformats.org/drawingml/2006/picture">
            <wp:extent cx="3333160" cy="8229600"/>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3333160" cy="8229600"/>
                    </a:xfrm>
                    <a:prstGeom prst="rect"/>
                  </pic:spPr>
                </pic:pic>
              </a:graphicData>
            </a:graphic>
          </wp:inline>
        </w:drawing>
      </w:r>
    </w:p>
    <w:p>
      <w:r>
        <w:rPr>
          <w:rFonts w:ascii="Figtree" w:hAnsi="Figtree"/>
          <w:b w:val="0"/>
          <w:i w:val="0"/>
          <w:sz w:val="22"/>
        </w:rPr>
        <w:t>Each state transition in the workflow:</w:t>
      </w:r>
    </w:p>
    <w:p>
      <w:pPr>
        <w:pStyle w:val="ListParagraph"/>
        <w:numPr>
          <w:ilvl w:val="0"/>
          <w:numId w:val="4"/>
        </w:numPr>
      </w:pPr>
      <w:r>
        <w:rPr>
          <w:rFonts w:ascii="Figtree" w:hAnsi="Figtree"/>
          <w:b w:val="0"/>
          <w:i w:val="0"/>
          <w:sz w:val="22"/>
        </w:rPr>
        <w:t>Persists to PostgreSQL before proceeding (crash-safe)</w:t>
      </w:r>
    </w:p>
    <w:p>
      <w:pPr>
        <w:pStyle w:val="ListParagraph"/>
        <w:numPr>
          <w:ilvl w:val="0"/>
          <w:numId w:val="4"/>
        </w:numPr>
      </w:pPr>
      <w:r>
        <w:rPr>
          <w:rFonts w:ascii="Figtree" w:hAnsi="Figtree"/>
          <w:b w:val="0"/>
          <w:i w:val="0"/>
          <w:sz w:val="22"/>
        </w:rPr>
        <w:t>Produces an immutable audit event with initiator, timestamp, and context</w:t>
      </w:r>
    </w:p>
    <w:p>
      <w:pPr>
        <w:pStyle w:val="ListParagraph"/>
        <w:numPr>
          <w:ilvl w:val="0"/>
          <w:numId w:val="4"/>
        </w:numPr>
      </w:pPr>
      <w:r>
        <w:rPr>
          <w:rFonts w:ascii="Figtree" w:hAnsi="Figtree"/>
          <w:b w:val="0"/>
          <w:i w:val="0"/>
          <w:sz w:val="22"/>
        </w:rPr>
        <w:t>Triggers configurable webhook notifications to downstream systems</w:t>
      </w:r>
    </w:p>
    <w:p>
      <w:pPr>
        <w:pStyle w:val="ListParagraph"/>
        <w:numPr>
          <w:ilvl w:val="0"/>
          <w:numId w:val="4"/>
        </w:numPr>
      </w:pPr>
      <w:r>
        <w:rPr>
          <w:rFonts w:ascii="Figtree" w:hAnsi="Figtree"/>
          <w:b w:val="0"/>
          <w:i w:val="0"/>
          <w:sz w:val="22"/>
        </w:rPr>
        <w:t>Enforces authorization checks (only permitted roles can trigger transitions)</w:t>
      </w:r>
    </w:p>
    <w:p>
      <w:pPr>
        <w:pStyle w:val="ListParagraph"/>
        <w:numPr>
          <w:ilvl w:val="0"/>
          <w:numId w:val="4"/>
        </w:numPr>
      </w:pPr>
      <w:r>
        <w:rPr>
          <w:rFonts w:ascii="Figtree" w:hAnsi="Figtree"/>
          <w:b w:val="0"/>
          <w:i w:val="0"/>
          <w:sz w:val="22"/>
        </w:rPr>
        <w:t>Supports timeout escalation (configurable per transition, e.g., 24-hour review window)</w:t>
      </w:r>
    </w:p>
    <w:p>
      <w:r>
        <w:rPr>
          <w:rFonts w:ascii="Figtree" w:hAnsi="Figtree"/>
          <w:b/>
          <w:i w:val="0"/>
          <w:sz w:val="22"/>
        </w:rPr>
        <w:t>Document Management Integration:</w:t>
      </w:r>
    </w:p>
    <w:p>
      <w:r>
        <w:rPr>
          <w:rFonts w:ascii="Figtree" w:hAnsi="Figtree"/>
          <w:b w:val="0"/>
          <w:i w:val="0"/>
          <w:sz w:val="22"/>
        </w:rPr>
        <w:t>DALP does not replace Emirates NBD's existing document management system. Instead, it integrates with it through defined touchpoints:</w:t>
      </w:r>
    </w:p>
    <w:p>
      <w:pPr>
        <w:pStyle w:val="ListParagraph"/>
        <w:numPr>
          <w:ilvl w:val="0"/>
          <w:numId w:val="22"/>
        </w:numPr>
      </w:pPr>
      <w:r>
        <w:rPr>
          <w:rFonts w:ascii="Figtree" w:hAnsi="Figtree"/>
          <w:b w:val="0"/>
          <w:i w:val="0"/>
          <w:sz w:val="22"/>
        </w:rPr>
        <w:t>Document references (hashes, identifiers) are stored on-chain as part of the trade finance token metadata</w:t>
      </w:r>
    </w:p>
    <w:p>
      <w:pPr>
        <w:pStyle w:val="ListParagraph"/>
        <w:numPr>
          <w:ilvl w:val="0"/>
          <w:numId w:val="22"/>
        </w:numPr>
      </w:pPr>
      <w:r>
        <w:rPr>
          <w:rFonts w:ascii="Figtree" w:hAnsi="Figtree"/>
          <w:b w:val="0"/>
          <w:i w:val="0"/>
          <w:sz w:val="22"/>
        </w:rPr>
        <w:t>Document content remains in Emirates NBD's document management system (or DALP's object storage for new documents)</w:t>
      </w:r>
    </w:p>
    <w:p>
      <w:pPr>
        <w:pStyle w:val="ListParagraph"/>
        <w:numPr>
          <w:ilvl w:val="0"/>
          <w:numId w:val="22"/>
        </w:numPr>
      </w:pPr>
      <w:r>
        <w:rPr>
          <w:rFonts w:ascii="Figtree" w:hAnsi="Figtree"/>
          <w:b w:val="0"/>
          <w:i w:val="0"/>
          <w:sz w:val="22"/>
        </w:rPr>
        <w:t>Document verification status is recorded as a workflow milestone with approver identity</w:t>
      </w:r>
    </w:p>
    <w:p>
      <w:pPr>
        <w:pStyle w:val="ListParagraph"/>
        <w:numPr>
          <w:ilvl w:val="0"/>
          <w:numId w:val="22"/>
        </w:numPr>
      </w:pPr>
      <w:r>
        <w:rPr>
          <w:rFonts w:ascii="Figtree" w:hAnsi="Figtree"/>
          <w:b w:val="0"/>
          <w:i w:val="0"/>
          <w:sz w:val="22"/>
        </w:rPr>
        <w:t>Any change to document references produces an audit event with the previous and new reference values</w:t>
      </w:r>
    </w:p>
    <w:p>
      <w:r>
        <w:rPr>
          <w:rFonts w:ascii="Figtree" w:hAnsi="Figtree"/>
          <w:b w:val="0"/>
          <w:i w:val="0"/>
          <w:sz w:val="22"/>
        </w:rPr>
        <w:t>This integration approach ensures that Emirates NBD's existing document management processes, retention policies, and access controls are preserved. DALP adds a layer of on-chain evidence for document-linked trade operations without duplicating document storage infrastructure.</w:t>
      </w:r>
    </w:p>
    <w:p>
      <w:r>
        <w:rPr>
          <w:rFonts w:ascii="Figtree" w:hAnsi="Figtree"/>
          <w:b/>
          <w:i w:val="0"/>
          <w:sz w:val="22"/>
        </w:rPr>
        <w:t>Multi-Entity Limit Management:</w:t>
      </w:r>
    </w:p>
    <w:p>
      <w:r>
        <w:rPr>
          <w:rFonts w:ascii="Figtree" w:hAnsi="Figtree"/>
          <w:b w:val="0"/>
          <w:i w:val="0"/>
          <w:sz w:val="22"/>
        </w:rPr>
        <w:t>For trade finance operations involving multiple entities (Emirates NBD, counterparty banks, institutional investors), DALP's compliance module composition enables entity-specific limit enforcement:</w:t>
      </w:r>
    </w:p>
    <w:p>
      <w:pPr>
        <w:pStyle w:val="ListParagraph"/>
        <w:numPr>
          <w:ilvl w:val="0"/>
          <w:numId w:val="4"/>
        </w:numPr>
      </w:pPr>
      <w:r>
        <w:rPr>
          <w:rFonts w:ascii="Figtree" w:hAnsi="Figtree"/>
          <w:b w:val="0"/>
          <w:i w:val="0"/>
          <w:sz w:val="22"/>
        </w:rPr>
        <w:t>Per-entity exposure limits configurable through the compliance engine</w:t>
      </w:r>
    </w:p>
    <w:p>
      <w:pPr>
        <w:pStyle w:val="ListParagraph"/>
        <w:numPr>
          <w:ilvl w:val="0"/>
          <w:numId w:val="4"/>
        </w:numPr>
      </w:pPr>
      <w:r>
        <w:rPr>
          <w:rFonts w:ascii="Figtree" w:hAnsi="Figtree"/>
          <w:b w:val="0"/>
          <w:i w:val="0"/>
          <w:sz w:val="22"/>
        </w:rPr>
        <w:t>Cross-entity limit aggregation via API queries (total exposure across all trade finance instruments for a given counterparty)</w:t>
      </w:r>
    </w:p>
    <w:p>
      <w:pPr>
        <w:pStyle w:val="ListParagraph"/>
        <w:numPr>
          <w:ilvl w:val="0"/>
          <w:numId w:val="4"/>
        </w:numPr>
      </w:pPr>
      <w:r>
        <w:rPr>
          <w:rFonts w:ascii="Figtree" w:hAnsi="Figtree"/>
          <w:b w:val="0"/>
          <w:i w:val="0"/>
          <w:sz w:val="22"/>
        </w:rPr>
        <w:t>Limit breach prevention at the compliance check level (transfers that would cause a limit breach are blocked before execution)</w:t>
      </w:r>
    </w:p>
    <w:p>
      <w:pPr>
        <w:pStyle w:val="ListParagraph"/>
        <w:numPr>
          <w:ilvl w:val="0"/>
          <w:numId w:val="4"/>
        </w:numPr>
      </w:pPr>
      <w:r>
        <w:rPr>
          <w:rFonts w:ascii="Figtree" w:hAnsi="Figtree"/>
          <w:b w:val="0"/>
          <w:i w:val="0"/>
          <w:sz w:val="22"/>
        </w:rPr>
        <w:t>Limit utilization reporting through GraphQL queries for treasury and risk management</w:t>
      </w:r>
    </w:p>
    <w:p>
      <w:pPr>
        <w:pStyle w:val="H3"/>
        <w:numPr>
          <w:ilvl w:val="2"/>
          <w:numId w:val="1"/>
        </w:numPr>
      </w:pPr>
      <w:r>
        <w:t>Appendix: Detailed Deployment Architecture</w:t>
      </w:r>
    </w:p>
    <w:p>
      <w:pPr>
        <w:pStyle w:val="H4"/>
        <w:numPr>
          <w:ilvl w:val="3"/>
          <w:numId w:val="1"/>
        </w:numPr>
      </w:pPr>
      <w:r>
        <w:t>Infrastructure Topology for Emirates NBD</w:t>
      </w:r>
    </w:p>
    <w:p>
      <w:r>
        <w:rPr>
          <w:rFonts w:ascii="Figtree" w:hAnsi="Figtree"/>
          <w:b w:val="0"/>
          <w:i w:val="0"/>
          <w:sz w:val="22"/>
        </w:rPr>
        <w:t>The recommended deployment architecture for Emirates NBD uses a dedicated cloud environment with multi-availability-zone distribution for resilience:</w:t>
      </w:r>
    </w:p>
    <w:p>
      <w:pPr>
        <w:jc w:val="center"/>
      </w:pPr>
      <w:r>
        <w:drawing>
          <wp:inline xmlns:a="http://schemas.openxmlformats.org/drawingml/2006/main" xmlns:pic="http://schemas.openxmlformats.org/drawingml/2006/picture">
            <wp:extent cx="5486400" cy="2743200"/>
            <wp:docPr id="12" name="Picture 12"/>
            <wp:cNvGraphicFramePr>
              <a:graphicFrameLocks noChangeAspect="1"/>
            </wp:cNvGraphicFramePr>
            <a:graphic>
              <a:graphicData uri="http://schemas.openxmlformats.org/drawingml/2006/picture">
                <pic:pic>
                  <pic:nvPicPr>
                    <pic:cNvPr id="0" name="_diagram-012.png"/>
                    <pic:cNvPicPr/>
                  </pic:nvPicPr>
                  <pic:blipFill>
                    <a:blip r:embed="rId24"/>
                    <a:stretch>
                      <a:fillRect/>
                    </a:stretch>
                  </pic:blipFill>
                  <pic:spPr>
                    <a:xfrm>
                      <a:off x="0" y="0"/>
                      <a:ext cx="5486400" cy="2743200"/>
                    </a:xfrm>
                    <a:prstGeom prst="rect"/>
                  </pic:spPr>
                </pic:pic>
              </a:graphicData>
            </a:graphic>
          </wp:inline>
        </w:drawing>
      </w:r>
    </w:p>
    <w:p>
      <w:r>
        <w:rPr>
          <w:rFonts w:ascii="Figtree" w:hAnsi="Figtree"/>
          <w:b/>
          <w:i w:val="0"/>
          <w:sz w:val="22"/>
        </w:rPr>
        <w:t>Kubernetes cluster configuration:</w:t>
      </w:r>
      <w:r>
        <w:rPr>
          <w:rFonts w:ascii="Figtree" w:hAnsi="Figtree"/>
          <w:b w:val="0"/>
          <w:i w:val="0"/>
          <w:sz w:val="22"/>
        </w:rPr>
        <w:t xml:space="preserve"> The DALP platform services are deployed across Kubernetes worker nodes distributed across two availability zones. This ensures that a single-AZ failure does not take the platform offline. The Kubernetes deployment uses:</w:t>
      </w:r>
    </w:p>
    <w:p>
      <w:pPr>
        <w:pStyle w:val="ListParagraph"/>
        <w:numPr>
          <w:ilvl w:val="0"/>
          <w:numId w:val="4"/>
        </w:numPr>
      </w:pPr>
      <w:r>
        <w:rPr>
          <w:rFonts w:ascii="Figtree" w:hAnsi="Figtree"/>
          <w:b w:val="0"/>
          <w:i w:val="0"/>
          <w:sz w:val="22"/>
        </w:rPr>
        <w:t>Rolling deployments for zero-downtime updates</w:t>
      </w:r>
    </w:p>
    <w:p>
      <w:pPr>
        <w:pStyle w:val="ListParagraph"/>
        <w:numPr>
          <w:ilvl w:val="0"/>
          <w:numId w:val="4"/>
        </w:numPr>
      </w:pPr>
      <w:r>
        <w:rPr>
          <w:rFonts w:ascii="Figtree" w:hAnsi="Figtree"/>
          <w:b w:val="0"/>
          <w:i w:val="0"/>
          <w:sz w:val="22"/>
        </w:rPr>
        <w:t>Health checks and readiness probes for automated failover</w:t>
      </w:r>
    </w:p>
    <w:p>
      <w:pPr>
        <w:pStyle w:val="ListParagraph"/>
        <w:numPr>
          <w:ilvl w:val="0"/>
          <w:numId w:val="4"/>
        </w:numPr>
      </w:pPr>
      <w:r>
        <w:rPr>
          <w:rFonts w:ascii="Figtree" w:hAnsi="Figtree"/>
          <w:b w:val="0"/>
          <w:i w:val="0"/>
          <w:sz w:val="22"/>
        </w:rPr>
        <w:t>Horizontal pod autoscaling for compute-intensive workloads</w:t>
      </w:r>
    </w:p>
    <w:p>
      <w:pPr>
        <w:pStyle w:val="ListParagraph"/>
        <w:numPr>
          <w:ilvl w:val="0"/>
          <w:numId w:val="4"/>
        </w:numPr>
      </w:pPr>
      <w:r>
        <w:rPr>
          <w:rFonts w:ascii="Figtree" w:hAnsi="Figtree"/>
          <w:b w:val="0"/>
          <w:i w:val="0"/>
          <w:sz w:val="22"/>
        </w:rPr>
        <w:t>Resource quotas and limit ranges for workload isolation</w:t>
      </w:r>
    </w:p>
    <w:p>
      <w:r>
        <w:rPr>
          <w:rFonts w:ascii="Figtree" w:hAnsi="Figtree"/>
          <w:b/>
          <w:i w:val="0"/>
          <w:sz w:val="22"/>
        </w:rPr>
        <w:t>Database architecture:</w:t>
      </w:r>
      <w:r>
        <w:rPr>
          <w:rFonts w:ascii="Figtree" w:hAnsi="Figtree"/>
          <w:b w:val="0"/>
          <w:i w:val="0"/>
          <w:sz w:val="22"/>
        </w:rPr>
        <w:t xml:space="preserve"> PostgreSQL runs in a primary-standby configuration with synchronous replication between availability zones. The synchronous replication ensures zero data loss in the event of a primary failure. Automated failover promotes the standby to primary within the configured RTO target.</w:t>
      </w:r>
    </w:p>
    <w:p>
      <w:pPr>
        <w:pStyle w:val="ListParagraph"/>
        <w:numPr>
          <w:ilvl w:val="0"/>
          <w:numId w:val="4"/>
        </w:numPr>
      </w:pPr>
      <w:r>
        <w:rPr>
          <w:rFonts w:ascii="Figtree" w:hAnsi="Figtree"/>
          <w:b w:val="0"/>
          <w:i w:val="0"/>
          <w:sz w:val="22"/>
        </w:rPr>
        <w:t>Point-in-time recovery enabled with continuous WAL archiving</w:t>
      </w:r>
    </w:p>
    <w:p>
      <w:pPr>
        <w:pStyle w:val="ListParagraph"/>
        <w:numPr>
          <w:ilvl w:val="0"/>
          <w:numId w:val="4"/>
        </w:numPr>
      </w:pPr>
      <w:r>
        <w:rPr>
          <w:rFonts w:ascii="Figtree" w:hAnsi="Figtree"/>
          <w:b w:val="0"/>
          <w:i w:val="0"/>
          <w:sz w:val="22"/>
        </w:rPr>
        <w:t>Automated backups every hour with 30-day retention</w:t>
      </w:r>
    </w:p>
    <w:p>
      <w:pPr>
        <w:pStyle w:val="ListParagraph"/>
        <w:numPr>
          <w:ilvl w:val="0"/>
          <w:numId w:val="4"/>
        </w:numPr>
      </w:pPr>
      <w:r>
        <w:rPr>
          <w:rFonts w:ascii="Figtree" w:hAnsi="Figtree"/>
          <w:b w:val="0"/>
          <w:i w:val="0"/>
          <w:sz w:val="22"/>
        </w:rPr>
        <w:t>Connection pooling via PgBouncer for efficient connection management</w:t>
      </w:r>
    </w:p>
    <w:p>
      <w:pPr>
        <w:pStyle w:val="ListParagraph"/>
        <w:numPr>
          <w:ilvl w:val="0"/>
          <w:numId w:val="4"/>
        </w:numPr>
      </w:pPr>
      <w:r>
        <w:rPr>
          <w:rFonts w:ascii="Figtree" w:hAnsi="Figtree"/>
          <w:b w:val="0"/>
          <w:i w:val="0"/>
          <w:sz w:val="22"/>
        </w:rPr>
        <w:t>Read replicas available for reporting workloads (avoiding production impact)</w:t>
      </w:r>
    </w:p>
    <w:p>
      <w:r>
        <w:rPr>
          <w:rFonts w:ascii="Figtree" w:hAnsi="Figtree"/>
          <w:b/>
          <w:i w:val="0"/>
          <w:sz w:val="22"/>
        </w:rPr>
        <w:t>Blockchain network architecture:</w:t>
      </w:r>
      <w:r>
        <w:rPr>
          <w:rFonts w:ascii="Figtree" w:hAnsi="Figtree"/>
          <w:b w:val="0"/>
          <w:i w:val="0"/>
          <w:sz w:val="22"/>
        </w:rPr>
        <w:t xml:space="preserve"> Four Hyperledger Besu validator nodes distributed across two availability zones. IBFT 2.0 consensus requires agreement from at least three of four validators, meaning the network tolerates one node failure without impact to consensus. The distribution across AZs ensures that a single-AZ failure leaves at least two validators operational — sufficient to maintain consensus if the remaining AZ has two validators.</w:t>
      </w:r>
    </w:p>
    <w:p>
      <w:r>
        <w:rPr>
          <w:rFonts w:ascii="Figtree" w:hAnsi="Figtree"/>
          <w:b w:val="0"/>
          <w:i w:val="0"/>
          <w:sz w:val="22"/>
        </w:rPr>
        <w:t>Block production continues uninterrupted during normal operations. If a validator is temporarily unavailable, the remaining validators continue producing blocks. When the unavailable validator recovers, it synchronizes automatically from the peer network.</w:t>
      </w:r>
    </w:p>
    <w:p>
      <w:r>
        <w:rPr>
          <w:rFonts w:ascii="Figtree" w:hAnsi="Figtree"/>
          <w:b/>
          <w:i w:val="0"/>
          <w:sz w:val="22"/>
        </w:rPr>
        <w:t>Network security:</w:t>
      </w:r>
    </w:p>
    <w:p>
      <w:pPr>
        <w:pStyle w:val="ListParagraph"/>
        <w:numPr>
          <w:ilvl w:val="0"/>
          <w:numId w:val="4"/>
        </w:numPr>
      </w:pPr>
      <w:r>
        <w:rPr>
          <w:rFonts w:ascii="Figtree" w:hAnsi="Figtree"/>
          <w:b w:val="0"/>
          <w:i w:val="0"/>
          <w:sz w:val="22"/>
        </w:rPr>
        <w:t>All inter-component communication encrypted via mutual TLS</w:t>
      </w:r>
    </w:p>
    <w:p>
      <w:pPr>
        <w:pStyle w:val="ListParagraph"/>
        <w:numPr>
          <w:ilvl w:val="0"/>
          <w:numId w:val="4"/>
        </w:numPr>
      </w:pPr>
      <w:r>
        <w:rPr>
          <w:rFonts w:ascii="Figtree" w:hAnsi="Figtree"/>
          <w:b w:val="0"/>
          <w:i w:val="0"/>
          <w:sz w:val="22"/>
        </w:rPr>
        <w:t>Private subnets for all platform components (no public internet exposure)</w:t>
      </w:r>
    </w:p>
    <w:p>
      <w:pPr>
        <w:pStyle w:val="ListParagraph"/>
        <w:numPr>
          <w:ilvl w:val="0"/>
          <w:numId w:val="4"/>
        </w:numPr>
      </w:pPr>
      <w:r>
        <w:rPr>
          <w:rFonts w:ascii="Figtree" w:hAnsi="Figtree"/>
          <w:b w:val="0"/>
          <w:i w:val="0"/>
          <w:sz w:val="22"/>
        </w:rPr>
        <w:t>NAT gateway for outbound-only internet access (package updates, custody provider API calls)</w:t>
      </w:r>
    </w:p>
    <w:p>
      <w:pPr>
        <w:pStyle w:val="ListParagraph"/>
        <w:numPr>
          <w:ilvl w:val="0"/>
          <w:numId w:val="4"/>
        </w:numPr>
      </w:pPr>
      <w:r>
        <w:rPr>
          <w:rFonts w:ascii="Figtree" w:hAnsi="Figtree"/>
          <w:b w:val="0"/>
          <w:i w:val="0"/>
          <w:sz w:val="22"/>
        </w:rPr>
        <w:t>Web Application Firewall (WAF) on the load balancer for OWASP Top 10 protection</w:t>
      </w:r>
    </w:p>
    <w:p>
      <w:pPr>
        <w:pStyle w:val="ListParagraph"/>
        <w:numPr>
          <w:ilvl w:val="0"/>
          <w:numId w:val="4"/>
        </w:numPr>
      </w:pPr>
      <w:r>
        <w:rPr>
          <w:rFonts w:ascii="Figtree" w:hAnsi="Figtree"/>
          <w:b w:val="0"/>
          <w:i w:val="0"/>
          <w:sz w:val="22"/>
        </w:rPr>
        <w:t>VPN or ExpressRoute tunnel for private connectivity to Emirates NBD's data center</w:t>
      </w:r>
    </w:p>
    <w:p>
      <w:pPr>
        <w:pStyle w:val="ListParagraph"/>
        <w:numPr>
          <w:ilvl w:val="0"/>
          <w:numId w:val="4"/>
        </w:numPr>
      </w:pPr>
      <w:r>
        <w:rPr>
          <w:rFonts w:ascii="Figtree" w:hAnsi="Figtree"/>
          <w:b w:val="0"/>
          <w:i w:val="0"/>
          <w:sz w:val="22"/>
        </w:rPr>
        <w:t>Network security groups restricting traffic to defined port ranges and source addresses</w:t>
      </w:r>
    </w:p>
    <w:p>
      <w:pPr>
        <w:pStyle w:val="H4"/>
        <w:numPr>
          <w:ilvl w:val="3"/>
          <w:numId w:val="1"/>
        </w:numPr>
      </w:pPr>
      <w:r>
        <w:t>Disaster Recovery Architecture</w:t>
      </w:r>
    </w:p>
    <w:p>
      <w:r>
        <w:rPr>
          <w:rFonts w:ascii="Figtree" w:hAnsi="Figtree"/>
          <w:b w:val="0"/>
          <w:i w:val="0"/>
          <w:sz w:val="22"/>
        </w:rPr>
        <w:t>The DR environment replicates the production environment in a separate availability zone (or region, depending on Emirates NBD's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72"/>
        <w:gridCol w:w="4338"/>
        <w:gridCol w:w="1774"/>
        <w:gridCol w:w="98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DR Strategy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RPO</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RTO</w:t>
            </w:r>
          </w:p>
        </w:tc>
      </w:tr>
      <w:tr>
        <w:trPr>
          <w:trHeight w:val="425" w:hRule="atLeast"/>
        </w:trPr>
        <w:tc>
          <w:tcPr>
            <w:tcW w:type="dxa" w:w="2436"/>
            <w:vAlign w:val="center"/>
          </w:tcPr>
          <w:p>
            <w:pPr>
              <w:spacing w:line="276" w:lineRule="auto" w:before="0" w:after="0"/>
            </w:pPr>
            <w:r/>
            <w:r>
              <w:rPr>
                <w:rFonts w:ascii="Figtree" w:hAnsi="Figtree"/>
                <w:b w:val="0"/>
                <w:i w:val="0"/>
                <w:sz w:val="20"/>
              </w:rPr>
              <w:t>Blockchain state</w:t>
            </w:r>
          </w:p>
        </w:tc>
        <w:tc>
          <w:tcPr>
            <w:tcW w:type="dxa" w:w="2436"/>
            <w:vAlign w:val="center"/>
          </w:tcPr>
          <w:p>
            <w:pPr>
              <w:spacing w:line="276" w:lineRule="auto" w:before="0" w:after="0"/>
            </w:pPr>
            <w:r/>
            <w:r>
              <w:rPr>
                <w:rFonts w:ascii="Figtree" w:hAnsi="Figtree"/>
                <w:b w:val="0"/>
                <w:i w:val="0"/>
                <w:sz w:val="20"/>
              </w:rPr>
              <w:t>Continuous replication via Besu peer sync</w:t>
            </w:r>
          </w:p>
        </w:tc>
        <w:tc>
          <w:tcPr>
            <w:tcW w:type="dxa" w:w="2436"/>
            <w:vAlign w:val="center"/>
          </w:tcPr>
          <w:p>
            <w:pPr>
              <w:spacing w:line="276" w:lineRule="auto" w:before="0" w:after="0"/>
            </w:pPr>
            <w:r/>
            <w:r>
              <w:rPr>
                <w:rFonts w:ascii="Figtree" w:hAnsi="Figtree"/>
                <w:b w:val="0"/>
                <w:i w:val="0"/>
                <w:sz w:val="20"/>
              </w:rPr>
              <w:t>Near-zero</w:t>
            </w:r>
          </w:p>
        </w:tc>
        <w:tc>
          <w:tcPr>
            <w:tcW w:type="dxa" w:w="2436"/>
            <w:vAlign w:val="center"/>
          </w:tcPr>
          <w:p>
            <w:pPr>
              <w:spacing w:line="276" w:lineRule="auto" w:before="0" w:after="0"/>
            </w:pPr>
            <w:r/>
            <w:r>
              <w:rPr>
                <w:rFonts w:ascii="Figtree" w:hAnsi="Figtree"/>
                <w:b w:val="0"/>
                <w:i w:val="0"/>
                <w:sz w:val="20"/>
              </w:rPr>
              <w:t>30 minutes</w:t>
            </w:r>
          </w:p>
        </w:tc>
      </w:tr>
      <w:tr>
        <w:trPr>
          <w:trHeight w:val="425" w:hRule="atLeast"/>
        </w:trPr>
        <w:tc>
          <w:tcPr>
            <w:tcW w:type="dxa" w:w="2436"/>
            <w:vAlign w:val="center"/>
          </w:tcPr>
          <w:p>
            <w:pPr>
              <w:spacing w:line="276" w:lineRule="auto" w:before="0" w:after="0"/>
            </w:pPr>
            <w:r/>
            <w:r>
              <w:rPr>
                <w:rFonts w:ascii="Figtree" w:hAnsi="Figtree"/>
                <w:b w:val="0"/>
                <w:i w:val="0"/>
                <w:sz w:val="20"/>
              </w:rPr>
              <w:t>Application database</w:t>
            </w:r>
          </w:p>
        </w:tc>
        <w:tc>
          <w:tcPr>
            <w:tcW w:type="dxa" w:w="2436"/>
            <w:vAlign w:val="center"/>
          </w:tcPr>
          <w:p>
            <w:pPr>
              <w:spacing w:line="276" w:lineRule="auto" w:before="0" w:after="0"/>
            </w:pPr>
            <w:r/>
            <w:r>
              <w:rPr>
                <w:rFonts w:ascii="Figtree" w:hAnsi="Figtree"/>
                <w:b w:val="0"/>
                <w:i w:val="0"/>
                <w:sz w:val="20"/>
              </w:rPr>
              <w:t>Synchronous replication + automated failover</w:t>
            </w:r>
          </w:p>
        </w:tc>
        <w:tc>
          <w:tcPr>
            <w:tcW w:type="dxa" w:w="2436"/>
            <w:vAlign w:val="center"/>
          </w:tcPr>
          <w:p>
            <w:pPr>
              <w:spacing w:line="276" w:lineRule="auto" w:before="0" w:after="0"/>
            </w:pPr>
            <w:r/>
            <w:r>
              <w:rPr>
                <w:rFonts w:ascii="Figtree" w:hAnsi="Figtree"/>
                <w:b w:val="0"/>
                <w:i w:val="0"/>
                <w:sz w:val="20"/>
              </w:rPr>
              <w:t>Zero (synchronous)</w:t>
            </w:r>
          </w:p>
        </w:tc>
        <w:tc>
          <w:tcPr>
            <w:tcW w:type="dxa" w:w="2436"/>
            <w:vAlign w:val="center"/>
          </w:tcPr>
          <w:p>
            <w:pPr>
              <w:spacing w:line="276" w:lineRule="auto" w:before="0" w:after="0"/>
            </w:pPr>
            <w:r/>
            <w:r>
              <w:rPr>
                <w:rFonts w:ascii="Figtree" w:hAnsi="Figtree"/>
                <w:b w:val="0"/>
                <w:i w:val="0"/>
                <w:sz w:val="20"/>
              </w:rPr>
              <w:t>15 minutes</w:t>
            </w:r>
          </w:p>
        </w:tc>
      </w:tr>
      <w:tr>
        <w:trPr>
          <w:trHeight w:val="425" w:hRule="atLeast"/>
        </w:trPr>
        <w:tc>
          <w:tcPr>
            <w:tcW w:type="dxa" w:w="2436"/>
            <w:vAlign w:val="center"/>
          </w:tcPr>
          <w:p>
            <w:pPr>
              <w:spacing w:line="276" w:lineRule="auto" w:before="0" w:after="0"/>
            </w:pPr>
            <w:r/>
            <w:r>
              <w:rPr>
                <w:rFonts w:ascii="Figtree" w:hAnsi="Figtree"/>
                <w:b w:val="0"/>
                <w:i w:val="0"/>
                <w:sz w:val="20"/>
              </w:rPr>
              <w:t>Configuration</w:t>
            </w:r>
          </w:p>
        </w:tc>
        <w:tc>
          <w:tcPr>
            <w:tcW w:type="dxa" w:w="2436"/>
            <w:vAlign w:val="center"/>
          </w:tcPr>
          <w:p>
            <w:pPr>
              <w:spacing w:line="276" w:lineRule="auto" w:before="0" w:after="0"/>
            </w:pPr>
            <w:r/>
            <w:r>
              <w:rPr>
                <w:rFonts w:ascii="Figtree" w:hAnsi="Figtree"/>
                <w:b w:val="0"/>
                <w:i w:val="0"/>
                <w:sz w:val="20"/>
              </w:rPr>
              <w:t>Infrastructure-as-code; re-deployable</w:t>
            </w:r>
          </w:p>
        </w:tc>
        <w:tc>
          <w:tcPr>
            <w:tcW w:type="dxa" w:w="2436"/>
            <w:vAlign w:val="center"/>
          </w:tcPr>
          <w:p>
            <w:pPr>
              <w:spacing w:line="276" w:lineRule="auto" w:before="0" w:after="0"/>
            </w:pPr>
            <w:r/>
            <w:r>
              <w:rPr>
                <w:rFonts w:ascii="Figtree" w:hAnsi="Figtree"/>
                <w:b w:val="0"/>
                <w:i w:val="0"/>
                <w:sz w:val="20"/>
              </w:rPr>
              <w:t>N/A</w:t>
            </w:r>
          </w:p>
        </w:tc>
        <w:tc>
          <w:tcPr>
            <w:tcW w:type="dxa" w:w="2436"/>
            <w:vAlign w:val="center"/>
          </w:tcPr>
          <w:p>
            <w:pPr>
              <w:spacing w:line="276" w:lineRule="auto" w:before="0" w:after="0"/>
            </w:pPr>
            <w:r/>
            <w:r>
              <w:rPr>
                <w:rFonts w:ascii="Figtree" w:hAnsi="Figtree"/>
                <w:b w:val="0"/>
                <w:i w:val="0"/>
                <w:sz w:val="20"/>
              </w:rPr>
              <w:t>30 minutes</w:t>
            </w:r>
          </w:p>
        </w:tc>
      </w:tr>
      <w:tr>
        <w:trPr>
          <w:trHeight w:val="425" w:hRule="atLeast"/>
        </w:trPr>
        <w:tc>
          <w:tcPr>
            <w:tcW w:type="dxa" w:w="2436"/>
            <w:vAlign w:val="center"/>
          </w:tcPr>
          <w:p>
            <w:pPr>
              <w:spacing w:line="276" w:lineRule="auto" w:before="0" w:after="0"/>
            </w:pPr>
            <w:r/>
            <w:r>
              <w:rPr>
                <w:rFonts w:ascii="Figtree" w:hAnsi="Figtree"/>
                <w:b w:val="0"/>
                <w:i w:val="0"/>
                <w:sz w:val="20"/>
              </w:rPr>
              <w:t>Object storage</w:t>
            </w:r>
          </w:p>
        </w:tc>
        <w:tc>
          <w:tcPr>
            <w:tcW w:type="dxa" w:w="2436"/>
            <w:vAlign w:val="center"/>
          </w:tcPr>
          <w:p>
            <w:pPr>
              <w:spacing w:line="276" w:lineRule="auto" w:before="0" w:after="0"/>
            </w:pPr>
            <w:r/>
            <w:r>
              <w:rPr>
                <w:rFonts w:ascii="Figtree" w:hAnsi="Figtree"/>
                <w:b w:val="0"/>
                <w:i w:val="0"/>
                <w:sz w:val="20"/>
              </w:rPr>
              <w:t>Cross-region replication</w:t>
            </w:r>
          </w:p>
        </w:tc>
        <w:tc>
          <w:tcPr>
            <w:tcW w:type="dxa" w:w="2436"/>
            <w:vAlign w:val="center"/>
          </w:tcPr>
          <w:p>
            <w:pPr>
              <w:spacing w:line="276" w:lineRule="auto" w:before="0" w:after="0"/>
            </w:pPr>
            <w:r/>
            <w:r>
              <w:rPr>
                <w:rFonts w:ascii="Figtree" w:hAnsi="Figtree"/>
                <w:b w:val="0"/>
                <w:i w:val="0"/>
                <w:sz w:val="20"/>
              </w:rPr>
              <w:t>15 minutes</w:t>
            </w:r>
          </w:p>
        </w:tc>
        <w:tc>
          <w:tcPr>
            <w:tcW w:type="dxa" w:w="2436"/>
            <w:vAlign w:val="center"/>
          </w:tcPr>
          <w:p>
            <w:pPr>
              <w:spacing w:line="276" w:lineRule="auto" w:before="0" w:after="0"/>
            </w:pPr>
            <w:r/>
            <w:r>
              <w:rPr>
                <w:rFonts w:ascii="Figtree" w:hAnsi="Figtree"/>
                <w:b w:val="0"/>
                <w:i w:val="0"/>
                <w:sz w:val="20"/>
              </w:rPr>
              <w:t>Immediate</w:t>
            </w:r>
          </w:p>
        </w:tc>
      </w:tr>
      <w:tr>
        <w:trPr>
          <w:trHeight w:val="425" w:hRule="atLeast"/>
        </w:trPr>
        <w:tc>
          <w:tcPr>
            <w:tcW w:type="dxa" w:w="2436"/>
            <w:vAlign w:val="center"/>
          </w:tcPr>
          <w:p>
            <w:pPr>
              <w:spacing w:line="276" w:lineRule="auto" w:before="0" w:after="0"/>
            </w:pPr>
            <w:r/>
            <w:r>
              <w:rPr>
                <w:rFonts w:ascii="Figtree" w:hAnsi="Figtree"/>
                <w:b w:val="0"/>
                <w:i w:val="0"/>
                <w:sz w:val="20"/>
              </w:rPr>
              <w:t>Kubernetes workloads</w:t>
            </w:r>
          </w:p>
        </w:tc>
        <w:tc>
          <w:tcPr>
            <w:tcW w:type="dxa" w:w="2436"/>
            <w:vAlign w:val="center"/>
          </w:tcPr>
          <w:p>
            <w:pPr>
              <w:spacing w:line="276" w:lineRule="auto" w:before="0" w:after="0"/>
            </w:pPr>
            <w:r/>
            <w:r>
              <w:rPr>
                <w:rFonts w:ascii="Figtree" w:hAnsi="Figtree"/>
                <w:b w:val="0"/>
                <w:i w:val="0"/>
                <w:sz w:val="20"/>
              </w:rPr>
              <w:t>Helm charts; re-deployable to DR cluster</w:t>
            </w:r>
          </w:p>
        </w:tc>
        <w:tc>
          <w:tcPr>
            <w:tcW w:type="dxa" w:w="2436"/>
            <w:vAlign w:val="center"/>
          </w:tcPr>
          <w:p>
            <w:pPr>
              <w:spacing w:line="276" w:lineRule="auto" w:before="0" w:after="0"/>
            </w:pPr>
            <w:r/>
            <w:r>
              <w:rPr>
                <w:rFonts w:ascii="Figtree" w:hAnsi="Figtree"/>
                <w:b w:val="0"/>
                <w:i w:val="0"/>
                <w:sz w:val="20"/>
              </w:rPr>
              <w:t>N/A</w:t>
            </w:r>
          </w:p>
        </w:tc>
        <w:tc>
          <w:tcPr>
            <w:tcW w:type="dxa" w:w="2436"/>
            <w:vAlign w:val="center"/>
          </w:tcPr>
          <w:p>
            <w:pPr>
              <w:spacing w:line="276" w:lineRule="auto" w:before="0" w:after="0"/>
            </w:pPr>
            <w:r/>
            <w:r>
              <w:rPr>
                <w:rFonts w:ascii="Figtree" w:hAnsi="Figtree"/>
                <w:b w:val="0"/>
                <w:i w:val="0"/>
                <w:sz w:val="20"/>
              </w:rPr>
              <w:t>30 minutes</w:t>
            </w:r>
          </w:p>
        </w:tc>
      </w:tr>
    </w:tbl>
    <w:p>
      <w:pPr>
        <w:spacing w:before="0" w:after="0" w:line="120" w:lineRule="exact"/>
      </w:pPr>
    </w:p>
    <w:p>
      <w:r>
        <w:rPr>
          <w:rFonts w:ascii="Figtree" w:hAnsi="Figtree"/>
          <w:b/>
          <w:i w:val="0"/>
          <w:sz w:val="22"/>
        </w:rPr>
        <w:t>DR testing:</w:t>
      </w:r>
      <w:r>
        <w:rPr>
          <w:rFonts w:ascii="Figtree" w:hAnsi="Figtree"/>
          <w:b w:val="0"/>
          <w:i w:val="0"/>
          <w:sz w:val="22"/>
        </w:rPr>
        <w:t xml:space="preserve"> SettleMint conducts quarterly DR failover tests, documented with test plans, execution records, and recovery time measurements. Emirates NBD is invited to observe and participate in DR tests.</w:t>
      </w:r>
    </w:p>
    <w:p>
      <w:r>
        <w:rPr>
          <w:rFonts w:ascii="Figtree" w:hAnsi="Figtree"/>
          <w:b/>
          <w:i w:val="0"/>
          <w:sz w:val="22"/>
        </w:rPr>
        <w:t>Backup and restore procedures:</w:t>
      </w:r>
    </w:p>
    <w:p>
      <w:pPr>
        <w:pStyle w:val="ListParagraph"/>
        <w:numPr>
          <w:ilvl w:val="0"/>
          <w:numId w:val="23"/>
        </w:numPr>
      </w:pPr>
      <w:r>
        <w:rPr>
          <w:rFonts w:ascii="Figtree" w:hAnsi="Figtree"/>
          <w:b w:val="0"/>
          <w:i w:val="0"/>
          <w:sz w:val="22"/>
        </w:rPr>
        <w:t>Automated hourly database snapshots retained for 30 days</w:t>
      </w:r>
    </w:p>
    <w:p>
      <w:pPr>
        <w:pStyle w:val="ListParagraph"/>
        <w:numPr>
          <w:ilvl w:val="0"/>
          <w:numId w:val="23"/>
        </w:numPr>
      </w:pPr>
      <w:r>
        <w:rPr>
          <w:rFonts w:ascii="Figtree" w:hAnsi="Figtree"/>
          <w:b w:val="0"/>
          <w:i w:val="0"/>
          <w:sz w:val="22"/>
        </w:rPr>
        <w:t>Continuous blockchain state available through Besu peer synchronization</w:t>
      </w:r>
    </w:p>
    <w:p>
      <w:pPr>
        <w:pStyle w:val="ListParagraph"/>
        <w:numPr>
          <w:ilvl w:val="0"/>
          <w:numId w:val="23"/>
        </w:numPr>
      </w:pPr>
      <w:r>
        <w:rPr>
          <w:rFonts w:ascii="Figtree" w:hAnsi="Figtree"/>
          <w:b w:val="0"/>
          <w:i w:val="0"/>
          <w:sz w:val="22"/>
        </w:rPr>
        <w:t>Configuration artifacts stored in version control (Git) with tagged releases</w:t>
      </w:r>
    </w:p>
    <w:p>
      <w:pPr>
        <w:pStyle w:val="ListParagraph"/>
        <w:numPr>
          <w:ilvl w:val="0"/>
          <w:numId w:val="23"/>
        </w:numPr>
      </w:pPr>
      <w:r>
        <w:rPr>
          <w:rFonts w:ascii="Figtree" w:hAnsi="Figtree"/>
          <w:b w:val="0"/>
          <w:i w:val="0"/>
          <w:sz w:val="22"/>
        </w:rPr>
        <w:t>Object storage versioning enables point-in-time recovery for documents</w:t>
      </w:r>
    </w:p>
    <w:p>
      <w:pPr>
        <w:pStyle w:val="ListParagraph"/>
        <w:numPr>
          <w:ilvl w:val="0"/>
          <w:numId w:val="23"/>
        </w:numPr>
      </w:pPr>
      <w:r>
        <w:rPr>
          <w:rFonts w:ascii="Figtree" w:hAnsi="Figtree"/>
          <w:b w:val="0"/>
          <w:i w:val="0"/>
          <w:sz w:val="22"/>
        </w:rPr>
        <w:t>Documented restore procedures with defined roles and responsibilities</w:t>
      </w:r>
    </w:p>
    <w:p>
      <w:pPr>
        <w:pStyle w:val="ListParagraph"/>
        <w:numPr>
          <w:ilvl w:val="0"/>
          <w:numId w:val="23"/>
        </w:numPr>
      </w:pPr>
      <w:r>
        <w:rPr>
          <w:rFonts w:ascii="Figtree" w:hAnsi="Figtree"/>
          <w:b w:val="0"/>
          <w:i w:val="0"/>
          <w:sz w:val="22"/>
        </w:rPr>
        <w:t>Tested backup and restore procedures validated during Phase 2</w:t>
      </w:r>
    </w:p>
    <w:p>
      <w:pPr>
        <w:pStyle w:val="H4"/>
        <w:numPr>
          <w:ilvl w:val="3"/>
          <w:numId w:val="1"/>
        </w:numPr>
      </w:pPr>
      <w:r>
        <w:t>Capacity Planning</w:t>
      </w:r>
    </w:p>
    <w:p>
      <w:r>
        <w:rPr>
          <w:rFonts w:ascii="Figtree" w:hAnsi="Figtree"/>
          <w:b w:val="0"/>
          <w:i w:val="0"/>
          <w:sz w:val="22"/>
        </w:rPr>
        <w:t>The initial deployment is sized for Emirates NBD's projected launch workloads with headroom for growth:</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931"/>
        <w:gridCol w:w="2419"/>
        <w:gridCol w:w="272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Initial Capacity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Growth Headroom</w:t>
            </w:r>
          </w:p>
        </w:tc>
      </w:tr>
      <w:tr>
        <w:trPr>
          <w:trHeight w:val="425" w:hRule="atLeast"/>
        </w:trPr>
        <w:tc>
          <w:tcPr>
            <w:tcW w:type="dxa" w:w="3249"/>
            <w:vAlign w:val="center"/>
          </w:tcPr>
          <w:p>
            <w:pPr>
              <w:spacing w:line="276" w:lineRule="auto" w:before="0" w:after="0"/>
            </w:pPr>
            <w:r/>
            <w:r>
              <w:rPr>
                <w:rFonts w:ascii="Figtree" w:hAnsi="Figtree"/>
                <w:b w:val="0"/>
                <w:i w:val="0"/>
                <w:sz w:val="20"/>
              </w:rPr>
              <w:t>Transactions per day</w:t>
            </w:r>
          </w:p>
        </w:tc>
        <w:tc>
          <w:tcPr>
            <w:tcW w:type="dxa" w:w="3249"/>
            <w:vAlign w:val="center"/>
          </w:tcPr>
          <w:p>
            <w:pPr>
              <w:spacing w:line="276" w:lineRule="auto" w:before="0" w:after="0"/>
            </w:pPr>
            <w:r/>
            <w:r>
              <w:rPr>
                <w:rFonts w:ascii="Figtree" w:hAnsi="Figtree"/>
                <w:b w:val="0"/>
                <w:i w:val="0"/>
                <w:sz w:val="20"/>
              </w:rPr>
              <w:t>10,000</w:t>
            </w:r>
          </w:p>
        </w:tc>
        <w:tc>
          <w:tcPr>
            <w:tcW w:type="dxa" w:w="3249"/>
            <w:vAlign w:val="center"/>
          </w:tcPr>
          <w:p>
            <w:pPr>
              <w:spacing w:line="276" w:lineRule="auto" w:before="0" w:after="0"/>
            </w:pPr>
            <w:r/>
            <w:r>
              <w:rPr>
                <w:rFonts w:ascii="Figtree" w:hAnsi="Figtree"/>
                <w:b w:val="0"/>
                <w:i w:val="0"/>
                <w:sz w:val="20"/>
              </w:rPr>
              <w:t>50,000 (5× growth)</w:t>
            </w:r>
          </w:p>
        </w:tc>
      </w:tr>
      <w:tr>
        <w:trPr>
          <w:trHeight w:val="425" w:hRule="atLeast"/>
        </w:trPr>
        <w:tc>
          <w:tcPr>
            <w:tcW w:type="dxa" w:w="3249"/>
            <w:vAlign w:val="center"/>
          </w:tcPr>
          <w:p>
            <w:pPr>
              <w:spacing w:line="276" w:lineRule="auto" w:before="0" w:after="0"/>
            </w:pPr>
            <w:r/>
            <w:r>
              <w:rPr>
                <w:rFonts w:ascii="Figtree" w:hAnsi="Figtree"/>
                <w:b w:val="0"/>
                <w:i w:val="0"/>
                <w:sz w:val="20"/>
              </w:rPr>
              <w:t>Concurrent API connections</w:t>
            </w:r>
          </w:p>
        </w:tc>
        <w:tc>
          <w:tcPr>
            <w:tcW w:type="dxa" w:w="3249"/>
            <w:vAlign w:val="center"/>
          </w:tcPr>
          <w:p>
            <w:pPr>
              <w:spacing w:line="276" w:lineRule="auto" w:before="0" w:after="0"/>
            </w:pPr>
            <w:r/>
            <w:r>
              <w:rPr>
                <w:rFonts w:ascii="Figtree" w:hAnsi="Figtree"/>
                <w:b w:val="0"/>
                <w:i w:val="0"/>
                <w:sz w:val="20"/>
              </w:rPr>
              <w:t>500</w:t>
            </w:r>
          </w:p>
        </w:tc>
        <w:tc>
          <w:tcPr>
            <w:tcW w:type="dxa" w:w="3249"/>
            <w:vAlign w:val="center"/>
          </w:tcPr>
          <w:p>
            <w:pPr>
              <w:spacing w:line="276" w:lineRule="auto" w:before="0" w:after="0"/>
            </w:pPr>
            <w:r/>
            <w:r>
              <w:rPr>
                <w:rFonts w:ascii="Figtree" w:hAnsi="Figtree"/>
                <w:b w:val="0"/>
                <w:i w:val="0"/>
                <w:sz w:val="20"/>
              </w:rPr>
              <w:t>2,000</w:t>
            </w:r>
          </w:p>
        </w:tc>
      </w:tr>
      <w:tr>
        <w:trPr>
          <w:trHeight w:val="425" w:hRule="atLeast"/>
        </w:trPr>
        <w:tc>
          <w:tcPr>
            <w:tcW w:type="dxa" w:w="3249"/>
            <w:vAlign w:val="center"/>
          </w:tcPr>
          <w:p>
            <w:pPr>
              <w:spacing w:line="276" w:lineRule="auto" w:before="0" w:after="0"/>
            </w:pPr>
            <w:r/>
            <w:r>
              <w:rPr>
                <w:rFonts w:ascii="Figtree" w:hAnsi="Figtree"/>
                <w:b w:val="0"/>
                <w:i w:val="0"/>
                <w:sz w:val="20"/>
              </w:rPr>
              <w:t>Token contracts deployed</w:t>
            </w:r>
          </w:p>
        </w:tc>
        <w:tc>
          <w:tcPr>
            <w:tcW w:type="dxa" w:w="3249"/>
            <w:vAlign w:val="center"/>
          </w:tcPr>
          <w:p>
            <w:pPr>
              <w:spacing w:line="276" w:lineRule="auto" w:before="0" w:after="0"/>
            </w:pPr>
            <w:r/>
            <w:r>
              <w:rPr>
                <w:rFonts w:ascii="Figtree" w:hAnsi="Figtree"/>
                <w:b w:val="0"/>
                <w:i w:val="0"/>
                <w:sz w:val="20"/>
              </w:rPr>
              <w:t>50</w:t>
            </w:r>
          </w:p>
        </w:tc>
        <w:tc>
          <w:tcPr>
            <w:tcW w:type="dxa" w:w="3249"/>
            <w:vAlign w:val="center"/>
          </w:tcPr>
          <w:p>
            <w:pPr>
              <w:spacing w:line="276" w:lineRule="auto" w:before="0" w:after="0"/>
            </w:pPr>
            <w:r/>
            <w:r>
              <w:rPr>
                <w:rFonts w:ascii="Figtree" w:hAnsi="Figtree"/>
                <w:b w:val="0"/>
                <w:i w:val="0"/>
                <w:sz w:val="20"/>
              </w:rPr>
              <w:t>500</w:t>
            </w:r>
          </w:p>
        </w:tc>
      </w:tr>
      <w:tr>
        <w:trPr>
          <w:trHeight w:val="425" w:hRule="atLeast"/>
        </w:trPr>
        <w:tc>
          <w:tcPr>
            <w:tcW w:type="dxa" w:w="3249"/>
            <w:vAlign w:val="center"/>
          </w:tcPr>
          <w:p>
            <w:pPr>
              <w:spacing w:line="276" w:lineRule="auto" w:before="0" w:after="0"/>
            </w:pPr>
            <w:r/>
            <w:r>
              <w:rPr>
                <w:rFonts w:ascii="Figtree" w:hAnsi="Figtree"/>
                <w:b w:val="0"/>
                <w:i w:val="0"/>
                <w:sz w:val="20"/>
              </w:rPr>
              <w:t>Identity registrations</w:t>
            </w:r>
          </w:p>
        </w:tc>
        <w:tc>
          <w:tcPr>
            <w:tcW w:type="dxa" w:w="3249"/>
            <w:vAlign w:val="center"/>
          </w:tcPr>
          <w:p>
            <w:pPr>
              <w:spacing w:line="276" w:lineRule="auto" w:before="0" w:after="0"/>
            </w:pPr>
            <w:r/>
            <w:r>
              <w:rPr>
                <w:rFonts w:ascii="Figtree" w:hAnsi="Figtree"/>
                <w:b w:val="0"/>
                <w:i w:val="0"/>
                <w:sz w:val="20"/>
              </w:rPr>
              <w:t>1,000</w:t>
            </w:r>
          </w:p>
        </w:tc>
        <w:tc>
          <w:tcPr>
            <w:tcW w:type="dxa" w:w="3249"/>
            <w:vAlign w:val="center"/>
          </w:tcPr>
          <w:p>
            <w:pPr>
              <w:spacing w:line="276" w:lineRule="auto" w:before="0" w:after="0"/>
            </w:pPr>
            <w:r/>
            <w:r>
              <w:rPr>
                <w:rFonts w:ascii="Figtree" w:hAnsi="Figtree"/>
                <w:b w:val="0"/>
                <w:i w:val="0"/>
                <w:sz w:val="20"/>
              </w:rPr>
              <w:t>10,000</w:t>
            </w:r>
          </w:p>
        </w:tc>
      </w:tr>
      <w:tr>
        <w:trPr>
          <w:trHeight w:val="425" w:hRule="atLeast"/>
        </w:trPr>
        <w:tc>
          <w:tcPr>
            <w:tcW w:type="dxa" w:w="3249"/>
            <w:vAlign w:val="center"/>
          </w:tcPr>
          <w:p>
            <w:pPr>
              <w:spacing w:line="276" w:lineRule="auto" w:before="0" w:after="0"/>
            </w:pPr>
            <w:r/>
            <w:r>
              <w:rPr>
                <w:rFonts w:ascii="Figtree" w:hAnsi="Figtree"/>
                <w:b w:val="0"/>
                <w:i w:val="0"/>
                <w:sz w:val="20"/>
              </w:rPr>
              <w:t>Document storage</w:t>
            </w:r>
          </w:p>
        </w:tc>
        <w:tc>
          <w:tcPr>
            <w:tcW w:type="dxa" w:w="3249"/>
            <w:vAlign w:val="center"/>
          </w:tcPr>
          <w:p>
            <w:pPr>
              <w:spacing w:line="276" w:lineRule="auto" w:before="0" w:after="0"/>
            </w:pPr>
            <w:r/>
            <w:r>
              <w:rPr>
                <w:rFonts w:ascii="Figtree" w:hAnsi="Figtree"/>
                <w:b w:val="0"/>
                <w:i w:val="0"/>
                <w:sz w:val="20"/>
              </w:rPr>
              <w:t>100 GB</w:t>
            </w:r>
          </w:p>
        </w:tc>
        <w:tc>
          <w:tcPr>
            <w:tcW w:type="dxa" w:w="3249"/>
            <w:vAlign w:val="center"/>
          </w:tcPr>
          <w:p>
            <w:pPr>
              <w:spacing w:line="276" w:lineRule="auto" w:before="0" w:after="0"/>
            </w:pPr>
            <w:r/>
            <w:r>
              <w:rPr>
                <w:rFonts w:ascii="Figtree" w:hAnsi="Figtree"/>
                <w:b w:val="0"/>
                <w:i w:val="0"/>
                <w:sz w:val="20"/>
              </w:rPr>
              <w:t>1 TB</w:t>
            </w:r>
          </w:p>
        </w:tc>
      </w:tr>
    </w:tbl>
    <w:p>
      <w:pPr>
        <w:spacing w:before="0" w:after="0" w:line="120" w:lineRule="exact"/>
      </w:pPr>
    </w:p>
    <w:p>
      <w:r>
        <w:rPr>
          <w:rFonts w:ascii="Figtree" w:hAnsi="Figtree"/>
          <w:b w:val="0"/>
          <w:i w:val="0"/>
          <w:sz w:val="22"/>
        </w:rPr>
        <w:t>Capacity planning is reviewed quarterly during the Premium Support business review cycle. Scaling recommendations are provided proactively when utilization approaches configured thresholds.</w:t>
      </w:r>
    </w:p>
    <w:p>
      <w:pPr>
        <w:pStyle w:val="H3"/>
        <w:numPr>
          <w:ilvl w:val="2"/>
          <w:numId w:val="1"/>
        </w:numPr>
      </w:pPr>
      <w:r>
        <w:t>Appendix: Detailed Training Programme</w:t>
      </w:r>
    </w:p>
    <w:p>
      <w:pPr>
        <w:pStyle w:val="H4"/>
        <w:numPr>
          <w:ilvl w:val="3"/>
          <w:numId w:val="1"/>
        </w:numPr>
      </w:pPr>
      <w:r>
        <w:t>Administrator Track (3 Days)</w:t>
      </w:r>
    </w:p>
    <w:p>
      <w:r>
        <w:rPr>
          <w:rFonts w:ascii="Figtree" w:hAnsi="Figtree"/>
          <w:b/>
          <w:i w:val="0"/>
          <w:sz w:val="22"/>
        </w:rPr>
        <w:t>Day 1: Platform Fundamentals</w:t>
      </w:r>
    </w:p>
    <w:p>
      <w:pPr>
        <w:pStyle w:val="ListParagraph"/>
        <w:numPr>
          <w:ilvl w:val="0"/>
          <w:numId w:val="4"/>
        </w:numPr>
      </w:pPr>
      <w:r>
        <w:rPr>
          <w:rFonts w:ascii="Figtree" w:hAnsi="Figtree"/>
          <w:b w:val="0"/>
          <w:i w:val="0"/>
          <w:sz w:val="22"/>
        </w:rPr>
        <w:t>DALP architecture overview (non-technical perspective)</w:t>
      </w:r>
    </w:p>
    <w:p>
      <w:pPr>
        <w:pStyle w:val="ListParagraph"/>
        <w:numPr>
          <w:ilvl w:val="0"/>
          <w:numId w:val="4"/>
        </w:numPr>
      </w:pPr>
      <w:r>
        <w:rPr>
          <w:rFonts w:ascii="Figtree" w:hAnsi="Figtree"/>
          <w:b w:val="0"/>
          <w:i w:val="0"/>
          <w:sz w:val="22"/>
        </w:rPr>
        <w:t>Navigation and dashboard interpretation</w:t>
      </w:r>
    </w:p>
    <w:p>
      <w:pPr>
        <w:pStyle w:val="ListParagraph"/>
        <w:numPr>
          <w:ilvl w:val="0"/>
          <w:numId w:val="4"/>
        </w:numPr>
      </w:pPr>
      <w:r>
        <w:rPr>
          <w:rFonts w:ascii="Figtree" w:hAnsi="Figtree"/>
          <w:b w:val="0"/>
          <w:i w:val="0"/>
          <w:sz w:val="22"/>
        </w:rPr>
        <w:t>User management and RBAC assignment</w:t>
      </w:r>
    </w:p>
    <w:p>
      <w:pPr>
        <w:pStyle w:val="ListParagraph"/>
        <w:numPr>
          <w:ilvl w:val="0"/>
          <w:numId w:val="4"/>
        </w:numPr>
      </w:pPr>
      <w:r>
        <w:rPr>
          <w:rFonts w:ascii="Figtree" w:hAnsi="Figtree"/>
          <w:b w:val="0"/>
          <w:i w:val="0"/>
          <w:sz w:val="22"/>
        </w:rPr>
        <w:t>Organization and multi-tenant configuration</w:t>
      </w:r>
    </w:p>
    <w:p>
      <w:pPr>
        <w:pStyle w:val="ListParagraph"/>
        <w:numPr>
          <w:ilvl w:val="0"/>
          <w:numId w:val="4"/>
        </w:numPr>
      </w:pPr>
      <w:r>
        <w:rPr>
          <w:rFonts w:ascii="Figtree" w:hAnsi="Figtree"/>
          <w:b w:val="0"/>
          <w:i w:val="0"/>
          <w:sz w:val="22"/>
        </w:rPr>
        <w:t>Lab: Create users, assign roles, navigate dashboards</w:t>
      </w:r>
    </w:p>
    <w:p>
      <w:r>
        <w:rPr>
          <w:rFonts w:ascii="Figtree" w:hAnsi="Figtree"/>
          <w:b/>
          <w:i w:val="0"/>
          <w:sz w:val="22"/>
        </w:rPr>
        <w:t>Day 2: Asset and Compliance Administration</w:t>
      </w:r>
    </w:p>
    <w:p>
      <w:pPr>
        <w:pStyle w:val="ListParagraph"/>
        <w:numPr>
          <w:ilvl w:val="0"/>
          <w:numId w:val="4"/>
        </w:numPr>
      </w:pPr>
      <w:r>
        <w:rPr>
          <w:rFonts w:ascii="Figtree" w:hAnsi="Figtree"/>
          <w:b w:val="0"/>
          <w:i w:val="0"/>
          <w:sz w:val="22"/>
        </w:rPr>
        <w:t>Asset Designer walkthrough (deposits and trade finance)</w:t>
      </w:r>
    </w:p>
    <w:p>
      <w:pPr>
        <w:pStyle w:val="ListParagraph"/>
        <w:numPr>
          <w:ilvl w:val="0"/>
          <w:numId w:val="4"/>
        </w:numPr>
      </w:pPr>
      <w:r>
        <w:rPr>
          <w:rFonts w:ascii="Figtree" w:hAnsi="Figtree"/>
          <w:b w:val="0"/>
          <w:i w:val="0"/>
          <w:sz w:val="22"/>
        </w:rPr>
        <w:t>Compliance module configuration and management</w:t>
      </w:r>
    </w:p>
    <w:p>
      <w:pPr>
        <w:pStyle w:val="ListParagraph"/>
        <w:numPr>
          <w:ilvl w:val="0"/>
          <w:numId w:val="4"/>
        </w:numPr>
      </w:pPr>
      <w:r>
        <w:rPr>
          <w:rFonts w:ascii="Figtree" w:hAnsi="Figtree"/>
          <w:b w:val="0"/>
          <w:i w:val="0"/>
          <w:sz w:val="22"/>
        </w:rPr>
        <w:t>Identity management and trusted issuer administration</w:t>
      </w:r>
    </w:p>
    <w:p>
      <w:pPr>
        <w:pStyle w:val="ListParagraph"/>
        <w:numPr>
          <w:ilvl w:val="0"/>
          <w:numId w:val="4"/>
        </w:numPr>
      </w:pPr>
      <w:r>
        <w:rPr>
          <w:rFonts w:ascii="Figtree" w:hAnsi="Figtree"/>
          <w:b w:val="0"/>
          <w:i w:val="0"/>
          <w:sz w:val="22"/>
        </w:rPr>
        <w:t>Settlement configuration (XvP, yield schedules)</w:t>
      </w:r>
    </w:p>
    <w:p>
      <w:pPr>
        <w:pStyle w:val="ListParagraph"/>
        <w:numPr>
          <w:ilvl w:val="0"/>
          <w:numId w:val="4"/>
        </w:numPr>
      </w:pPr>
      <w:r>
        <w:rPr>
          <w:rFonts w:ascii="Figtree" w:hAnsi="Figtree"/>
          <w:b w:val="0"/>
          <w:i w:val="0"/>
          <w:sz w:val="22"/>
        </w:rPr>
        <w:t>Lab: Configure a deposit product end-to-end; add compliance modules</w:t>
      </w:r>
    </w:p>
    <w:p>
      <w:r>
        <w:rPr>
          <w:rFonts w:ascii="Figtree" w:hAnsi="Figtree"/>
          <w:b/>
          <w:i w:val="0"/>
          <w:sz w:val="22"/>
        </w:rPr>
        <w:t>Day 3: Operations and Monitoring</w:t>
      </w:r>
    </w:p>
    <w:p>
      <w:pPr>
        <w:pStyle w:val="ListParagraph"/>
        <w:numPr>
          <w:ilvl w:val="0"/>
          <w:numId w:val="4"/>
        </w:numPr>
      </w:pPr>
      <w:r>
        <w:rPr>
          <w:rFonts w:ascii="Figtree" w:hAnsi="Figtree"/>
          <w:b w:val="0"/>
          <w:i w:val="0"/>
          <w:sz w:val="22"/>
        </w:rPr>
        <w:t>Monitoring dashboard interpretation and customization</w:t>
      </w:r>
    </w:p>
    <w:p>
      <w:pPr>
        <w:pStyle w:val="ListParagraph"/>
        <w:numPr>
          <w:ilvl w:val="0"/>
          <w:numId w:val="4"/>
        </w:numPr>
      </w:pPr>
      <w:r>
        <w:rPr>
          <w:rFonts w:ascii="Figtree" w:hAnsi="Figtree"/>
          <w:b w:val="0"/>
          <w:i w:val="0"/>
          <w:sz w:val="22"/>
        </w:rPr>
        <w:t>Alert configuration and escalation setup</w:t>
      </w:r>
    </w:p>
    <w:p>
      <w:pPr>
        <w:pStyle w:val="ListParagraph"/>
        <w:numPr>
          <w:ilvl w:val="0"/>
          <w:numId w:val="4"/>
        </w:numPr>
      </w:pPr>
      <w:r>
        <w:rPr>
          <w:rFonts w:ascii="Figtree" w:hAnsi="Figtree"/>
          <w:b w:val="0"/>
          <w:i w:val="0"/>
          <w:sz w:val="22"/>
        </w:rPr>
        <w:t>Incident response procedures</w:t>
      </w:r>
    </w:p>
    <w:p>
      <w:pPr>
        <w:pStyle w:val="ListParagraph"/>
        <w:numPr>
          <w:ilvl w:val="0"/>
          <w:numId w:val="4"/>
        </w:numPr>
      </w:pPr>
      <w:r>
        <w:rPr>
          <w:rFonts w:ascii="Figtree" w:hAnsi="Figtree"/>
          <w:b w:val="0"/>
          <w:i w:val="0"/>
          <w:sz w:val="22"/>
        </w:rPr>
        <w:t>Backup verification and DR awareness</w:t>
      </w:r>
    </w:p>
    <w:p>
      <w:pPr>
        <w:pStyle w:val="ListParagraph"/>
        <w:numPr>
          <w:ilvl w:val="0"/>
          <w:numId w:val="4"/>
        </w:numPr>
      </w:pPr>
      <w:r>
        <w:rPr>
          <w:rFonts w:ascii="Figtree" w:hAnsi="Figtree"/>
          <w:b w:val="0"/>
          <w:i w:val="0"/>
          <w:sz w:val="22"/>
        </w:rPr>
        <w:t>Lab: Simulate operational scenarios (failed transaction, compliance veto, limit breach)</w:t>
      </w:r>
    </w:p>
    <w:p>
      <w:pPr>
        <w:pStyle w:val="H4"/>
        <w:numPr>
          <w:ilvl w:val="3"/>
          <w:numId w:val="1"/>
        </w:numPr>
      </w:pPr>
      <w:r>
        <w:t>Developer / Integration Track (3 Days)</w:t>
      </w:r>
    </w:p>
    <w:p>
      <w:r>
        <w:rPr>
          <w:rFonts w:ascii="Figtree" w:hAnsi="Figtree"/>
          <w:b/>
          <w:i w:val="0"/>
          <w:sz w:val="22"/>
        </w:rPr>
        <w:t>Day 1: API and SDK Fundamentals</w:t>
      </w:r>
    </w:p>
    <w:p>
      <w:pPr>
        <w:pStyle w:val="ListParagraph"/>
        <w:numPr>
          <w:ilvl w:val="0"/>
          <w:numId w:val="4"/>
        </w:numPr>
      </w:pPr>
      <w:r>
        <w:rPr>
          <w:rFonts w:ascii="Figtree" w:hAnsi="Figtree"/>
          <w:b w:val="0"/>
          <w:i w:val="0"/>
          <w:sz w:val="22"/>
        </w:rPr>
        <w:t>REST API v2 overview and authentication</w:t>
      </w:r>
    </w:p>
    <w:p>
      <w:pPr>
        <w:pStyle w:val="ListParagraph"/>
        <w:numPr>
          <w:ilvl w:val="0"/>
          <w:numId w:val="4"/>
        </w:numPr>
      </w:pPr>
      <w:r>
        <w:rPr>
          <w:rFonts w:ascii="Figtree" w:hAnsi="Figtree"/>
          <w:b w:val="0"/>
          <w:i w:val="0"/>
          <w:sz w:val="22"/>
        </w:rPr>
        <w:t>OpenAPI specification navigation</w:t>
      </w:r>
    </w:p>
    <w:p>
      <w:pPr>
        <w:pStyle w:val="ListParagraph"/>
        <w:numPr>
          <w:ilvl w:val="0"/>
          <w:numId w:val="4"/>
        </w:numPr>
      </w:pPr>
      <w:r>
        <w:rPr>
          <w:rFonts w:ascii="Figtree" w:hAnsi="Figtree"/>
          <w:b w:val="0"/>
          <w:i w:val="0"/>
          <w:sz w:val="22"/>
        </w:rPr>
        <w:t>TypeScript SDK setup and usage patterns</w:t>
      </w:r>
    </w:p>
    <w:p>
      <w:pPr>
        <w:pStyle w:val="ListParagraph"/>
        <w:numPr>
          <w:ilvl w:val="0"/>
          <w:numId w:val="4"/>
        </w:numPr>
      </w:pPr>
      <w:r>
        <w:rPr>
          <w:rFonts w:ascii="Figtree" w:hAnsi="Figtree"/>
          <w:b w:val="0"/>
          <w:i w:val="0"/>
          <w:sz w:val="22"/>
        </w:rPr>
        <w:t>API key management and scope configuration</w:t>
      </w:r>
    </w:p>
    <w:p>
      <w:pPr>
        <w:pStyle w:val="ListParagraph"/>
        <w:numPr>
          <w:ilvl w:val="0"/>
          <w:numId w:val="4"/>
        </w:numPr>
      </w:pPr>
      <w:r>
        <w:rPr>
          <w:rFonts w:ascii="Figtree" w:hAnsi="Figtree"/>
          <w:b w:val="0"/>
          <w:i w:val="0"/>
          <w:sz w:val="22"/>
        </w:rPr>
        <w:t>Lab: Create API keys, make authenticated requests, explore SDK</w:t>
      </w:r>
    </w:p>
    <w:p>
      <w:r>
        <w:rPr>
          <w:rFonts w:ascii="Figtree" w:hAnsi="Figtree"/>
          <w:b/>
          <w:i w:val="0"/>
          <w:sz w:val="22"/>
        </w:rPr>
        <w:t>Day 2: Integration Patterns</w:t>
      </w:r>
    </w:p>
    <w:p>
      <w:pPr>
        <w:pStyle w:val="ListParagraph"/>
        <w:numPr>
          <w:ilvl w:val="0"/>
          <w:numId w:val="4"/>
        </w:numPr>
      </w:pPr>
      <w:r>
        <w:rPr>
          <w:rFonts w:ascii="Figtree" w:hAnsi="Figtree"/>
          <w:b w:val="0"/>
          <w:i w:val="0"/>
          <w:sz w:val="22"/>
        </w:rPr>
        <w:t>Webhook configuration and event handling</w:t>
      </w:r>
    </w:p>
    <w:p>
      <w:pPr>
        <w:pStyle w:val="ListParagraph"/>
        <w:numPr>
          <w:ilvl w:val="0"/>
          <w:numId w:val="4"/>
        </w:numPr>
      </w:pPr>
      <w:r>
        <w:rPr>
          <w:rFonts w:ascii="Figtree" w:hAnsi="Figtree"/>
          <w:b w:val="0"/>
          <w:i w:val="0"/>
          <w:sz w:val="22"/>
        </w:rPr>
        <w:t>CLI automation for operational scripting</w:t>
      </w:r>
    </w:p>
    <w:p>
      <w:pPr>
        <w:pStyle w:val="ListParagraph"/>
        <w:numPr>
          <w:ilvl w:val="0"/>
          <w:numId w:val="4"/>
        </w:numPr>
      </w:pPr>
      <w:r>
        <w:rPr>
          <w:rFonts w:ascii="Figtree" w:hAnsi="Figtree"/>
          <w:b w:val="0"/>
          <w:i w:val="0"/>
          <w:sz w:val="22"/>
        </w:rPr>
        <w:t>Server-sent events for real-time integration</w:t>
      </w:r>
    </w:p>
    <w:p>
      <w:pPr>
        <w:pStyle w:val="ListParagraph"/>
        <w:numPr>
          <w:ilvl w:val="0"/>
          <w:numId w:val="4"/>
        </w:numPr>
      </w:pPr>
      <w:r>
        <w:rPr>
          <w:rFonts w:ascii="Figtree" w:hAnsi="Figtree"/>
          <w:b w:val="0"/>
          <w:i w:val="0"/>
          <w:sz w:val="22"/>
        </w:rPr>
        <w:t>GraphQL queries for reporting and analytics</w:t>
      </w:r>
    </w:p>
    <w:p>
      <w:pPr>
        <w:pStyle w:val="ListParagraph"/>
        <w:numPr>
          <w:ilvl w:val="0"/>
          <w:numId w:val="4"/>
        </w:numPr>
      </w:pPr>
      <w:r>
        <w:rPr>
          <w:rFonts w:ascii="Figtree" w:hAnsi="Figtree"/>
          <w:b w:val="0"/>
          <w:i w:val="0"/>
          <w:sz w:val="22"/>
        </w:rPr>
        <w:t>Lab: Build a webhook receiver; write CLI automation scripts</w:t>
      </w:r>
    </w:p>
    <w:p>
      <w:r>
        <w:rPr>
          <w:rFonts w:ascii="Figtree" w:hAnsi="Figtree"/>
          <w:b/>
          <w:i w:val="0"/>
          <w:sz w:val="22"/>
        </w:rPr>
        <w:t>Day 3: Advanced Integration</w:t>
      </w:r>
    </w:p>
    <w:p>
      <w:pPr>
        <w:pStyle w:val="ListParagraph"/>
        <w:numPr>
          <w:ilvl w:val="0"/>
          <w:numId w:val="4"/>
        </w:numPr>
      </w:pPr>
      <w:r>
        <w:rPr>
          <w:rFonts w:ascii="Figtree" w:hAnsi="Figtree"/>
          <w:b w:val="0"/>
          <w:i w:val="0"/>
          <w:sz w:val="22"/>
        </w:rPr>
        <w:t>Core banking integration patterns (deposit lifecycle)</w:t>
      </w:r>
    </w:p>
    <w:p>
      <w:pPr>
        <w:pStyle w:val="ListParagraph"/>
        <w:numPr>
          <w:ilvl w:val="0"/>
          <w:numId w:val="4"/>
        </w:numPr>
      </w:pPr>
      <w:r>
        <w:rPr>
          <w:rFonts w:ascii="Figtree" w:hAnsi="Figtree"/>
          <w:b w:val="0"/>
          <w:i w:val="0"/>
          <w:sz w:val="22"/>
        </w:rPr>
        <w:t>Trade finance workflow integration (milestone events)</w:t>
      </w:r>
    </w:p>
    <w:p>
      <w:pPr>
        <w:pStyle w:val="ListParagraph"/>
        <w:numPr>
          <w:ilvl w:val="0"/>
          <w:numId w:val="4"/>
        </w:numPr>
      </w:pPr>
      <w:r>
        <w:rPr>
          <w:rFonts w:ascii="Figtree" w:hAnsi="Figtree"/>
          <w:b w:val="0"/>
          <w:i w:val="0"/>
          <w:sz w:val="22"/>
        </w:rPr>
        <w:t>Identity management integration (KYC claim feeds)</w:t>
      </w:r>
    </w:p>
    <w:p>
      <w:pPr>
        <w:pStyle w:val="ListParagraph"/>
        <w:numPr>
          <w:ilvl w:val="0"/>
          <w:numId w:val="4"/>
        </w:numPr>
      </w:pPr>
      <w:r>
        <w:rPr>
          <w:rFonts w:ascii="Figtree" w:hAnsi="Figtree"/>
          <w:b w:val="0"/>
          <w:i w:val="0"/>
          <w:sz w:val="22"/>
        </w:rPr>
        <w:t>Error handling and retry strategies</w:t>
      </w:r>
    </w:p>
    <w:p>
      <w:pPr>
        <w:pStyle w:val="ListParagraph"/>
        <w:numPr>
          <w:ilvl w:val="0"/>
          <w:numId w:val="4"/>
        </w:numPr>
      </w:pPr>
      <w:r>
        <w:rPr>
          <w:rFonts w:ascii="Figtree" w:hAnsi="Figtree"/>
          <w:b w:val="0"/>
          <w:i w:val="0"/>
          <w:sz w:val="22"/>
        </w:rPr>
        <w:t>Lab: Build end-to-end integration for a deposit lifecycle scenario</w:t>
      </w:r>
    </w:p>
    <w:p>
      <w:pPr>
        <w:pStyle w:val="H4"/>
        <w:numPr>
          <w:ilvl w:val="3"/>
          <w:numId w:val="1"/>
        </w:numPr>
      </w:pPr>
      <w:r>
        <w:t>Operations Track (2 Days)</w:t>
      </w:r>
    </w:p>
    <w:p>
      <w:r>
        <w:rPr>
          <w:rFonts w:ascii="Figtree" w:hAnsi="Figtree"/>
          <w:b/>
          <w:i w:val="0"/>
          <w:sz w:val="22"/>
        </w:rPr>
        <w:t>Day 1: Day-to-Day Operations</w:t>
      </w:r>
    </w:p>
    <w:p>
      <w:pPr>
        <w:pStyle w:val="ListParagraph"/>
        <w:numPr>
          <w:ilvl w:val="0"/>
          <w:numId w:val="4"/>
        </w:numPr>
      </w:pPr>
      <w:r>
        <w:rPr>
          <w:rFonts w:ascii="Figtree" w:hAnsi="Figtree"/>
          <w:b w:val="0"/>
          <w:i w:val="0"/>
          <w:sz w:val="22"/>
        </w:rPr>
        <w:t>Deposit operations (creation, distribution, monitoring, maturity processing)</w:t>
      </w:r>
    </w:p>
    <w:p>
      <w:pPr>
        <w:pStyle w:val="ListParagraph"/>
        <w:numPr>
          <w:ilvl w:val="0"/>
          <w:numId w:val="4"/>
        </w:numPr>
      </w:pPr>
      <w:r>
        <w:rPr>
          <w:rFonts w:ascii="Figtree" w:hAnsi="Figtree"/>
          <w:b w:val="0"/>
          <w:i w:val="0"/>
          <w:sz w:val="22"/>
        </w:rPr>
        <w:t>Trade finance workflow management (document handling, milestone tracking)</w:t>
      </w:r>
    </w:p>
    <w:p>
      <w:pPr>
        <w:pStyle w:val="ListParagraph"/>
        <w:numPr>
          <w:ilvl w:val="0"/>
          <w:numId w:val="4"/>
        </w:numPr>
      </w:pPr>
      <w:r>
        <w:rPr>
          <w:rFonts w:ascii="Figtree" w:hAnsi="Figtree"/>
          <w:b w:val="0"/>
          <w:i w:val="0"/>
          <w:sz w:val="22"/>
        </w:rPr>
        <w:t>Settlement monitoring and exception handling</w:t>
      </w:r>
    </w:p>
    <w:p>
      <w:pPr>
        <w:pStyle w:val="ListParagraph"/>
        <w:numPr>
          <w:ilvl w:val="0"/>
          <w:numId w:val="4"/>
        </w:numPr>
      </w:pPr>
      <w:r>
        <w:rPr>
          <w:rFonts w:ascii="Figtree" w:hAnsi="Figtree"/>
          <w:b w:val="0"/>
          <w:i w:val="0"/>
          <w:sz w:val="22"/>
        </w:rPr>
        <w:t>Compliance event review and resolution</w:t>
      </w:r>
    </w:p>
    <w:p>
      <w:pPr>
        <w:pStyle w:val="ListParagraph"/>
        <w:numPr>
          <w:ilvl w:val="0"/>
          <w:numId w:val="4"/>
        </w:numPr>
      </w:pPr>
      <w:r>
        <w:rPr>
          <w:rFonts w:ascii="Figtree" w:hAnsi="Figtree"/>
          <w:b w:val="0"/>
          <w:i w:val="0"/>
          <w:sz w:val="22"/>
        </w:rPr>
        <w:t>Lab: Process deposit lifecycle scenarios; manage trade finance milestones</w:t>
      </w:r>
    </w:p>
    <w:p>
      <w:r>
        <w:rPr>
          <w:rFonts w:ascii="Figtree" w:hAnsi="Figtree"/>
          <w:b/>
          <w:i w:val="0"/>
          <w:sz w:val="22"/>
        </w:rPr>
        <w:t>Day 2: Reporting and Audit</w:t>
      </w:r>
    </w:p>
    <w:p>
      <w:pPr>
        <w:pStyle w:val="ListParagraph"/>
        <w:numPr>
          <w:ilvl w:val="0"/>
          <w:numId w:val="4"/>
        </w:numPr>
      </w:pPr>
      <w:r>
        <w:rPr>
          <w:rFonts w:ascii="Figtree" w:hAnsi="Figtree"/>
          <w:b w:val="0"/>
          <w:i w:val="0"/>
          <w:sz w:val="22"/>
        </w:rPr>
        <w:t>Regulatory reporting workflows</w:t>
      </w:r>
    </w:p>
    <w:p>
      <w:pPr>
        <w:pStyle w:val="ListParagraph"/>
        <w:numPr>
          <w:ilvl w:val="0"/>
          <w:numId w:val="4"/>
        </w:numPr>
      </w:pPr>
      <w:r>
        <w:rPr>
          <w:rFonts w:ascii="Figtree" w:hAnsi="Figtree"/>
          <w:b w:val="0"/>
          <w:i w:val="0"/>
          <w:sz w:val="22"/>
        </w:rPr>
        <w:t>Audit evidence extraction (GraphQL queries)</w:t>
      </w:r>
    </w:p>
    <w:p>
      <w:pPr>
        <w:pStyle w:val="ListParagraph"/>
        <w:numPr>
          <w:ilvl w:val="0"/>
          <w:numId w:val="4"/>
        </w:numPr>
      </w:pPr>
      <w:r>
        <w:rPr>
          <w:rFonts w:ascii="Figtree" w:hAnsi="Figtree"/>
          <w:b w:val="0"/>
          <w:i w:val="0"/>
          <w:sz w:val="22"/>
        </w:rPr>
        <w:t>Reconciliation procedures (core banking sync)</w:t>
      </w:r>
    </w:p>
    <w:p>
      <w:pPr>
        <w:pStyle w:val="ListParagraph"/>
        <w:numPr>
          <w:ilvl w:val="0"/>
          <w:numId w:val="4"/>
        </w:numPr>
      </w:pPr>
      <w:r>
        <w:rPr>
          <w:rFonts w:ascii="Figtree" w:hAnsi="Figtree"/>
          <w:b w:val="0"/>
          <w:i w:val="0"/>
          <w:sz w:val="22"/>
        </w:rPr>
        <w:t>Exception reporting and escalation</w:t>
      </w:r>
    </w:p>
    <w:p>
      <w:pPr>
        <w:pStyle w:val="ListParagraph"/>
        <w:numPr>
          <w:ilvl w:val="0"/>
          <w:numId w:val="4"/>
        </w:numPr>
      </w:pPr>
      <w:r>
        <w:rPr>
          <w:rFonts w:ascii="Figtree" w:hAnsi="Figtree"/>
          <w:b w:val="0"/>
          <w:i w:val="0"/>
          <w:sz w:val="22"/>
        </w:rPr>
        <w:t>Lab: Generate regulatory reports; extract audit evidence for a sample period</w:t>
      </w:r>
    </w:p>
    <w:p>
      <w:pPr>
        <w:pStyle w:val="H4"/>
        <w:numPr>
          <w:ilvl w:val="3"/>
          <w:numId w:val="1"/>
        </w:numPr>
      </w:pPr>
      <w:r>
        <w:t>Knowledge Transfer Outcomes</w:t>
      </w:r>
    </w:p>
    <w:p>
      <w:r>
        <w:rPr>
          <w:rFonts w:ascii="Figtree" w:hAnsi="Figtree"/>
          <w:b w:val="0"/>
          <w:i w:val="0"/>
          <w:sz w:val="22"/>
        </w:rPr>
        <w:t>At the completion of the training programme, Emirates NBD teams should be able to:</w:t>
      </w:r>
    </w:p>
    <w:p>
      <w:pPr>
        <w:pStyle w:val="ListParagraph"/>
        <w:numPr>
          <w:ilvl w:val="0"/>
          <w:numId w:val="24"/>
        </w:numPr>
      </w:pPr>
      <w:r>
        <w:rPr>
          <w:rFonts w:ascii="Figtree" w:hAnsi="Figtree"/>
          <w:b w:val="0"/>
          <w:i w:val="0"/>
          <w:sz w:val="22"/>
        </w:rPr>
        <w:t>Independently configure and deploy new deposit products through the Asset Designer</w:t>
      </w:r>
    </w:p>
    <w:p>
      <w:pPr>
        <w:pStyle w:val="ListParagraph"/>
        <w:numPr>
          <w:ilvl w:val="0"/>
          <w:numId w:val="24"/>
        </w:numPr>
      </w:pPr>
      <w:r>
        <w:rPr>
          <w:rFonts w:ascii="Figtree" w:hAnsi="Figtree"/>
          <w:b w:val="0"/>
          <w:i w:val="0"/>
          <w:sz w:val="22"/>
        </w:rPr>
        <w:t>Manage compliance modules (add, modify, remove) for existing products</w:t>
      </w:r>
    </w:p>
    <w:p>
      <w:pPr>
        <w:pStyle w:val="ListParagraph"/>
        <w:numPr>
          <w:ilvl w:val="0"/>
          <w:numId w:val="24"/>
        </w:numPr>
      </w:pPr>
      <w:r>
        <w:rPr>
          <w:rFonts w:ascii="Figtree" w:hAnsi="Figtree"/>
          <w:b w:val="0"/>
          <w:i w:val="0"/>
          <w:sz w:val="22"/>
        </w:rPr>
        <w:t>Process trade finance workflows from initiation through settlement</w:t>
      </w:r>
    </w:p>
    <w:p>
      <w:pPr>
        <w:pStyle w:val="ListParagraph"/>
        <w:numPr>
          <w:ilvl w:val="0"/>
          <w:numId w:val="24"/>
        </w:numPr>
      </w:pPr>
      <w:r>
        <w:rPr>
          <w:rFonts w:ascii="Figtree" w:hAnsi="Figtree"/>
          <w:b w:val="0"/>
          <w:i w:val="0"/>
          <w:sz w:val="22"/>
        </w:rPr>
        <w:t>Monitor platform health and respond to operational alerts</w:t>
      </w:r>
    </w:p>
    <w:p>
      <w:pPr>
        <w:pStyle w:val="ListParagraph"/>
        <w:numPr>
          <w:ilvl w:val="0"/>
          <w:numId w:val="24"/>
        </w:numPr>
      </w:pPr>
      <w:r>
        <w:rPr>
          <w:rFonts w:ascii="Figtree" w:hAnsi="Figtree"/>
          <w:b w:val="0"/>
          <w:i w:val="0"/>
          <w:sz w:val="22"/>
        </w:rPr>
        <w:t>Extract audit evidence and generate regulatory reports</w:t>
      </w:r>
    </w:p>
    <w:p>
      <w:pPr>
        <w:pStyle w:val="ListParagraph"/>
        <w:numPr>
          <w:ilvl w:val="0"/>
          <w:numId w:val="24"/>
        </w:numPr>
      </w:pPr>
      <w:r>
        <w:rPr>
          <w:rFonts w:ascii="Figtree" w:hAnsi="Figtree"/>
          <w:b w:val="0"/>
          <w:i w:val="0"/>
          <w:sz w:val="22"/>
        </w:rPr>
        <w:t>Integrate new downstream systems using the REST API and SDK</w:t>
      </w:r>
    </w:p>
    <w:p>
      <w:pPr>
        <w:pStyle w:val="ListParagraph"/>
        <w:numPr>
          <w:ilvl w:val="0"/>
          <w:numId w:val="24"/>
        </w:numPr>
      </w:pPr>
      <w:r>
        <w:rPr>
          <w:rFonts w:ascii="Figtree" w:hAnsi="Figtree"/>
          <w:b w:val="0"/>
          <w:i w:val="0"/>
          <w:sz w:val="22"/>
        </w:rPr>
        <w:t>Troubleshoot common operational issues using runbooks and CLI tools</w:t>
      </w:r>
    </w:p>
    <w:p>
      <w:pPr>
        <w:pStyle w:val="ListParagraph"/>
        <w:numPr>
          <w:ilvl w:val="0"/>
          <w:numId w:val="24"/>
        </w:numPr>
      </w:pPr>
      <w:r>
        <w:rPr>
          <w:rFonts w:ascii="Figtree" w:hAnsi="Figtree"/>
          <w:b w:val="0"/>
          <w:i w:val="0"/>
          <w:sz w:val="22"/>
        </w:rPr>
        <w:t>Perform routine maintenance operations (user management, key rotation, backup verification)</w:t>
      </w:r>
    </w:p>
    <w:p>
      <w:pPr>
        <w:pStyle w:val="H3"/>
        <w:numPr>
          <w:ilvl w:val="2"/>
          <w:numId w:val="1"/>
        </w:numPr>
      </w:pPr>
      <w:r>
        <w:t>Appendix: Extended Risk Analysis</w:t>
      </w:r>
    </w:p>
    <w:p>
      <w:pPr>
        <w:pStyle w:val="H4"/>
        <w:numPr>
          <w:ilvl w:val="3"/>
          <w:numId w:val="1"/>
        </w:numPr>
      </w:pPr>
      <w:r>
        <w:t>Risk Assessment Methodology</w:t>
      </w:r>
    </w:p>
    <w:p>
      <w:r>
        <w:rPr>
          <w:rFonts w:ascii="Figtree" w:hAnsi="Figtree"/>
          <w:b w:val="0"/>
          <w:i w:val="0"/>
          <w:sz w:val="22"/>
        </w:rPr>
        <w:t>Risks are assessed on a 5-point scale for both likelihood and impact: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25"/>
        <w:gridCol w:w="3165"/>
        <w:gridCol w:w="518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Level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r>
      <w:tr>
        <w:trPr>
          <w:trHeight w:val="425" w:hRule="atLeast"/>
        </w:trPr>
        <w:tc>
          <w:tcPr>
            <w:tcW w:type="dxa" w:w="3249"/>
            <w:vAlign w:val="center"/>
          </w:tcPr>
          <w:p>
            <w:pPr>
              <w:spacing w:line="276" w:lineRule="auto" w:before="0" w:after="0"/>
            </w:pPr>
            <w:r/>
            <w:r>
              <w:rPr>
                <w:rFonts w:ascii="Figtree" w:hAnsi="Figtree"/>
                <w:b w:val="0"/>
                <w:i w:val="0"/>
                <w:sz w:val="20"/>
              </w:rPr>
              <w:t>1</w:t>
            </w:r>
          </w:p>
        </w:tc>
        <w:tc>
          <w:tcPr>
            <w:tcW w:type="dxa" w:w="3249"/>
            <w:vAlign w:val="center"/>
          </w:tcPr>
          <w:p>
            <w:pPr>
              <w:spacing w:line="276" w:lineRule="auto" w:before="0" w:after="0"/>
            </w:pPr>
            <w:r/>
            <w:r>
              <w:rPr>
                <w:rFonts w:ascii="Figtree" w:hAnsi="Figtree"/>
                <w:b w:val="0"/>
                <w:i w:val="0"/>
                <w:sz w:val="20"/>
              </w:rPr>
              <w:t>Rare (&lt; 5%)</w:t>
            </w:r>
          </w:p>
        </w:tc>
        <w:tc>
          <w:tcPr>
            <w:tcW w:type="dxa" w:w="3249"/>
            <w:vAlign w:val="center"/>
          </w:tcPr>
          <w:p>
            <w:pPr>
              <w:spacing w:line="276" w:lineRule="auto" w:before="0" w:after="0"/>
            </w:pPr>
            <w:r/>
            <w:r>
              <w:rPr>
                <w:rFonts w:ascii="Figtree" w:hAnsi="Figtree"/>
                <w:b w:val="0"/>
                <w:i w:val="0"/>
                <w:sz w:val="20"/>
              </w:rPr>
              <w:t>Negligible</w:t>
            </w:r>
          </w:p>
        </w:tc>
      </w:tr>
      <w:tr>
        <w:trPr>
          <w:trHeight w:val="425" w:hRule="atLeast"/>
        </w:trPr>
        <w:tc>
          <w:tcPr>
            <w:tcW w:type="dxa" w:w="3249"/>
            <w:vAlign w:val="center"/>
          </w:tcPr>
          <w:p>
            <w:pPr>
              <w:spacing w:line="276" w:lineRule="auto" w:before="0" w:after="0"/>
            </w:pPr>
            <w:r/>
            <w:r>
              <w:rPr>
                <w:rFonts w:ascii="Figtree" w:hAnsi="Figtree"/>
                <w:b w:val="0"/>
                <w:i w:val="0"/>
                <w:sz w:val="20"/>
              </w:rPr>
              <w:t>2</w:t>
            </w:r>
          </w:p>
        </w:tc>
        <w:tc>
          <w:tcPr>
            <w:tcW w:type="dxa" w:w="3249"/>
            <w:vAlign w:val="center"/>
          </w:tcPr>
          <w:p>
            <w:pPr>
              <w:spacing w:line="276" w:lineRule="auto" w:before="0" w:after="0"/>
            </w:pPr>
            <w:r/>
            <w:r>
              <w:rPr>
                <w:rFonts w:ascii="Figtree" w:hAnsi="Figtree"/>
                <w:b w:val="0"/>
                <w:i w:val="0"/>
                <w:sz w:val="20"/>
              </w:rPr>
              <w:t>Unlikely (5–20%)</w:t>
            </w:r>
          </w:p>
        </w:tc>
        <w:tc>
          <w:tcPr>
            <w:tcW w:type="dxa" w:w="3249"/>
            <w:vAlign w:val="center"/>
          </w:tcPr>
          <w:p>
            <w:pPr>
              <w:spacing w:line="276" w:lineRule="auto" w:before="0" w:after="0"/>
            </w:pPr>
            <w:r/>
            <w:r>
              <w:rPr>
                <w:rFonts w:ascii="Figtree" w:hAnsi="Figtree"/>
                <w:b w:val="0"/>
                <w:i w:val="0"/>
                <w:sz w:val="20"/>
              </w:rPr>
              <w:t>Minor delay</w:t>
            </w:r>
          </w:p>
        </w:tc>
      </w:tr>
      <w:tr>
        <w:trPr>
          <w:trHeight w:val="425" w:hRule="atLeast"/>
        </w:trPr>
        <w:tc>
          <w:tcPr>
            <w:tcW w:type="dxa" w:w="3249"/>
            <w:vAlign w:val="center"/>
          </w:tcPr>
          <w:p>
            <w:pPr>
              <w:spacing w:line="276" w:lineRule="auto" w:before="0" w:after="0"/>
            </w:pPr>
            <w:r/>
            <w:r>
              <w:rPr>
                <w:rFonts w:ascii="Figtree" w:hAnsi="Figtree"/>
                <w:b w:val="0"/>
                <w:i w:val="0"/>
                <w:sz w:val="20"/>
              </w:rPr>
              <w:t>3</w:t>
            </w:r>
          </w:p>
        </w:tc>
        <w:tc>
          <w:tcPr>
            <w:tcW w:type="dxa" w:w="3249"/>
            <w:vAlign w:val="center"/>
          </w:tcPr>
          <w:p>
            <w:pPr>
              <w:spacing w:line="276" w:lineRule="auto" w:before="0" w:after="0"/>
            </w:pPr>
            <w:r/>
            <w:r>
              <w:rPr>
                <w:rFonts w:ascii="Figtree" w:hAnsi="Figtree"/>
                <w:b w:val="0"/>
                <w:i w:val="0"/>
                <w:sz w:val="20"/>
              </w:rPr>
              <w:t>Possible (20–50%)</w:t>
            </w:r>
          </w:p>
        </w:tc>
        <w:tc>
          <w:tcPr>
            <w:tcW w:type="dxa" w:w="3249"/>
            <w:vAlign w:val="center"/>
          </w:tcPr>
          <w:p>
            <w:pPr>
              <w:spacing w:line="276" w:lineRule="auto" w:before="0" w:after="0"/>
            </w:pPr>
            <w:r/>
            <w:r>
              <w:rPr>
                <w:rFonts w:ascii="Figtree" w:hAnsi="Figtree"/>
                <w:b w:val="0"/>
                <w:i w:val="0"/>
                <w:sz w:val="20"/>
              </w:rPr>
              <w:t>Moderate delay or workaround needed</w:t>
            </w:r>
          </w:p>
        </w:tc>
      </w:tr>
      <w:tr>
        <w:trPr>
          <w:trHeight w:val="425" w:hRule="atLeast"/>
        </w:trPr>
        <w:tc>
          <w:tcPr>
            <w:tcW w:type="dxa" w:w="3249"/>
            <w:vAlign w:val="center"/>
          </w:tcPr>
          <w:p>
            <w:pPr>
              <w:spacing w:line="276" w:lineRule="auto" w:before="0" w:after="0"/>
            </w:pPr>
            <w:r/>
            <w:r>
              <w:rPr>
                <w:rFonts w:ascii="Figtree" w:hAnsi="Figtree"/>
                <w:b w:val="0"/>
                <w:i w:val="0"/>
                <w:sz w:val="20"/>
              </w:rPr>
              <w:t>4</w:t>
            </w:r>
          </w:p>
        </w:tc>
        <w:tc>
          <w:tcPr>
            <w:tcW w:type="dxa" w:w="3249"/>
            <w:vAlign w:val="center"/>
          </w:tcPr>
          <w:p>
            <w:pPr>
              <w:spacing w:line="276" w:lineRule="auto" w:before="0" w:after="0"/>
            </w:pPr>
            <w:r/>
            <w:r>
              <w:rPr>
                <w:rFonts w:ascii="Figtree" w:hAnsi="Figtree"/>
                <w:b w:val="0"/>
                <w:i w:val="0"/>
                <w:sz w:val="20"/>
              </w:rPr>
              <w:t>Likely (50–80%)</w:t>
            </w:r>
          </w:p>
        </w:tc>
        <w:tc>
          <w:tcPr>
            <w:tcW w:type="dxa" w:w="3249"/>
            <w:vAlign w:val="center"/>
          </w:tcPr>
          <w:p>
            <w:pPr>
              <w:spacing w:line="276" w:lineRule="auto" w:before="0" w:after="0"/>
            </w:pPr>
            <w:r/>
            <w:r>
              <w:rPr>
                <w:rFonts w:ascii="Figtree" w:hAnsi="Figtree"/>
                <w:b w:val="0"/>
                <w:i w:val="0"/>
                <w:sz w:val="20"/>
              </w:rPr>
              <w:t>Significant delay or scope reduction</w:t>
            </w:r>
          </w:p>
        </w:tc>
      </w:tr>
      <w:tr>
        <w:trPr>
          <w:trHeight w:val="425" w:hRule="atLeast"/>
        </w:trPr>
        <w:tc>
          <w:tcPr>
            <w:tcW w:type="dxa" w:w="3249"/>
            <w:vAlign w:val="center"/>
          </w:tcPr>
          <w:p>
            <w:pPr>
              <w:spacing w:line="276" w:lineRule="auto" w:before="0" w:after="0"/>
            </w:pPr>
            <w:r/>
            <w:r>
              <w:rPr>
                <w:rFonts w:ascii="Figtree" w:hAnsi="Figtree"/>
                <w:b w:val="0"/>
                <w:i w:val="0"/>
                <w:sz w:val="20"/>
              </w:rPr>
              <w:t>5</w:t>
            </w:r>
          </w:p>
        </w:tc>
        <w:tc>
          <w:tcPr>
            <w:tcW w:type="dxa" w:w="3249"/>
            <w:vAlign w:val="center"/>
          </w:tcPr>
          <w:p>
            <w:pPr>
              <w:spacing w:line="276" w:lineRule="auto" w:before="0" w:after="0"/>
            </w:pPr>
            <w:r/>
            <w:r>
              <w:rPr>
                <w:rFonts w:ascii="Figtree" w:hAnsi="Figtree"/>
                <w:b w:val="0"/>
                <w:i w:val="0"/>
                <w:sz w:val="20"/>
              </w:rPr>
              <w:t>Almost certain (&gt; 80%)</w:t>
            </w:r>
          </w:p>
        </w:tc>
        <w:tc>
          <w:tcPr>
            <w:tcW w:type="dxa" w:w="3249"/>
            <w:vAlign w:val="center"/>
          </w:tcPr>
          <w:p>
            <w:pPr>
              <w:spacing w:line="276" w:lineRule="auto" w:before="0" w:after="0"/>
            </w:pPr>
            <w:r/>
            <w:r>
              <w:rPr>
                <w:rFonts w:ascii="Figtree" w:hAnsi="Figtree"/>
                <w:b w:val="0"/>
                <w:i w:val="0"/>
                <w:sz w:val="20"/>
              </w:rPr>
              <w:t>Programme failure risk</w:t>
            </w:r>
          </w:p>
        </w:tc>
      </w:tr>
    </w:tbl>
    <w:p>
      <w:pPr>
        <w:spacing w:before="0" w:after="0" w:line="120" w:lineRule="exact"/>
      </w:pPr>
    </w:p>
    <w:p>
      <w:pPr>
        <w:pStyle w:val="H4"/>
        <w:numPr>
          <w:ilvl w:val="3"/>
          <w:numId w:val="1"/>
        </w:numPr>
      </w:pPr>
      <w:r>
        <w:t>Extended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34"/>
        <w:gridCol w:w="1916"/>
        <w:gridCol w:w="534"/>
        <w:gridCol w:w="534"/>
        <w:gridCol w:w="534"/>
        <w:gridCol w:w="3949"/>
        <w:gridCol w:w="534"/>
        <w:gridCol w:w="534"/>
      </w:tblGrid>
      <w:tr>
        <w:trPr>
          <w:trHeight w:val="425" w:hRule="atLeast"/>
        </w:trPr>
        <w:tc>
          <w:tcPr>
            <w:tcW w:type="dxa" w:w="1218"/>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218"/>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218"/>
            <w:vAlign w:val="center"/>
            <w:shd w:fill="E8E0F0" w:val="clear"/>
          </w:tcPr>
          <w:p>
            <w:pPr>
              <w:spacing w:line="276" w:lineRule="auto" w:before="0" w:after="0"/>
              <w:jc w:val="center"/>
            </w:pPr>
            <w:r>
              <w:rPr>
                <w:b/>
                <w:color w:val="2D1A8C"/>
              </w:rPr>
            </w:r>
            <w:r>
              <w:rPr>
                <w:rFonts w:ascii="Figtree" w:hAnsi="Figtree"/>
                <w:b/>
                <w:i w:val="0"/>
                <w:color w:val="2D1A8C"/>
                <w:sz w:val="20"/>
              </w:rPr>
              <w:t>L</w:t>
            </w:r>
          </w:p>
        </w:tc>
        <w:tc>
          <w:tcPr>
            <w:tcW w:type="dxa" w:w="1218"/>
            <w:vAlign w:val="center"/>
            <w:shd w:fill="E8E0F0" w:val="clear"/>
          </w:tcPr>
          <w:p>
            <w:pPr>
              <w:spacing w:line="276" w:lineRule="auto" w:before="0" w:after="0"/>
              <w:jc w:val="center"/>
            </w:pPr>
            <w:r>
              <w:rPr>
                <w:b/>
                <w:color w:val="2D1A8C"/>
              </w:rPr>
            </w:r>
            <w:r>
              <w:rPr>
                <w:rFonts w:ascii="Figtree" w:hAnsi="Figtree"/>
                <w:b/>
                <w:i w:val="0"/>
                <w:color w:val="2D1A8C"/>
                <w:sz w:val="20"/>
              </w:rPr>
              <w:t>I</w:t>
            </w:r>
          </w:p>
        </w:tc>
        <w:tc>
          <w:tcPr>
            <w:tcW w:type="dxa" w:w="1218"/>
            <w:vAlign w:val="center"/>
            <w:shd w:fill="E8E0F0" w:val="clear"/>
          </w:tcPr>
          <w:p>
            <w:pPr>
              <w:spacing w:line="276" w:lineRule="auto" w:before="0" w:after="0"/>
              <w:jc w:val="center"/>
            </w:pPr>
            <w:r>
              <w:rPr>
                <w:b/>
                <w:color w:val="2D1A8C"/>
              </w:rPr>
            </w:r>
            <w:r>
              <w:rPr>
                <w:rFonts w:ascii="Figtree" w:hAnsi="Figtree"/>
                <w:b/>
                <w:i w:val="0"/>
                <w:color w:val="2D1A8C"/>
                <w:sz w:val="20"/>
              </w:rPr>
              <w:t>Score</w:t>
            </w:r>
          </w:p>
        </w:tc>
        <w:tc>
          <w:tcPr>
            <w:tcW w:type="dxa" w:w="1218"/>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c>
          <w:tcPr>
            <w:tcW w:type="dxa" w:w="1218"/>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1218"/>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1218"/>
            <w:vAlign w:val="center"/>
          </w:tcPr>
          <w:p>
            <w:pPr>
              <w:spacing w:line="276" w:lineRule="auto" w:before="0" w:after="0"/>
            </w:pPr>
            <w:r/>
            <w:r>
              <w:rPr>
                <w:rFonts w:ascii="Figtree" w:hAnsi="Figtree"/>
                <w:b w:val="0"/>
                <w:i w:val="0"/>
                <w:sz w:val="20"/>
              </w:rPr>
              <w:t>R1</w:t>
            </w:r>
          </w:p>
        </w:tc>
        <w:tc>
          <w:tcPr>
            <w:tcW w:type="dxa" w:w="1218"/>
            <w:vAlign w:val="center"/>
          </w:tcPr>
          <w:p>
            <w:pPr>
              <w:spacing w:line="276" w:lineRule="auto" w:before="0" w:after="0"/>
            </w:pPr>
            <w:r/>
            <w:r>
              <w:rPr>
                <w:rFonts w:ascii="Figtree" w:hAnsi="Figtree"/>
                <w:b w:val="0"/>
                <w:i w:val="0"/>
                <w:sz w:val="20"/>
              </w:rPr>
              <w:t>CBUAE regulatory changes during implementation</w:t>
            </w:r>
          </w:p>
        </w:tc>
        <w:tc>
          <w:tcPr>
            <w:tcW w:type="dxa" w:w="1218"/>
            <w:vAlign w:val="center"/>
          </w:tcPr>
          <w:p>
            <w:pPr>
              <w:spacing w:line="276" w:lineRule="auto" w:before="0" w:after="0"/>
            </w:pPr>
            <w:r/>
            <w:r>
              <w:rPr>
                <w:rFonts w:ascii="Figtree" w:hAnsi="Figtree"/>
                <w:b w:val="0"/>
                <w:i w:val="0"/>
                <w:sz w:val="20"/>
              </w:rPr>
              <w:t>3</w:t>
            </w:r>
          </w:p>
        </w:tc>
        <w:tc>
          <w:tcPr>
            <w:tcW w:type="dxa" w:w="1218"/>
            <w:vAlign w:val="center"/>
          </w:tcPr>
          <w:p>
            <w:pPr>
              <w:spacing w:line="276" w:lineRule="auto" w:before="0" w:after="0"/>
            </w:pPr>
            <w:r/>
            <w:r>
              <w:rPr>
                <w:rFonts w:ascii="Figtree" w:hAnsi="Figtree"/>
                <w:b w:val="0"/>
                <w:i w:val="0"/>
                <w:sz w:val="20"/>
              </w:rPr>
              <w:t>4</w:t>
            </w:r>
          </w:p>
        </w:tc>
        <w:tc>
          <w:tcPr>
            <w:tcW w:type="dxa" w:w="1218"/>
            <w:vAlign w:val="center"/>
          </w:tcPr>
          <w:p>
            <w:pPr>
              <w:spacing w:line="276" w:lineRule="auto" w:before="0" w:after="0"/>
            </w:pPr>
            <w:r/>
            <w:r>
              <w:rPr>
                <w:rFonts w:ascii="Figtree" w:hAnsi="Figtree"/>
                <w:b w:val="0"/>
                <w:i w:val="0"/>
                <w:sz w:val="20"/>
              </w:rPr>
              <w:t>12</w:t>
            </w:r>
          </w:p>
        </w:tc>
        <w:tc>
          <w:tcPr>
            <w:tcW w:type="dxa" w:w="1218"/>
            <w:vAlign w:val="center"/>
          </w:tcPr>
          <w:p>
            <w:pPr>
              <w:spacing w:line="276" w:lineRule="auto" w:before="0" w:after="0"/>
            </w:pPr>
            <w:r/>
            <w:r>
              <w:rPr>
                <w:rFonts w:ascii="Figtree" w:hAnsi="Figtree"/>
                <w:b w:val="0"/>
                <w:i w:val="0"/>
                <w:sz w:val="20"/>
              </w:rPr>
              <w:t>Configurable compliance modules; quarterly regulatory review; modular architecture allows policy updates without redeployment</w:t>
            </w:r>
          </w:p>
        </w:tc>
        <w:tc>
          <w:tcPr>
            <w:tcW w:type="dxa" w:w="1218"/>
            <w:vAlign w:val="center"/>
          </w:tcPr>
          <w:p>
            <w:pPr>
              <w:spacing w:line="276" w:lineRule="auto" w:before="0" w:after="0"/>
            </w:pPr>
            <w:r/>
            <w:r>
              <w:rPr>
                <w:rFonts w:ascii="Figtree" w:hAnsi="Figtree"/>
                <w:b w:val="0"/>
                <w:i w:val="0"/>
                <w:sz w:val="20"/>
              </w:rPr>
              <w:t>Joint</w:t>
            </w:r>
          </w:p>
        </w:tc>
        <w:tc>
          <w:tcPr>
            <w:tcW w:type="dxa" w:w="1218"/>
            <w:vAlign w:val="center"/>
          </w:tcPr>
          <w:p>
            <w:pPr>
              <w:spacing w:line="276" w:lineRule="auto" w:before="0" w:after="0"/>
            </w:pPr>
            <w:r/>
            <w:r>
              <w:rPr>
                <w:rFonts w:ascii="Figtree" w:hAnsi="Figtree"/>
                <w:b w:val="0"/>
                <w:i w:val="0"/>
                <w:sz w:val="20"/>
              </w:rPr>
              <w:t>Open</w:t>
            </w:r>
          </w:p>
        </w:tc>
      </w:tr>
      <w:tr>
        <w:trPr>
          <w:trHeight w:val="425" w:hRule="atLeast"/>
        </w:trPr>
        <w:tc>
          <w:tcPr>
            <w:tcW w:type="dxa" w:w="1218"/>
            <w:vAlign w:val="center"/>
          </w:tcPr>
          <w:p>
            <w:pPr>
              <w:spacing w:line="276" w:lineRule="auto" w:before="0" w:after="0"/>
            </w:pPr>
            <w:r/>
            <w:r>
              <w:rPr>
                <w:rFonts w:ascii="Figtree" w:hAnsi="Figtree"/>
                <w:b w:val="0"/>
                <w:i w:val="0"/>
                <w:sz w:val="20"/>
              </w:rPr>
              <w:t>R2</w:t>
            </w:r>
          </w:p>
        </w:tc>
        <w:tc>
          <w:tcPr>
            <w:tcW w:type="dxa" w:w="1218"/>
            <w:vAlign w:val="center"/>
          </w:tcPr>
          <w:p>
            <w:pPr>
              <w:spacing w:line="276" w:lineRule="auto" w:before="0" w:after="0"/>
            </w:pPr>
            <w:r/>
            <w:r>
              <w:rPr>
                <w:rFonts w:ascii="Figtree" w:hAnsi="Figtree"/>
                <w:b w:val="0"/>
                <w:i w:val="0"/>
                <w:sz w:val="20"/>
              </w:rPr>
              <w:t>Core banking API specification unavailable at Phase 2</w:t>
            </w:r>
          </w:p>
        </w:tc>
        <w:tc>
          <w:tcPr>
            <w:tcW w:type="dxa" w:w="1218"/>
            <w:vAlign w:val="center"/>
          </w:tcPr>
          <w:p>
            <w:pPr>
              <w:spacing w:line="276" w:lineRule="auto" w:before="0" w:after="0"/>
            </w:pPr>
            <w:r/>
            <w:r>
              <w:rPr>
                <w:rFonts w:ascii="Figtree" w:hAnsi="Figtree"/>
                <w:b w:val="0"/>
                <w:i w:val="0"/>
                <w:sz w:val="20"/>
              </w:rPr>
              <w:t>3</w:t>
            </w:r>
          </w:p>
        </w:tc>
        <w:tc>
          <w:tcPr>
            <w:tcW w:type="dxa" w:w="1218"/>
            <w:vAlign w:val="center"/>
          </w:tcPr>
          <w:p>
            <w:pPr>
              <w:spacing w:line="276" w:lineRule="auto" w:before="0" w:after="0"/>
            </w:pPr>
            <w:r/>
            <w:r>
              <w:rPr>
                <w:rFonts w:ascii="Figtree" w:hAnsi="Figtree"/>
                <w:b w:val="0"/>
                <w:i w:val="0"/>
                <w:sz w:val="20"/>
              </w:rPr>
              <w:t>4</w:t>
            </w:r>
          </w:p>
        </w:tc>
        <w:tc>
          <w:tcPr>
            <w:tcW w:type="dxa" w:w="1218"/>
            <w:vAlign w:val="center"/>
          </w:tcPr>
          <w:p>
            <w:pPr>
              <w:spacing w:line="276" w:lineRule="auto" w:before="0" w:after="0"/>
            </w:pPr>
            <w:r/>
            <w:r>
              <w:rPr>
                <w:rFonts w:ascii="Figtree" w:hAnsi="Figtree"/>
                <w:b w:val="0"/>
                <w:i w:val="0"/>
                <w:sz w:val="20"/>
              </w:rPr>
              <w:t>12</w:t>
            </w:r>
          </w:p>
        </w:tc>
        <w:tc>
          <w:tcPr>
            <w:tcW w:type="dxa" w:w="1218"/>
            <w:vAlign w:val="center"/>
          </w:tcPr>
          <w:p>
            <w:pPr>
              <w:spacing w:line="276" w:lineRule="auto" w:before="0" w:after="0"/>
            </w:pPr>
            <w:r/>
            <w:r>
              <w:rPr>
                <w:rFonts w:ascii="Figtree" w:hAnsi="Figtree"/>
                <w:b w:val="0"/>
                <w:i w:val="0"/>
                <w:sz w:val="20"/>
              </w:rPr>
              <w:t>Early engagement (Phase 1); mock API for parallel development; API specification workshop in Week 2</w:t>
            </w:r>
          </w:p>
        </w:tc>
        <w:tc>
          <w:tcPr>
            <w:tcW w:type="dxa" w:w="1218"/>
            <w:vAlign w:val="center"/>
          </w:tcPr>
          <w:p>
            <w:pPr>
              <w:spacing w:line="276" w:lineRule="auto" w:before="0" w:after="0"/>
            </w:pPr>
            <w:r/>
            <w:r>
              <w:rPr>
                <w:rFonts w:ascii="Figtree" w:hAnsi="Figtree"/>
                <w:b w:val="0"/>
                <w:i w:val="0"/>
                <w:sz w:val="20"/>
              </w:rPr>
              <w:t>Emirates NBD</w:t>
            </w:r>
          </w:p>
        </w:tc>
        <w:tc>
          <w:tcPr>
            <w:tcW w:type="dxa" w:w="1218"/>
            <w:vAlign w:val="center"/>
          </w:tcPr>
          <w:p>
            <w:pPr>
              <w:spacing w:line="276" w:lineRule="auto" w:before="0" w:after="0"/>
            </w:pPr>
            <w:r/>
            <w:r>
              <w:rPr>
                <w:rFonts w:ascii="Figtree" w:hAnsi="Figtree"/>
                <w:b w:val="0"/>
                <w:i w:val="0"/>
                <w:sz w:val="20"/>
              </w:rPr>
              <w:t>Open</w:t>
            </w:r>
          </w:p>
        </w:tc>
      </w:tr>
      <w:tr>
        <w:trPr>
          <w:trHeight w:val="425" w:hRule="atLeast"/>
        </w:trPr>
        <w:tc>
          <w:tcPr>
            <w:tcW w:type="dxa" w:w="1218"/>
            <w:vAlign w:val="center"/>
          </w:tcPr>
          <w:p>
            <w:pPr>
              <w:spacing w:line="276" w:lineRule="auto" w:before="0" w:after="0"/>
            </w:pPr>
            <w:r/>
            <w:r>
              <w:rPr>
                <w:rFonts w:ascii="Figtree" w:hAnsi="Figtree"/>
                <w:b w:val="0"/>
                <w:i w:val="0"/>
                <w:sz w:val="20"/>
              </w:rPr>
              <w:t>R3</w:t>
            </w:r>
          </w:p>
        </w:tc>
        <w:tc>
          <w:tcPr>
            <w:tcW w:type="dxa" w:w="1218"/>
            <w:vAlign w:val="center"/>
          </w:tcPr>
          <w:p>
            <w:pPr>
              <w:spacing w:line="276" w:lineRule="auto" w:before="0" w:after="0"/>
            </w:pPr>
            <w:r/>
            <w:r>
              <w:rPr>
                <w:rFonts w:ascii="Figtree" w:hAnsi="Figtree"/>
                <w:b w:val="0"/>
                <w:i w:val="0"/>
                <w:sz w:val="20"/>
              </w:rPr>
              <w:t>Trade finance back-office integration complexity exceeds estimates</w:t>
            </w:r>
          </w:p>
        </w:tc>
        <w:tc>
          <w:tcPr>
            <w:tcW w:type="dxa" w:w="1218"/>
            <w:vAlign w:val="center"/>
          </w:tcPr>
          <w:p>
            <w:pPr>
              <w:spacing w:line="276" w:lineRule="auto" w:before="0" w:after="0"/>
            </w:pPr>
            <w:r/>
            <w:r>
              <w:rPr>
                <w:rFonts w:ascii="Figtree" w:hAnsi="Figtree"/>
                <w:b w:val="0"/>
                <w:i w:val="0"/>
                <w:sz w:val="20"/>
              </w:rPr>
              <w:t>3</w:t>
            </w:r>
          </w:p>
        </w:tc>
        <w:tc>
          <w:tcPr>
            <w:tcW w:type="dxa" w:w="1218"/>
            <w:vAlign w:val="center"/>
          </w:tcPr>
          <w:p>
            <w:pPr>
              <w:spacing w:line="276" w:lineRule="auto" w:before="0" w:after="0"/>
            </w:pPr>
            <w:r/>
            <w:r>
              <w:rPr>
                <w:rFonts w:ascii="Figtree" w:hAnsi="Figtree"/>
                <w:b w:val="0"/>
                <w:i w:val="0"/>
                <w:sz w:val="20"/>
              </w:rPr>
              <w:t>3</w:t>
            </w:r>
          </w:p>
        </w:tc>
        <w:tc>
          <w:tcPr>
            <w:tcW w:type="dxa" w:w="1218"/>
            <w:vAlign w:val="center"/>
          </w:tcPr>
          <w:p>
            <w:pPr>
              <w:spacing w:line="276" w:lineRule="auto" w:before="0" w:after="0"/>
            </w:pPr>
            <w:r/>
            <w:r>
              <w:rPr>
                <w:rFonts w:ascii="Figtree" w:hAnsi="Figtree"/>
                <w:b w:val="0"/>
                <w:i w:val="0"/>
                <w:sz w:val="20"/>
              </w:rPr>
              <w:t>9</w:t>
            </w:r>
          </w:p>
        </w:tc>
        <w:tc>
          <w:tcPr>
            <w:tcW w:type="dxa" w:w="1218"/>
            <w:vAlign w:val="center"/>
          </w:tcPr>
          <w:p>
            <w:pPr>
              <w:spacing w:line="276" w:lineRule="auto" w:before="0" w:after="0"/>
            </w:pPr>
            <w:r/>
            <w:r>
              <w:rPr>
                <w:rFonts w:ascii="Figtree" w:hAnsi="Figtree"/>
                <w:b w:val="0"/>
                <w:i w:val="0"/>
                <w:sz w:val="20"/>
              </w:rPr>
              <w:t>Deep discovery in Phase 1; integration specialist allocation; modular integration approach allowing incremental delivery</w:t>
            </w:r>
          </w:p>
        </w:tc>
        <w:tc>
          <w:tcPr>
            <w:tcW w:type="dxa" w:w="1218"/>
            <w:vAlign w:val="center"/>
          </w:tcPr>
          <w:p>
            <w:pPr>
              <w:spacing w:line="276" w:lineRule="auto" w:before="0" w:after="0"/>
            </w:pPr>
            <w:r/>
            <w:r>
              <w:rPr>
                <w:rFonts w:ascii="Figtree" w:hAnsi="Figtree"/>
                <w:b w:val="0"/>
                <w:i w:val="0"/>
                <w:sz w:val="20"/>
              </w:rPr>
              <w:t>SettleMint</w:t>
            </w:r>
          </w:p>
        </w:tc>
        <w:tc>
          <w:tcPr>
            <w:tcW w:type="dxa" w:w="1218"/>
            <w:vAlign w:val="center"/>
          </w:tcPr>
          <w:p>
            <w:pPr>
              <w:spacing w:line="276" w:lineRule="auto" w:before="0" w:after="0"/>
            </w:pPr>
            <w:r/>
            <w:r>
              <w:rPr>
                <w:rFonts w:ascii="Figtree" w:hAnsi="Figtree"/>
                <w:b w:val="0"/>
                <w:i w:val="0"/>
                <w:sz w:val="20"/>
              </w:rPr>
              <w:t>Open</w:t>
            </w:r>
          </w:p>
        </w:tc>
      </w:tr>
      <w:tr>
        <w:trPr>
          <w:trHeight w:val="425" w:hRule="atLeast"/>
        </w:trPr>
        <w:tc>
          <w:tcPr>
            <w:tcW w:type="dxa" w:w="1218"/>
            <w:vAlign w:val="center"/>
          </w:tcPr>
          <w:p>
            <w:pPr>
              <w:spacing w:line="276" w:lineRule="auto" w:before="0" w:after="0"/>
            </w:pPr>
            <w:r/>
            <w:r>
              <w:rPr>
                <w:rFonts w:ascii="Figtree" w:hAnsi="Figtree"/>
                <w:b w:val="0"/>
                <w:i w:val="0"/>
                <w:sz w:val="20"/>
              </w:rPr>
              <w:t>R4</w:t>
            </w:r>
          </w:p>
        </w:tc>
        <w:tc>
          <w:tcPr>
            <w:tcW w:type="dxa" w:w="1218"/>
            <w:vAlign w:val="center"/>
          </w:tcPr>
          <w:p>
            <w:pPr>
              <w:spacing w:line="276" w:lineRule="auto" w:before="0" w:after="0"/>
            </w:pPr>
            <w:r/>
            <w:r>
              <w:rPr>
                <w:rFonts w:ascii="Figtree" w:hAnsi="Figtree"/>
                <w:b w:val="0"/>
                <w:i w:val="0"/>
                <w:sz w:val="20"/>
              </w:rPr>
              <w:t>Custody provider (DFNS/Fireblocks) onboarding delay</w:t>
            </w:r>
          </w:p>
        </w:tc>
        <w:tc>
          <w:tcPr>
            <w:tcW w:type="dxa" w:w="1218"/>
            <w:vAlign w:val="center"/>
          </w:tcPr>
          <w:p>
            <w:pPr>
              <w:spacing w:line="276" w:lineRule="auto" w:before="0" w:after="0"/>
            </w:pPr>
            <w:r/>
            <w:r>
              <w:rPr>
                <w:rFonts w:ascii="Figtree" w:hAnsi="Figtree"/>
                <w:b w:val="0"/>
                <w:i w:val="0"/>
                <w:sz w:val="20"/>
              </w:rPr>
              <w:t>2</w:t>
            </w:r>
          </w:p>
        </w:tc>
        <w:tc>
          <w:tcPr>
            <w:tcW w:type="dxa" w:w="1218"/>
            <w:vAlign w:val="center"/>
          </w:tcPr>
          <w:p>
            <w:pPr>
              <w:spacing w:line="276" w:lineRule="auto" w:before="0" w:after="0"/>
            </w:pPr>
            <w:r/>
            <w:r>
              <w:rPr>
                <w:rFonts w:ascii="Figtree" w:hAnsi="Figtree"/>
                <w:b w:val="0"/>
                <w:i w:val="0"/>
                <w:sz w:val="20"/>
              </w:rPr>
              <w:t>4</w:t>
            </w:r>
          </w:p>
        </w:tc>
        <w:tc>
          <w:tcPr>
            <w:tcW w:type="dxa" w:w="1218"/>
            <w:vAlign w:val="center"/>
          </w:tcPr>
          <w:p>
            <w:pPr>
              <w:spacing w:line="276" w:lineRule="auto" w:before="0" w:after="0"/>
            </w:pPr>
            <w:r/>
            <w:r>
              <w:rPr>
                <w:rFonts w:ascii="Figtree" w:hAnsi="Figtree"/>
                <w:b w:val="0"/>
                <w:i w:val="0"/>
                <w:sz w:val="20"/>
              </w:rPr>
              <w:t>8</w:t>
            </w:r>
          </w:p>
        </w:tc>
        <w:tc>
          <w:tcPr>
            <w:tcW w:type="dxa" w:w="1218"/>
            <w:vAlign w:val="center"/>
          </w:tcPr>
          <w:p>
            <w:pPr>
              <w:spacing w:line="276" w:lineRule="auto" w:before="0" w:after="0"/>
            </w:pPr>
            <w:r/>
            <w:r>
              <w:rPr>
                <w:rFonts w:ascii="Figtree" w:hAnsi="Figtree"/>
                <w:b w:val="0"/>
                <w:i w:val="0"/>
                <w:sz w:val="20"/>
              </w:rPr>
              <w:t>Early engagement during Phase 1; platform signer fallback for testing environments; parallel custody integration track</w:t>
            </w:r>
          </w:p>
        </w:tc>
        <w:tc>
          <w:tcPr>
            <w:tcW w:type="dxa" w:w="1218"/>
            <w:vAlign w:val="center"/>
          </w:tcPr>
          <w:p>
            <w:pPr>
              <w:spacing w:line="276" w:lineRule="auto" w:before="0" w:after="0"/>
            </w:pPr>
            <w:r/>
            <w:r>
              <w:rPr>
                <w:rFonts w:ascii="Figtree" w:hAnsi="Figtree"/>
                <w:b w:val="0"/>
                <w:i w:val="0"/>
                <w:sz w:val="20"/>
              </w:rPr>
              <w:t>Joint</w:t>
            </w:r>
          </w:p>
        </w:tc>
        <w:tc>
          <w:tcPr>
            <w:tcW w:type="dxa" w:w="1218"/>
            <w:vAlign w:val="center"/>
          </w:tcPr>
          <w:p>
            <w:pPr>
              <w:spacing w:line="276" w:lineRule="auto" w:before="0" w:after="0"/>
            </w:pPr>
            <w:r/>
            <w:r>
              <w:rPr>
                <w:rFonts w:ascii="Figtree" w:hAnsi="Figtree"/>
                <w:b w:val="0"/>
                <w:i w:val="0"/>
                <w:sz w:val="20"/>
              </w:rPr>
              <w:t>Open</w:t>
            </w:r>
          </w:p>
        </w:tc>
      </w:tr>
      <w:tr>
        <w:trPr>
          <w:trHeight w:val="425" w:hRule="atLeast"/>
        </w:trPr>
        <w:tc>
          <w:tcPr>
            <w:tcW w:type="dxa" w:w="1218"/>
            <w:vAlign w:val="center"/>
          </w:tcPr>
          <w:p>
            <w:pPr>
              <w:spacing w:line="276" w:lineRule="auto" w:before="0" w:after="0"/>
            </w:pPr>
            <w:r/>
            <w:r>
              <w:rPr>
                <w:rFonts w:ascii="Figtree" w:hAnsi="Figtree"/>
                <w:b w:val="0"/>
                <w:i w:val="0"/>
                <w:sz w:val="20"/>
              </w:rPr>
              <w:t>R5</w:t>
            </w:r>
          </w:p>
        </w:tc>
        <w:tc>
          <w:tcPr>
            <w:tcW w:type="dxa" w:w="1218"/>
            <w:vAlign w:val="center"/>
          </w:tcPr>
          <w:p>
            <w:pPr>
              <w:spacing w:line="276" w:lineRule="auto" w:before="0" w:after="0"/>
            </w:pPr>
            <w:r/>
            <w:r>
              <w:rPr>
                <w:rFonts w:ascii="Figtree" w:hAnsi="Figtree"/>
                <w:b w:val="0"/>
                <w:i w:val="0"/>
                <w:sz w:val="20"/>
              </w:rPr>
              <w:t>Emirates NBD security review extends beyond Phase 4 timeline</w:t>
            </w:r>
          </w:p>
        </w:tc>
        <w:tc>
          <w:tcPr>
            <w:tcW w:type="dxa" w:w="1218"/>
            <w:vAlign w:val="center"/>
          </w:tcPr>
          <w:p>
            <w:pPr>
              <w:spacing w:line="276" w:lineRule="auto" w:before="0" w:after="0"/>
            </w:pPr>
            <w:r/>
            <w:r>
              <w:rPr>
                <w:rFonts w:ascii="Figtree" w:hAnsi="Figtree"/>
                <w:b w:val="0"/>
                <w:i w:val="0"/>
                <w:sz w:val="20"/>
              </w:rPr>
              <w:t>3</w:t>
            </w:r>
          </w:p>
        </w:tc>
        <w:tc>
          <w:tcPr>
            <w:tcW w:type="dxa" w:w="1218"/>
            <w:vAlign w:val="center"/>
          </w:tcPr>
          <w:p>
            <w:pPr>
              <w:spacing w:line="276" w:lineRule="auto" w:before="0" w:after="0"/>
            </w:pPr>
            <w:r/>
            <w:r>
              <w:rPr>
                <w:rFonts w:ascii="Figtree" w:hAnsi="Figtree"/>
                <w:b w:val="0"/>
                <w:i w:val="0"/>
                <w:sz w:val="20"/>
              </w:rPr>
              <w:t>3</w:t>
            </w:r>
          </w:p>
        </w:tc>
        <w:tc>
          <w:tcPr>
            <w:tcW w:type="dxa" w:w="1218"/>
            <w:vAlign w:val="center"/>
          </w:tcPr>
          <w:p>
            <w:pPr>
              <w:spacing w:line="276" w:lineRule="auto" w:before="0" w:after="0"/>
            </w:pPr>
            <w:r/>
            <w:r>
              <w:rPr>
                <w:rFonts w:ascii="Figtree" w:hAnsi="Figtree"/>
                <w:b w:val="0"/>
                <w:i w:val="0"/>
                <w:sz w:val="20"/>
              </w:rPr>
              <w:t>9</w:t>
            </w:r>
          </w:p>
        </w:tc>
        <w:tc>
          <w:tcPr>
            <w:tcW w:type="dxa" w:w="1218"/>
            <w:vAlign w:val="center"/>
          </w:tcPr>
          <w:p>
            <w:pPr>
              <w:spacing w:line="276" w:lineRule="auto" w:before="0" w:after="0"/>
            </w:pPr>
            <w:r/>
            <w:r>
              <w:rPr>
                <w:rFonts w:ascii="Figtree" w:hAnsi="Figtree"/>
                <w:b w:val="0"/>
                <w:i w:val="0"/>
                <w:sz w:val="20"/>
              </w:rPr>
              <w:t>Pre-engagement with InfoSec during Phase 1; incremental security testing during Phases 2–3; pre-share audit reports and certifications</w:t>
            </w:r>
          </w:p>
        </w:tc>
        <w:tc>
          <w:tcPr>
            <w:tcW w:type="dxa" w:w="1218"/>
            <w:vAlign w:val="center"/>
          </w:tcPr>
          <w:p>
            <w:pPr>
              <w:spacing w:line="276" w:lineRule="auto" w:before="0" w:after="0"/>
            </w:pPr>
            <w:r/>
            <w:r>
              <w:rPr>
                <w:rFonts w:ascii="Figtree" w:hAnsi="Figtree"/>
                <w:b w:val="0"/>
                <w:i w:val="0"/>
                <w:sz w:val="20"/>
              </w:rPr>
              <w:t>Joint</w:t>
            </w:r>
          </w:p>
        </w:tc>
        <w:tc>
          <w:tcPr>
            <w:tcW w:type="dxa" w:w="1218"/>
            <w:vAlign w:val="center"/>
          </w:tcPr>
          <w:p>
            <w:pPr>
              <w:spacing w:line="276" w:lineRule="auto" w:before="0" w:after="0"/>
            </w:pPr>
            <w:r/>
            <w:r>
              <w:rPr>
                <w:rFonts w:ascii="Figtree" w:hAnsi="Figtree"/>
                <w:b w:val="0"/>
                <w:i w:val="0"/>
                <w:sz w:val="20"/>
              </w:rPr>
              <w:t>Open</w:t>
            </w:r>
          </w:p>
        </w:tc>
      </w:tr>
      <w:tr>
        <w:trPr>
          <w:trHeight w:val="425" w:hRule="atLeast"/>
        </w:trPr>
        <w:tc>
          <w:tcPr>
            <w:tcW w:type="dxa" w:w="1218"/>
            <w:vAlign w:val="center"/>
          </w:tcPr>
          <w:p>
            <w:pPr>
              <w:spacing w:line="276" w:lineRule="auto" w:before="0" w:after="0"/>
            </w:pPr>
            <w:r/>
            <w:r>
              <w:rPr>
                <w:rFonts w:ascii="Figtree" w:hAnsi="Figtree"/>
                <w:b w:val="0"/>
                <w:i w:val="0"/>
                <w:sz w:val="20"/>
              </w:rPr>
              <w:t>R6</w:t>
            </w:r>
          </w:p>
        </w:tc>
        <w:tc>
          <w:tcPr>
            <w:tcW w:type="dxa" w:w="1218"/>
            <w:vAlign w:val="center"/>
          </w:tcPr>
          <w:p>
            <w:pPr>
              <w:spacing w:line="276" w:lineRule="auto" w:before="0" w:after="0"/>
            </w:pPr>
            <w:r/>
            <w:r>
              <w:rPr>
                <w:rFonts w:ascii="Figtree" w:hAnsi="Figtree"/>
                <w:b w:val="0"/>
                <w:i w:val="0"/>
                <w:sz w:val="20"/>
              </w:rPr>
              <w:t>UAE cloud infrastructure provisioning delay</w:t>
            </w:r>
          </w:p>
        </w:tc>
        <w:tc>
          <w:tcPr>
            <w:tcW w:type="dxa" w:w="1218"/>
            <w:vAlign w:val="center"/>
          </w:tcPr>
          <w:p>
            <w:pPr>
              <w:spacing w:line="276" w:lineRule="auto" w:before="0" w:after="0"/>
            </w:pPr>
            <w:r/>
            <w:r>
              <w:rPr>
                <w:rFonts w:ascii="Figtree" w:hAnsi="Figtree"/>
                <w:b w:val="0"/>
                <w:i w:val="0"/>
                <w:sz w:val="20"/>
              </w:rPr>
              <w:t>2</w:t>
            </w:r>
          </w:p>
        </w:tc>
        <w:tc>
          <w:tcPr>
            <w:tcW w:type="dxa" w:w="1218"/>
            <w:vAlign w:val="center"/>
          </w:tcPr>
          <w:p>
            <w:pPr>
              <w:spacing w:line="276" w:lineRule="auto" w:before="0" w:after="0"/>
            </w:pPr>
            <w:r/>
            <w:r>
              <w:rPr>
                <w:rFonts w:ascii="Figtree" w:hAnsi="Figtree"/>
                <w:b w:val="0"/>
                <w:i w:val="0"/>
                <w:sz w:val="20"/>
              </w:rPr>
              <w:t>3</w:t>
            </w:r>
          </w:p>
        </w:tc>
        <w:tc>
          <w:tcPr>
            <w:tcW w:type="dxa" w:w="1218"/>
            <w:vAlign w:val="center"/>
          </w:tcPr>
          <w:p>
            <w:pPr>
              <w:spacing w:line="276" w:lineRule="auto" w:before="0" w:after="0"/>
            </w:pPr>
            <w:r/>
            <w:r>
              <w:rPr>
                <w:rFonts w:ascii="Figtree" w:hAnsi="Figtree"/>
                <w:b w:val="0"/>
                <w:i w:val="0"/>
                <w:sz w:val="20"/>
              </w:rPr>
              <w:t>6</w:t>
            </w:r>
          </w:p>
        </w:tc>
        <w:tc>
          <w:tcPr>
            <w:tcW w:type="dxa" w:w="1218"/>
            <w:vAlign w:val="center"/>
          </w:tcPr>
          <w:p>
            <w:pPr>
              <w:spacing w:line="276" w:lineRule="auto" w:before="0" w:after="0"/>
            </w:pPr>
            <w:r/>
            <w:r>
              <w:rPr>
                <w:rFonts w:ascii="Figtree" w:hAnsi="Figtree"/>
                <w:b w:val="0"/>
                <w:i w:val="0"/>
                <w:sz w:val="20"/>
              </w:rPr>
              <w:t>Pre-provisioned capacity; infrastructure-as-code enabling rapid redeployment; multi-region fallback option</w:t>
            </w:r>
          </w:p>
        </w:tc>
        <w:tc>
          <w:tcPr>
            <w:tcW w:type="dxa" w:w="1218"/>
            <w:vAlign w:val="center"/>
          </w:tcPr>
          <w:p>
            <w:pPr>
              <w:spacing w:line="276" w:lineRule="auto" w:before="0" w:after="0"/>
            </w:pPr>
            <w:r/>
            <w:r>
              <w:rPr>
                <w:rFonts w:ascii="Figtree" w:hAnsi="Figtree"/>
                <w:b w:val="0"/>
                <w:i w:val="0"/>
                <w:sz w:val="20"/>
              </w:rPr>
              <w:t>SettleMint</w:t>
            </w:r>
          </w:p>
        </w:tc>
        <w:tc>
          <w:tcPr>
            <w:tcW w:type="dxa" w:w="1218"/>
            <w:vAlign w:val="center"/>
          </w:tcPr>
          <w:p>
            <w:pPr>
              <w:spacing w:line="276" w:lineRule="auto" w:before="0" w:after="0"/>
            </w:pPr>
            <w:r/>
            <w:r>
              <w:rPr>
                <w:rFonts w:ascii="Figtree" w:hAnsi="Figtree"/>
                <w:b w:val="0"/>
                <w:i w:val="0"/>
                <w:sz w:val="20"/>
              </w:rPr>
              <w:t>Open</w:t>
            </w:r>
          </w:p>
        </w:tc>
      </w:tr>
      <w:tr>
        <w:trPr>
          <w:trHeight w:val="425" w:hRule="atLeast"/>
        </w:trPr>
        <w:tc>
          <w:tcPr>
            <w:tcW w:type="dxa" w:w="1218"/>
            <w:vAlign w:val="center"/>
          </w:tcPr>
          <w:p>
            <w:pPr>
              <w:spacing w:line="276" w:lineRule="auto" w:before="0" w:after="0"/>
            </w:pPr>
            <w:r/>
            <w:r>
              <w:rPr>
                <w:rFonts w:ascii="Figtree" w:hAnsi="Figtree"/>
                <w:b w:val="0"/>
                <w:i w:val="0"/>
                <w:sz w:val="20"/>
              </w:rPr>
              <w:t>R7</w:t>
            </w:r>
          </w:p>
        </w:tc>
        <w:tc>
          <w:tcPr>
            <w:tcW w:type="dxa" w:w="1218"/>
            <w:vAlign w:val="center"/>
          </w:tcPr>
          <w:p>
            <w:pPr>
              <w:spacing w:line="276" w:lineRule="auto" w:before="0" w:after="0"/>
            </w:pPr>
            <w:r/>
            <w:r>
              <w:rPr>
                <w:rFonts w:ascii="Figtree" w:hAnsi="Figtree"/>
                <w:b w:val="0"/>
                <w:i w:val="0"/>
                <w:sz w:val="20"/>
              </w:rPr>
              <w:t>Emirates NBD resource availability for UAT</w:t>
            </w:r>
          </w:p>
        </w:tc>
        <w:tc>
          <w:tcPr>
            <w:tcW w:type="dxa" w:w="1218"/>
            <w:vAlign w:val="center"/>
          </w:tcPr>
          <w:p>
            <w:pPr>
              <w:spacing w:line="276" w:lineRule="auto" w:before="0" w:after="0"/>
            </w:pPr>
            <w:r/>
            <w:r>
              <w:rPr>
                <w:rFonts w:ascii="Figtree" w:hAnsi="Figtree"/>
                <w:b w:val="0"/>
                <w:i w:val="0"/>
                <w:sz w:val="20"/>
              </w:rPr>
              <w:t>3</w:t>
            </w:r>
          </w:p>
        </w:tc>
        <w:tc>
          <w:tcPr>
            <w:tcW w:type="dxa" w:w="1218"/>
            <w:vAlign w:val="center"/>
          </w:tcPr>
          <w:p>
            <w:pPr>
              <w:spacing w:line="276" w:lineRule="auto" w:before="0" w:after="0"/>
            </w:pPr>
            <w:r/>
            <w:r>
              <w:rPr>
                <w:rFonts w:ascii="Figtree" w:hAnsi="Figtree"/>
                <w:b w:val="0"/>
                <w:i w:val="0"/>
                <w:sz w:val="20"/>
              </w:rPr>
              <w:t>3</w:t>
            </w:r>
          </w:p>
        </w:tc>
        <w:tc>
          <w:tcPr>
            <w:tcW w:type="dxa" w:w="1218"/>
            <w:vAlign w:val="center"/>
          </w:tcPr>
          <w:p>
            <w:pPr>
              <w:spacing w:line="276" w:lineRule="auto" w:before="0" w:after="0"/>
            </w:pPr>
            <w:r/>
            <w:r>
              <w:rPr>
                <w:rFonts w:ascii="Figtree" w:hAnsi="Figtree"/>
                <w:b w:val="0"/>
                <w:i w:val="0"/>
                <w:sz w:val="20"/>
              </w:rPr>
              <w:t>9</w:t>
            </w:r>
          </w:p>
        </w:tc>
        <w:tc>
          <w:tcPr>
            <w:tcW w:type="dxa" w:w="1218"/>
            <w:vAlign w:val="center"/>
          </w:tcPr>
          <w:p>
            <w:pPr>
              <w:spacing w:line="276" w:lineRule="auto" w:before="0" w:after="0"/>
            </w:pPr>
            <w:r/>
            <w:r>
              <w:rPr>
                <w:rFonts w:ascii="Figtree" w:hAnsi="Figtree"/>
                <w:b w:val="0"/>
                <w:i w:val="0"/>
                <w:sz w:val="20"/>
              </w:rPr>
              <w:t>Clear effort estimates communicated upfront; UAT test scripts provided by SettleMint; flexible UAT scheduling</w:t>
            </w:r>
          </w:p>
        </w:tc>
        <w:tc>
          <w:tcPr>
            <w:tcW w:type="dxa" w:w="1218"/>
            <w:vAlign w:val="center"/>
          </w:tcPr>
          <w:p>
            <w:pPr>
              <w:spacing w:line="276" w:lineRule="auto" w:before="0" w:after="0"/>
            </w:pPr>
            <w:r/>
            <w:r>
              <w:rPr>
                <w:rFonts w:ascii="Figtree" w:hAnsi="Figtree"/>
                <w:b w:val="0"/>
                <w:i w:val="0"/>
                <w:sz w:val="20"/>
              </w:rPr>
              <w:t>Emirates NBD</w:t>
            </w:r>
          </w:p>
        </w:tc>
        <w:tc>
          <w:tcPr>
            <w:tcW w:type="dxa" w:w="1218"/>
            <w:vAlign w:val="center"/>
          </w:tcPr>
          <w:p>
            <w:pPr>
              <w:spacing w:line="276" w:lineRule="auto" w:before="0" w:after="0"/>
            </w:pPr>
            <w:r/>
            <w:r>
              <w:rPr>
                <w:rFonts w:ascii="Figtree" w:hAnsi="Figtree"/>
                <w:b w:val="0"/>
                <w:i w:val="0"/>
                <w:sz w:val="20"/>
              </w:rPr>
              <w:t>Open</w:t>
            </w:r>
          </w:p>
        </w:tc>
      </w:tr>
      <w:tr>
        <w:trPr>
          <w:trHeight w:val="425" w:hRule="atLeast"/>
        </w:trPr>
        <w:tc>
          <w:tcPr>
            <w:tcW w:type="dxa" w:w="1218"/>
            <w:vAlign w:val="center"/>
          </w:tcPr>
          <w:p>
            <w:pPr>
              <w:spacing w:line="276" w:lineRule="auto" w:before="0" w:after="0"/>
            </w:pPr>
            <w:r/>
            <w:r>
              <w:rPr>
                <w:rFonts w:ascii="Figtree" w:hAnsi="Figtree"/>
                <w:b w:val="0"/>
                <w:i w:val="0"/>
                <w:sz w:val="20"/>
              </w:rPr>
              <w:t>R8</w:t>
            </w:r>
          </w:p>
        </w:tc>
        <w:tc>
          <w:tcPr>
            <w:tcW w:type="dxa" w:w="1218"/>
            <w:vAlign w:val="center"/>
          </w:tcPr>
          <w:p>
            <w:pPr>
              <w:spacing w:line="276" w:lineRule="auto" w:before="0" w:after="0"/>
            </w:pPr>
            <w:r/>
            <w:r>
              <w:rPr>
                <w:rFonts w:ascii="Figtree" w:hAnsi="Figtree"/>
                <w:b w:val="0"/>
                <w:i w:val="0"/>
                <w:sz w:val="20"/>
              </w:rPr>
              <w:t>SWIFT ISO 20022 native support timing uncertainty</w:t>
            </w:r>
          </w:p>
        </w:tc>
        <w:tc>
          <w:tcPr>
            <w:tcW w:type="dxa" w:w="1218"/>
            <w:vAlign w:val="center"/>
          </w:tcPr>
          <w:p>
            <w:pPr>
              <w:spacing w:line="276" w:lineRule="auto" w:before="0" w:after="0"/>
            </w:pPr>
            <w:r/>
            <w:r>
              <w:rPr>
                <w:rFonts w:ascii="Figtree" w:hAnsi="Figtree"/>
                <w:b w:val="0"/>
                <w:i w:val="0"/>
                <w:sz w:val="20"/>
              </w:rPr>
              <w:t>2</w:t>
            </w:r>
          </w:p>
        </w:tc>
        <w:tc>
          <w:tcPr>
            <w:tcW w:type="dxa" w:w="1218"/>
            <w:vAlign w:val="center"/>
          </w:tcPr>
          <w:p>
            <w:pPr>
              <w:spacing w:line="276" w:lineRule="auto" w:before="0" w:after="0"/>
            </w:pPr>
            <w:r/>
            <w:r>
              <w:rPr>
                <w:rFonts w:ascii="Figtree" w:hAnsi="Figtree"/>
                <w:b w:val="0"/>
                <w:i w:val="0"/>
                <w:sz w:val="20"/>
              </w:rPr>
              <w:t>2</w:t>
            </w:r>
          </w:p>
        </w:tc>
        <w:tc>
          <w:tcPr>
            <w:tcW w:type="dxa" w:w="1218"/>
            <w:vAlign w:val="center"/>
          </w:tcPr>
          <w:p>
            <w:pPr>
              <w:spacing w:line="276" w:lineRule="auto" w:before="0" w:after="0"/>
            </w:pPr>
            <w:r/>
            <w:r>
              <w:rPr>
                <w:rFonts w:ascii="Figtree" w:hAnsi="Figtree"/>
                <w:b w:val="0"/>
                <w:i w:val="0"/>
                <w:sz w:val="20"/>
              </w:rPr>
              <w:t>4</w:t>
            </w:r>
          </w:p>
        </w:tc>
        <w:tc>
          <w:tcPr>
            <w:tcW w:type="dxa" w:w="1218"/>
            <w:vAlign w:val="center"/>
          </w:tcPr>
          <w:p>
            <w:pPr>
              <w:spacing w:line="276" w:lineRule="auto" w:before="0" w:after="0"/>
            </w:pPr>
            <w:r/>
            <w:r>
              <w:rPr>
                <w:rFonts w:ascii="Figtree" w:hAnsi="Figtree"/>
                <w:b w:val="0"/>
                <w:i w:val="0"/>
                <w:sz w:val="20"/>
              </w:rPr>
              <w:t>Middleware translation layer available and proven at two existing clients; native support target Q3 2026 is not a dependency for go-live</w:t>
            </w:r>
          </w:p>
        </w:tc>
        <w:tc>
          <w:tcPr>
            <w:tcW w:type="dxa" w:w="1218"/>
            <w:vAlign w:val="center"/>
          </w:tcPr>
          <w:p>
            <w:pPr>
              <w:spacing w:line="276" w:lineRule="auto" w:before="0" w:after="0"/>
            </w:pPr>
            <w:r/>
            <w:r>
              <w:rPr>
                <w:rFonts w:ascii="Figtree" w:hAnsi="Figtree"/>
                <w:b w:val="0"/>
                <w:i w:val="0"/>
                <w:sz w:val="20"/>
              </w:rPr>
              <w:t>SettleMint</w:t>
            </w:r>
          </w:p>
        </w:tc>
        <w:tc>
          <w:tcPr>
            <w:tcW w:type="dxa" w:w="1218"/>
            <w:vAlign w:val="center"/>
          </w:tcPr>
          <w:p>
            <w:pPr>
              <w:spacing w:line="276" w:lineRule="auto" w:before="0" w:after="0"/>
            </w:pPr>
            <w:r/>
            <w:r>
              <w:rPr>
                <w:rFonts w:ascii="Figtree" w:hAnsi="Figtree"/>
                <w:b w:val="0"/>
                <w:i w:val="0"/>
                <w:sz w:val="20"/>
              </w:rPr>
              <w:t>Open</w:t>
            </w:r>
          </w:p>
        </w:tc>
      </w:tr>
      <w:tr>
        <w:trPr>
          <w:trHeight w:val="425" w:hRule="atLeast"/>
        </w:trPr>
        <w:tc>
          <w:tcPr>
            <w:tcW w:type="dxa" w:w="1218"/>
            <w:vAlign w:val="center"/>
          </w:tcPr>
          <w:p>
            <w:pPr>
              <w:spacing w:line="276" w:lineRule="auto" w:before="0" w:after="0"/>
            </w:pPr>
            <w:r/>
            <w:r>
              <w:rPr>
                <w:rFonts w:ascii="Figtree" w:hAnsi="Figtree"/>
                <w:b w:val="0"/>
                <w:i w:val="0"/>
                <w:sz w:val="20"/>
              </w:rPr>
              <w:t>R9</w:t>
            </w:r>
          </w:p>
        </w:tc>
        <w:tc>
          <w:tcPr>
            <w:tcW w:type="dxa" w:w="1218"/>
            <w:vAlign w:val="center"/>
          </w:tcPr>
          <w:p>
            <w:pPr>
              <w:spacing w:line="276" w:lineRule="auto" w:before="0" w:after="0"/>
            </w:pPr>
            <w:r/>
            <w:r>
              <w:rPr>
                <w:rFonts w:ascii="Figtree" w:hAnsi="Figtree"/>
                <w:b w:val="0"/>
                <w:i w:val="0"/>
                <w:sz w:val="20"/>
              </w:rPr>
              <w:t>Multi-party trade finance counterparty onboarding delay</w:t>
            </w:r>
          </w:p>
        </w:tc>
        <w:tc>
          <w:tcPr>
            <w:tcW w:type="dxa" w:w="1218"/>
            <w:vAlign w:val="center"/>
          </w:tcPr>
          <w:p>
            <w:pPr>
              <w:spacing w:line="276" w:lineRule="auto" w:before="0" w:after="0"/>
            </w:pPr>
            <w:r/>
            <w:r>
              <w:rPr>
                <w:rFonts w:ascii="Figtree" w:hAnsi="Figtree"/>
                <w:b w:val="0"/>
                <w:i w:val="0"/>
                <w:sz w:val="20"/>
              </w:rPr>
              <w:t>3</w:t>
            </w:r>
          </w:p>
        </w:tc>
        <w:tc>
          <w:tcPr>
            <w:tcW w:type="dxa" w:w="1218"/>
            <w:vAlign w:val="center"/>
          </w:tcPr>
          <w:p>
            <w:pPr>
              <w:spacing w:line="276" w:lineRule="auto" w:before="0" w:after="0"/>
            </w:pPr>
            <w:r/>
            <w:r>
              <w:rPr>
                <w:rFonts w:ascii="Figtree" w:hAnsi="Figtree"/>
                <w:b w:val="0"/>
                <w:i w:val="0"/>
                <w:sz w:val="20"/>
              </w:rPr>
              <w:t>3</w:t>
            </w:r>
          </w:p>
        </w:tc>
        <w:tc>
          <w:tcPr>
            <w:tcW w:type="dxa" w:w="1218"/>
            <w:vAlign w:val="center"/>
          </w:tcPr>
          <w:p>
            <w:pPr>
              <w:spacing w:line="276" w:lineRule="auto" w:before="0" w:after="0"/>
            </w:pPr>
            <w:r/>
            <w:r>
              <w:rPr>
                <w:rFonts w:ascii="Figtree" w:hAnsi="Figtree"/>
                <w:b w:val="0"/>
                <w:i w:val="0"/>
                <w:sz w:val="20"/>
              </w:rPr>
              <w:t>9</w:t>
            </w:r>
          </w:p>
        </w:tc>
        <w:tc>
          <w:tcPr>
            <w:tcW w:type="dxa" w:w="1218"/>
            <w:vAlign w:val="center"/>
          </w:tcPr>
          <w:p>
            <w:pPr>
              <w:spacing w:line="276" w:lineRule="auto" w:before="0" w:after="0"/>
            </w:pPr>
            <w:r/>
            <w:r>
              <w:rPr>
                <w:rFonts w:ascii="Figtree" w:hAnsi="Figtree"/>
                <w:b w:val="0"/>
                <w:i w:val="0"/>
                <w:sz w:val="20"/>
              </w:rPr>
              <w:t>Phased onboarding approach; initial launch with a subset of counterparties; dedicated onboarding support during hypercare</w:t>
            </w:r>
          </w:p>
        </w:tc>
        <w:tc>
          <w:tcPr>
            <w:tcW w:type="dxa" w:w="1218"/>
            <w:vAlign w:val="center"/>
          </w:tcPr>
          <w:p>
            <w:pPr>
              <w:spacing w:line="276" w:lineRule="auto" w:before="0" w:after="0"/>
            </w:pPr>
            <w:r/>
            <w:r>
              <w:rPr>
                <w:rFonts w:ascii="Figtree" w:hAnsi="Figtree"/>
                <w:b w:val="0"/>
                <w:i w:val="0"/>
                <w:sz w:val="20"/>
              </w:rPr>
              <w:t>Joint</w:t>
            </w:r>
          </w:p>
        </w:tc>
        <w:tc>
          <w:tcPr>
            <w:tcW w:type="dxa" w:w="1218"/>
            <w:vAlign w:val="center"/>
          </w:tcPr>
          <w:p>
            <w:pPr>
              <w:spacing w:line="276" w:lineRule="auto" w:before="0" w:after="0"/>
            </w:pPr>
            <w:r/>
            <w:r>
              <w:rPr>
                <w:rFonts w:ascii="Figtree" w:hAnsi="Figtree"/>
                <w:b w:val="0"/>
                <w:i w:val="0"/>
                <w:sz w:val="20"/>
              </w:rPr>
              <w:t>Open</w:t>
            </w:r>
          </w:p>
        </w:tc>
      </w:tr>
      <w:tr>
        <w:trPr>
          <w:trHeight w:val="425" w:hRule="atLeast"/>
        </w:trPr>
        <w:tc>
          <w:tcPr>
            <w:tcW w:type="dxa" w:w="1218"/>
            <w:vAlign w:val="center"/>
          </w:tcPr>
          <w:p>
            <w:pPr>
              <w:spacing w:line="276" w:lineRule="auto" w:before="0" w:after="0"/>
            </w:pPr>
            <w:r/>
            <w:r>
              <w:rPr>
                <w:rFonts w:ascii="Figtree" w:hAnsi="Figtree"/>
                <w:b w:val="0"/>
                <w:i w:val="0"/>
                <w:sz w:val="20"/>
              </w:rPr>
              <w:t>R10</w:t>
            </w:r>
          </w:p>
        </w:tc>
        <w:tc>
          <w:tcPr>
            <w:tcW w:type="dxa" w:w="1218"/>
            <w:vAlign w:val="center"/>
          </w:tcPr>
          <w:p>
            <w:pPr>
              <w:spacing w:line="276" w:lineRule="auto" w:before="0" w:after="0"/>
            </w:pPr>
            <w:r/>
            <w:r>
              <w:rPr>
                <w:rFonts w:ascii="Figtree" w:hAnsi="Figtree"/>
                <w:b w:val="0"/>
                <w:i w:val="0"/>
                <w:sz w:val="20"/>
              </w:rPr>
              <w:t>Exchange rate feed reliability for multi-currency deposits</w:t>
            </w:r>
          </w:p>
        </w:tc>
        <w:tc>
          <w:tcPr>
            <w:tcW w:type="dxa" w:w="1218"/>
            <w:vAlign w:val="center"/>
          </w:tcPr>
          <w:p>
            <w:pPr>
              <w:spacing w:line="276" w:lineRule="auto" w:before="0" w:after="0"/>
            </w:pPr>
            <w:r/>
            <w:r>
              <w:rPr>
                <w:rFonts w:ascii="Figtree" w:hAnsi="Figtree"/>
                <w:b w:val="0"/>
                <w:i w:val="0"/>
                <w:sz w:val="20"/>
              </w:rPr>
              <w:t>2</w:t>
            </w:r>
          </w:p>
        </w:tc>
        <w:tc>
          <w:tcPr>
            <w:tcW w:type="dxa" w:w="1218"/>
            <w:vAlign w:val="center"/>
          </w:tcPr>
          <w:p>
            <w:pPr>
              <w:spacing w:line="276" w:lineRule="auto" w:before="0" w:after="0"/>
            </w:pPr>
            <w:r/>
            <w:r>
              <w:rPr>
                <w:rFonts w:ascii="Figtree" w:hAnsi="Figtree"/>
                <w:b w:val="0"/>
                <w:i w:val="0"/>
                <w:sz w:val="20"/>
              </w:rPr>
              <w:t>3</w:t>
            </w:r>
          </w:p>
        </w:tc>
        <w:tc>
          <w:tcPr>
            <w:tcW w:type="dxa" w:w="1218"/>
            <w:vAlign w:val="center"/>
          </w:tcPr>
          <w:p>
            <w:pPr>
              <w:spacing w:line="276" w:lineRule="auto" w:before="0" w:after="0"/>
            </w:pPr>
            <w:r/>
            <w:r>
              <w:rPr>
                <w:rFonts w:ascii="Figtree" w:hAnsi="Figtree"/>
                <w:b w:val="0"/>
                <w:i w:val="0"/>
                <w:sz w:val="20"/>
              </w:rPr>
              <w:t>6</w:t>
            </w:r>
          </w:p>
        </w:tc>
        <w:tc>
          <w:tcPr>
            <w:tcW w:type="dxa" w:w="1218"/>
            <w:vAlign w:val="center"/>
          </w:tcPr>
          <w:p>
            <w:pPr>
              <w:spacing w:line="276" w:lineRule="auto" w:before="0" w:after="0"/>
            </w:pPr>
            <w:r/>
            <w:r>
              <w:rPr>
                <w:rFonts w:ascii="Figtree" w:hAnsi="Figtree"/>
                <w:b w:val="0"/>
                <w:i w:val="0"/>
                <w:sz w:val="20"/>
              </w:rPr>
              <w:t>Configurable feed sources with failover; staleness thresholds with alerting; manual override capability for operations</w:t>
            </w:r>
          </w:p>
        </w:tc>
        <w:tc>
          <w:tcPr>
            <w:tcW w:type="dxa" w:w="1218"/>
            <w:vAlign w:val="center"/>
          </w:tcPr>
          <w:p>
            <w:pPr>
              <w:spacing w:line="276" w:lineRule="auto" w:before="0" w:after="0"/>
            </w:pPr>
            <w:r/>
            <w:r>
              <w:rPr>
                <w:rFonts w:ascii="Figtree" w:hAnsi="Figtree"/>
                <w:b w:val="0"/>
                <w:i w:val="0"/>
                <w:sz w:val="20"/>
              </w:rPr>
              <w:t>SettleMint</w:t>
            </w:r>
          </w:p>
        </w:tc>
        <w:tc>
          <w:tcPr>
            <w:tcW w:type="dxa" w:w="1218"/>
            <w:vAlign w:val="center"/>
          </w:tcPr>
          <w:p>
            <w:pPr>
              <w:spacing w:line="276" w:lineRule="auto" w:before="0" w:after="0"/>
            </w:pPr>
            <w:r/>
            <w:r>
              <w:rPr>
                <w:rFonts w:ascii="Figtree" w:hAnsi="Figtree"/>
                <w:b w:val="0"/>
                <w:i w:val="0"/>
                <w:sz w:val="20"/>
              </w:rPr>
              <w:t>Open</w:t>
            </w:r>
          </w:p>
        </w:tc>
      </w:tr>
    </w:tbl>
    <w:p>
      <w:pPr>
        <w:spacing w:before="0" w:after="0" w:line="120" w:lineRule="exact"/>
      </w:pPr>
    </w:p>
    <w:p>
      <w:pPr>
        <w:pStyle w:val="H4"/>
        <w:numPr>
          <w:ilvl w:val="3"/>
          <w:numId w:val="1"/>
        </w:numPr>
      </w:pPr>
      <w:r>
        <w:t>Risk Monitoring and Governance</w:t>
      </w:r>
    </w:p>
    <w:p>
      <w:r>
        <w:rPr>
          <w:rFonts w:ascii="Figtree" w:hAnsi="Figtree"/>
          <w:b w:val="0"/>
          <w:i w:val="0"/>
          <w:sz w:val="22"/>
        </w:rPr>
        <w:t>Risks are reviewed at three levels:</w:t>
      </w:r>
    </w:p>
    <w:p>
      <w:pPr>
        <w:pStyle w:val="ListParagraph"/>
        <w:numPr>
          <w:ilvl w:val="0"/>
          <w:numId w:val="25"/>
        </w:numPr>
      </w:pPr>
      <w:r>
        <w:rPr>
          <w:rFonts w:ascii="Figtree" w:hAnsi="Figtree"/>
          <w:b/>
          <w:i w:val="0"/>
          <w:sz w:val="22"/>
        </w:rPr>
        <w:t>Weekly:</w:t>
      </w:r>
      <w:r>
        <w:rPr>
          <w:rFonts w:ascii="Figtree" w:hAnsi="Figtree"/>
          <w:b w:val="0"/>
          <w:i w:val="0"/>
          <w:sz w:val="22"/>
        </w:rPr>
        <w:t xml:space="preserve"> Delivery team reviews RAID register, updates risk status, identifies new risks</w:t>
      </w:r>
    </w:p>
    <w:p>
      <w:pPr>
        <w:pStyle w:val="ListParagraph"/>
        <w:numPr>
          <w:ilvl w:val="0"/>
          <w:numId w:val="25"/>
        </w:numPr>
      </w:pPr>
      <w:r>
        <w:rPr>
          <w:rFonts w:ascii="Figtree" w:hAnsi="Figtree"/>
          <w:b/>
          <w:i w:val="0"/>
          <w:sz w:val="22"/>
        </w:rPr>
        <w:t>Bi-weekly:</w:t>
      </w:r>
      <w:r>
        <w:rPr>
          <w:rFonts w:ascii="Figtree" w:hAnsi="Figtree"/>
          <w:b w:val="0"/>
          <w:i w:val="0"/>
          <w:sz w:val="22"/>
        </w:rPr>
        <w:t xml:space="preserve"> Steering committee reviews top risks, approves mitigations, makes escalation decisions</w:t>
      </w:r>
    </w:p>
    <w:p>
      <w:pPr>
        <w:pStyle w:val="ListParagraph"/>
        <w:numPr>
          <w:ilvl w:val="0"/>
          <w:numId w:val="25"/>
        </w:numPr>
      </w:pPr>
      <w:r>
        <w:rPr>
          <w:rFonts w:ascii="Figtree" w:hAnsi="Figtree"/>
          <w:b/>
          <w:i w:val="0"/>
          <w:sz w:val="22"/>
        </w:rPr>
        <w:t>Gate reviews:</w:t>
      </w:r>
      <w:r>
        <w:rPr>
          <w:rFonts w:ascii="Figtree" w:hAnsi="Figtree"/>
          <w:b w:val="0"/>
          <w:i w:val="0"/>
          <w:sz w:val="22"/>
        </w:rPr>
        <w:t xml:space="preserve"> Comprehensive risk assessment as part of phase gate criteria; unresolved high-impact risks may block phase progression</w:t>
      </w:r>
    </w:p>
    <w:p>
      <w:pPr>
        <w:pStyle w:val="H3"/>
        <w:numPr>
          <w:ilvl w:val="2"/>
          <w:numId w:val="1"/>
        </w:numPr>
      </w:pPr>
      <w:r>
        <w:t>Appendix: Competitive Positioning</w:t>
      </w:r>
    </w:p>
    <w:p>
      <w:r>
        <w:rPr>
          <w:rFonts w:ascii="Figtree" w:hAnsi="Figtree"/>
          <w:b w:val="0"/>
          <w:i w:val="0"/>
          <w:sz w:val="22"/>
        </w:rPr>
        <w:t>DALP's competitive positioning for Emirates NBD's evaluation: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55"/>
        <w:gridCol w:w="3045"/>
        <w:gridCol w:w="447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Evaluation Dimension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Advantage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3249"/>
            <w:vAlign w:val="center"/>
          </w:tcPr>
          <w:p>
            <w:pPr>
              <w:spacing w:line="276" w:lineRule="auto" w:before="0" w:after="0"/>
            </w:pPr>
            <w:r/>
            <w:r>
              <w:rPr>
                <w:rFonts w:ascii="Figtree" w:hAnsi="Figtree"/>
                <w:b w:val="0"/>
                <w:i w:val="0"/>
                <w:sz w:val="20"/>
              </w:rPr>
              <w:t>Time to production</w:t>
            </w:r>
          </w:p>
        </w:tc>
        <w:tc>
          <w:tcPr>
            <w:tcW w:type="dxa" w:w="3249"/>
            <w:vAlign w:val="center"/>
          </w:tcPr>
          <w:p>
            <w:pPr>
              <w:spacing w:line="276" w:lineRule="auto" w:before="0" w:after="0"/>
            </w:pPr>
            <w:r/>
            <w:r>
              <w:rPr>
                <w:rFonts w:ascii="Figtree" w:hAnsi="Figtree"/>
                <w:b w:val="0"/>
                <w:i w:val="0"/>
                <w:sz w:val="20"/>
              </w:rPr>
              <w:t>19 weeks (proven methodology)</w:t>
            </w:r>
          </w:p>
        </w:tc>
        <w:tc>
          <w:tcPr>
            <w:tcW w:type="dxa" w:w="3249"/>
            <w:vAlign w:val="center"/>
          </w:tcPr>
          <w:p>
            <w:pPr>
              <w:spacing w:line="276" w:lineRule="auto" w:before="0" w:after="0"/>
            </w:pPr>
            <w:r/>
            <w:r>
              <w:rPr>
                <w:rFonts w:ascii="Figtree" w:hAnsi="Figtree"/>
                <w:b w:val="0"/>
                <w:i w:val="0"/>
                <w:sz w:val="20"/>
              </w:rPr>
              <w:t>14 reference deployments across similar institutional contexts</w:t>
            </w:r>
          </w:p>
        </w:tc>
      </w:tr>
      <w:tr>
        <w:trPr>
          <w:trHeight w:val="425" w:hRule="atLeast"/>
        </w:trPr>
        <w:tc>
          <w:tcPr>
            <w:tcW w:type="dxa" w:w="3249"/>
            <w:vAlign w:val="center"/>
          </w:tcPr>
          <w:p>
            <w:pPr>
              <w:spacing w:line="276" w:lineRule="auto" w:before="0" w:after="0"/>
            </w:pPr>
            <w:r/>
            <w:r>
              <w:rPr>
                <w:rFonts w:ascii="Figtree" w:hAnsi="Figtree"/>
                <w:b w:val="0"/>
                <w:i w:val="0"/>
                <w:sz w:val="20"/>
              </w:rPr>
              <w:t>Compliance depth</w:t>
            </w:r>
          </w:p>
        </w:tc>
        <w:tc>
          <w:tcPr>
            <w:tcW w:type="dxa" w:w="3249"/>
            <w:vAlign w:val="center"/>
          </w:tcPr>
          <w:p>
            <w:pPr>
              <w:spacing w:line="276" w:lineRule="auto" w:before="0" w:after="0"/>
            </w:pPr>
            <w:r/>
            <w:r>
              <w:rPr>
                <w:rFonts w:ascii="Figtree" w:hAnsi="Figtree"/>
                <w:b w:val="0"/>
                <w:i w:val="0"/>
                <w:sz w:val="20"/>
              </w:rPr>
              <w:t>18 on-chain modules, ex-ante enforcement</w:t>
            </w:r>
          </w:p>
        </w:tc>
        <w:tc>
          <w:tcPr>
            <w:tcW w:type="dxa" w:w="3249"/>
            <w:vAlign w:val="center"/>
          </w:tcPr>
          <w:p>
            <w:pPr>
              <w:spacing w:line="276" w:lineRule="auto" w:before="0" w:after="0"/>
            </w:pPr>
            <w:r/>
            <w:r>
              <w:rPr>
                <w:rFonts w:ascii="Figtree" w:hAnsi="Figtree"/>
                <w:b w:val="0"/>
                <w:i w:val="0"/>
                <w:sz w:val="20"/>
              </w:rPr>
              <w:t>No competitor offers equivalent on-chain compliance granularity</w:t>
            </w:r>
          </w:p>
        </w:tc>
      </w:tr>
      <w:tr>
        <w:trPr>
          <w:trHeight w:val="425" w:hRule="atLeast"/>
        </w:trPr>
        <w:tc>
          <w:tcPr>
            <w:tcW w:type="dxa" w:w="3249"/>
            <w:vAlign w:val="center"/>
          </w:tcPr>
          <w:p>
            <w:pPr>
              <w:spacing w:line="276" w:lineRule="auto" w:before="0" w:after="0"/>
            </w:pPr>
            <w:r/>
            <w:r>
              <w:rPr>
                <w:rFonts w:ascii="Figtree" w:hAnsi="Figtree"/>
                <w:b w:val="0"/>
                <w:i w:val="0"/>
                <w:sz w:val="20"/>
              </w:rPr>
              <w:t>Settlement performance</w:t>
            </w:r>
          </w:p>
        </w:tc>
        <w:tc>
          <w:tcPr>
            <w:tcW w:type="dxa" w:w="3249"/>
            <w:vAlign w:val="center"/>
          </w:tcPr>
          <w:p>
            <w:pPr>
              <w:spacing w:line="276" w:lineRule="auto" w:before="0" w:after="0"/>
            </w:pPr>
            <w:r/>
            <w:r>
              <w:rPr>
                <w:rFonts w:ascii="Figtree" w:hAnsi="Figtree"/>
                <w:b w:val="0"/>
                <w:i w:val="0"/>
                <w:sz w:val="20"/>
              </w:rPr>
              <w:t>Atomic DvP, under 3 seconds</w:t>
            </w:r>
          </w:p>
        </w:tc>
        <w:tc>
          <w:tcPr>
            <w:tcW w:type="dxa" w:w="3249"/>
            <w:vAlign w:val="center"/>
          </w:tcPr>
          <w:p>
            <w:pPr>
              <w:spacing w:line="276" w:lineRule="auto" w:before="0" w:after="0"/>
            </w:pPr>
            <w:r/>
            <w:r>
              <w:rPr>
                <w:rFonts w:ascii="Figtree" w:hAnsi="Figtree"/>
                <w:b w:val="0"/>
                <w:i w:val="0"/>
                <w:sz w:val="20"/>
              </w:rPr>
              <w:t>Commerzbank production: settlement under 10 seconds on exchange</w:t>
            </w:r>
          </w:p>
        </w:tc>
      </w:tr>
      <w:tr>
        <w:trPr>
          <w:trHeight w:val="425" w:hRule="atLeast"/>
        </w:trPr>
        <w:tc>
          <w:tcPr>
            <w:tcW w:type="dxa" w:w="3249"/>
            <w:vAlign w:val="center"/>
          </w:tcPr>
          <w:p>
            <w:pPr>
              <w:spacing w:line="276" w:lineRule="auto" w:before="0" w:after="0"/>
            </w:pPr>
            <w:r/>
            <w:r>
              <w:rPr>
                <w:rFonts w:ascii="Figtree" w:hAnsi="Figtree"/>
                <w:b w:val="0"/>
                <w:i w:val="0"/>
                <w:sz w:val="20"/>
              </w:rPr>
              <w:t>Licensing economics</w:t>
            </w:r>
          </w:p>
        </w:tc>
        <w:tc>
          <w:tcPr>
            <w:tcW w:type="dxa" w:w="3249"/>
            <w:vAlign w:val="center"/>
          </w:tcPr>
          <w:p>
            <w:pPr>
              <w:spacing w:line="276" w:lineRule="auto" w:before="0" w:after="0"/>
            </w:pPr>
            <w:r/>
            <w:r>
              <w:rPr>
                <w:rFonts w:ascii="Figtree" w:hAnsi="Figtree"/>
                <w:b w:val="0"/>
                <w:i w:val="0"/>
                <w:sz w:val="20"/>
              </w:rPr>
              <w:t>No per-transaction fees</w:t>
            </w:r>
          </w:p>
        </w:tc>
        <w:tc>
          <w:tcPr>
            <w:tcW w:type="dxa" w:w="3249"/>
            <w:vAlign w:val="center"/>
          </w:tcPr>
          <w:p>
            <w:pPr>
              <w:spacing w:line="276" w:lineRule="auto" w:before="0" w:after="0"/>
            </w:pPr>
            <w:r/>
            <w:r>
              <w:rPr>
                <w:rFonts w:ascii="Figtree" w:hAnsi="Figtree"/>
                <w:b w:val="0"/>
                <w:i w:val="0"/>
                <w:sz w:val="20"/>
              </w:rPr>
              <w:t>Scale without cost anxiety; Commerzbank projected EUR 7M/year savings</w:t>
            </w:r>
          </w:p>
        </w:tc>
      </w:tr>
      <w:tr>
        <w:trPr>
          <w:trHeight w:val="425" w:hRule="atLeast"/>
        </w:trPr>
        <w:tc>
          <w:tcPr>
            <w:tcW w:type="dxa" w:w="3249"/>
            <w:vAlign w:val="center"/>
          </w:tcPr>
          <w:p>
            <w:pPr>
              <w:spacing w:line="276" w:lineRule="auto" w:before="0" w:after="0"/>
            </w:pPr>
            <w:r/>
            <w:r>
              <w:rPr>
                <w:rFonts w:ascii="Figtree" w:hAnsi="Figtree"/>
                <w:b w:val="0"/>
                <w:i w:val="0"/>
                <w:sz w:val="20"/>
              </w:rPr>
              <w:t>UAE market relevance</w:t>
            </w:r>
          </w:p>
        </w:tc>
        <w:tc>
          <w:tcPr>
            <w:tcW w:type="dxa" w:w="3249"/>
            <w:vAlign w:val="center"/>
          </w:tcPr>
          <w:p>
            <w:pPr>
              <w:spacing w:line="276" w:lineRule="auto" w:before="0" w:after="0"/>
            </w:pPr>
            <w:r/>
            <w:r>
              <w:rPr>
                <w:rFonts w:ascii="Figtree" w:hAnsi="Figtree"/>
                <w:b w:val="0"/>
                <w:i w:val="0"/>
                <w:sz w:val="20"/>
              </w:rPr>
              <w:t>Active Gulf programs (Saudi RER, ADI Finstreet)</w:t>
            </w:r>
          </w:p>
        </w:tc>
        <w:tc>
          <w:tcPr>
            <w:tcW w:type="dxa" w:w="3249"/>
            <w:vAlign w:val="center"/>
          </w:tcPr>
          <w:p>
            <w:pPr>
              <w:spacing w:line="276" w:lineRule="auto" w:before="0" w:after="0"/>
            </w:pPr>
            <w:r/>
            <w:r>
              <w:rPr>
                <w:rFonts w:ascii="Figtree" w:hAnsi="Figtree"/>
                <w:b w:val="0"/>
                <w:i w:val="0"/>
                <w:sz w:val="20"/>
              </w:rPr>
              <w:t>Regional presence with sovereign-scale deployments</w:t>
            </w:r>
          </w:p>
        </w:tc>
      </w:tr>
      <w:tr>
        <w:trPr>
          <w:trHeight w:val="425" w:hRule="atLeast"/>
        </w:trPr>
        <w:tc>
          <w:tcPr>
            <w:tcW w:type="dxa" w:w="3249"/>
            <w:vAlign w:val="center"/>
          </w:tcPr>
          <w:p>
            <w:pPr>
              <w:spacing w:line="276" w:lineRule="auto" w:before="0" w:after="0"/>
            </w:pPr>
            <w:r/>
            <w:r>
              <w:rPr>
                <w:rFonts w:ascii="Figtree" w:hAnsi="Figtree"/>
                <w:b w:val="0"/>
                <w:i w:val="0"/>
                <w:sz w:val="20"/>
              </w:rPr>
              <w:t>Trade finance capability</w:t>
            </w:r>
          </w:p>
        </w:tc>
        <w:tc>
          <w:tcPr>
            <w:tcW w:type="dxa" w:w="3249"/>
            <w:vAlign w:val="center"/>
          </w:tcPr>
          <w:p>
            <w:pPr>
              <w:spacing w:line="276" w:lineRule="auto" w:before="0" w:after="0"/>
            </w:pPr>
            <w:r/>
            <w:r>
              <w:rPr>
                <w:rFonts w:ascii="Figtree" w:hAnsi="Figtree"/>
                <w:b w:val="0"/>
                <w:i w:val="0"/>
                <w:sz w:val="20"/>
              </w:rPr>
              <w:t>Durable workflows, multi-party approvals</w:t>
            </w:r>
          </w:p>
        </w:tc>
        <w:tc>
          <w:tcPr>
            <w:tcW w:type="dxa" w:w="3249"/>
            <w:vAlign w:val="center"/>
          </w:tcPr>
          <w:p>
            <w:pPr>
              <w:spacing w:line="276" w:lineRule="auto" w:before="0" w:after="0"/>
            </w:pPr>
            <w:r/>
            <w:r>
              <w:rPr>
                <w:rFonts w:ascii="Figtree" w:hAnsi="Figtree"/>
                <w:b w:val="0"/>
                <w:i w:val="0"/>
                <w:sz w:val="20"/>
              </w:rPr>
              <w:t>RBI Innovation Hub: multi-bank LC processing in production</w:t>
            </w:r>
          </w:p>
        </w:tc>
      </w:tr>
      <w:tr>
        <w:trPr>
          <w:trHeight w:val="425" w:hRule="atLeast"/>
        </w:trPr>
        <w:tc>
          <w:tcPr>
            <w:tcW w:type="dxa" w:w="3249"/>
            <w:vAlign w:val="center"/>
          </w:tcPr>
          <w:p>
            <w:pPr>
              <w:spacing w:line="276" w:lineRule="auto" w:before="0" w:after="0"/>
            </w:pPr>
            <w:r/>
            <w:r>
              <w:rPr>
                <w:rFonts w:ascii="Figtree" w:hAnsi="Figtree"/>
                <w:b w:val="0"/>
                <w:i w:val="0"/>
                <w:sz w:val="20"/>
              </w:rPr>
              <w:t>Identity architecture</w:t>
            </w:r>
          </w:p>
        </w:tc>
        <w:tc>
          <w:tcPr>
            <w:tcW w:type="dxa" w:w="3249"/>
            <w:vAlign w:val="center"/>
          </w:tcPr>
          <w:p>
            <w:pPr>
              <w:spacing w:line="276" w:lineRule="auto" w:before="0" w:after="0"/>
            </w:pPr>
            <w:r/>
            <w:r>
              <w:rPr>
                <w:rFonts w:ascii="Figtree" w:hAnsi="Figtree"/>
                <w:b w:val="0"/>
                <w:i w:val="0"/>
                <w:sz w:val="20"/>
              </w:rPr>
              <w:t>On-chain, verifiable, claims-based</w:t>
            </w:r>
          </w:p>
        </w:tc>
        <w:tc>
          <w:tcPr>
            <w:tcW w:type="dxa" w:w="3249"/>
            <w:vAlign w:val="center"/>
          </w:tcPr>
          <w:p>
            <w:pPr>
              <w:spacing w:line="276" w:lineRule="auto" w:before="0" w:after="0"/>
            </w:pPr>
            <w:r/>
            <w:r>
              <w:rPr>
                <w:rFonts w:ascii="Figtree" w:hAnsi="Figtree"/>
                <w:b w:val="0"/>
                <w:i w:val="0"/>
                <w:sz w:val="20"/>
              </w:rPr>
              <w:t>OnchainID (ERC-734/735) with enterprise identity provider integration</w:t>
            </w:r>
          </w:p>
        </w:tc>
      </w:tr>
      <w:tr>
        <w:trPr>
          <w:trHeight w:val="425" w:hRule="atLeast"/>
        </w:trPr>
        <w:tc>
          <w:tcPr>
            <w:tcW w:type="dxa" w:w="3249"/>
            <w:vAlign w:val="center"/>
          </w:tcPr>
          <w:p>
            <w:pPr>
              <w:spacing w:line="276" w:lineRule="auto" w:before="0" w:after="0"/>
            </w:pPr>
            <w:r/>
            <w:r>
              <w:rPr>
                <w:rFonts w:ascii="Figtree" w:hAnsi="Figtree"/>
                <w:b w:val="0"/>
                <w:i w:val="0"/>
                <w:sz w:val="20"/>
              </w:rPr>
              <w:t>Custody flexibility</w:t>
            </w:r>
          </w:p>
        </w:tc>
        <w:tc>
          <w:tcPr>
            <w:tcW w:type="dxa" w:w="3249"/>
            <w:vAlign w:val="center"/>
          </w:tcPr>
          <w:p>
            <w:pPr>
              <w:spacing w:line="276" w:lineRule="auto" w:before="0" w:after="0"/>
            </w:pPr>
            <w:r/>
            <w:r>
              <w:rPr>
                <w:rFonts w:ascii="Figtree" w:hAnsi="Figtree"/>
                <w:b w:val="0"/>
                <w:i w:val="0"/>
                <w:sz w:val="20"/>
              </w:rPr>
              <w:t>Bring-your-own (DFNS, Fireblocks)</w:t>
            </w:r>
          </w:p>
        </w:tc>
        <w:tc>
          <w:tcPr>
            <w:tcW w:type="dxa" w:w="3249"/>
            <w:vAlign w:val="center"/>
          </w:tcPr>
          <w:p>
            <w:pPr>
              <w:spacing w:line="276" w:lineRule="auto" w:before="0" w:after="0"/>
            </w:pPr>
            <w:r/>
            <w:r>
              <w:rPr>
                <w:rFonts w:ascii="Figtree" w:hAnsi="Figtree"/>
                <w:b w:val="0"/>
                <w:i w:val="0"/>
                <w:sz w:val="20"/>
              </w:rPr>
              <w:t>No vendor lock-in for custody infrastructure</w:t>
            </w:r>
          </w:p>
        </w:tc>
      </w:tr>
      <w:tr>
        <w:trPr>
          <w:trHeight w:val="425" w:hRule="atLeast"/>
        </w:trPr>
        <w:tc>
          <w:tcPr>
            <w:tcW w:type="dxa" w:w="3249"/>
            <w:vAlign w:val="center"/>
          </w:tcPr>
          <w:p>
            <w:pPr>
              <w:spacing w:line="276" w:lineRule="auto" w:before="0" w:after="0"/>
            </w:pPr>
            <w:r/>
            <w:r>
              <w:rPr>
                <w:rFonts w:ascii="Figtree" w:hAnsi="Figtree"/>
                <w:b w:val="0"/>
                <w:i w:val="0"/>
                <w:sz w:val="20"/>
              </w:rPr>
              <w:t>Upgrade capability</w:t>
            </w:r>
          </w:p>
        </w:tc>
        <w:tc>
          <w:tcPr>
            <w:tcW w:type="dxa" w:w="3249"/>
            <w:vAlign w:val="center"/>
          </w:tcPr>
          <w:p>
            <w:pPr>
              <w:spacing w:line="276" w:lineRule="auto" w:before="0" w:after="0"/>
            </w:pPr>
            <w:r/>
            <w:r>
              <w:rPr>
                <w:rFonts w:ascii="Figtree" w:hAnsi="Figtree"/>
                <w:b w:val="0"/>
                <w:i w:val="0"/>
                <w:sz w:val="20"/>
              </w:rPr>
              <w:t>Runtime reconfiguration (DALPAsset)</w:t>
            </w:r>
          </w:p>
        </w:tc>
        <w:tc>
          <w:tcPr>
            <w:tcW w:type="dxa" w:w="3249"/>
            <w:vAlign w:val="center"/>
          </w:tcPr>
          <w:p>
            <w:pPr>
              <w:spacing w:line="276" w:lineRule="auto" w:before="0" w:after="0"/>
            </w:pPr>
            <w:r/>
            <w:r>
              <w:rPr>
                <w:rFonts w:ascii="Figtree" w:hAnsi="Figtree"/>
                <w:b w:val="0"/>
                <w:i w:val="0"/>
                <w:sz w:val="20"/>
              </w:rPr>
              <w:t>Features and compliance modules changed without redeployment</w:t>
            </w:r>
          </w:p>
        </w:tc>
      </w:tr>
      <w:tr>
        <w:trPr>
          <w:trHeight w:val="425" w:hRule="atLeast"/>
        </w:trPr>
        <w:tc>
          <w:tcPr>
            <w:tcW w:type="dxa" w:w="3249"/>
            <w:vAlign w:val="center"/>
          </w:tcPr>
          <w:p>
            <w:pPr>
              <w:spacing w:line="276" w:lineRule="auto" w:before="0" w:after="0"/>
            </w:pPr>
            <w:r/>
            <w:r>
              <w:rPr>
                <w:rFonts w:ascii="Figtree" w:hAnsi="Figtree"/>
                <w:b w:val="0"/>
                <w:i w:val="0"/>
                <w:sz w:val="20"/>
              </w:rPr>
              <w:t>Regulatory adaptability</w:t>
            </w:r>
          </w:p>
        </w:tc>
        <w:tc>
          <w:tcPr>
            <w:tcW w:type="dxa" w:w="3249"/>
            <w:vAlign w:val="center"/>
          </w:tcPr>
          <w:p>
            <w:pPr>
              <w:spacing w:line="276" w:lineRule="auto" w:before="0" w:after="0"/>
            </w:pPr>
            <w:r/>
            <w:r>
              <w:rPr>
                <w:rFonts w:ascii="Figtree" w:hAnsi="Figtree"/>
                <w:b w:val="0"/>
                <w:i w:val="0"/>
                <w:sz w:val="20"/>
              </w:rPr>
              <w:t>Configurable per-token compliance</w:t>
            </w:r>
          </w:p>
        </w:tc>
        <w:tc>
          <w:tcPr>
            <w:tcW w:type="dxa" w:w="3249"/>
            <w:vAlign w:val="center"/>
          </w:tcPr>
          <w:p>
            <w:pPr>
              <w:spacing w:line="276" w:lineRule="auto" w:before="0" w:after="0"/>
            </w:pPr>
            <w:r/>
            <w:r>
              <w:rPr>
                <w:rFonts w:ascii="Figtree" w:hAnsi="Figtree"/>
                <w:b w:val="0"/>
                <w:i w:val="0"/>
                <w:sz w:val="20"/>
              </w:rPr>
              <w:t>Different regulatory configurations for CBUAE, DFSA, ADGM scopes</w:t>
            </w:r>
          </w:p>
        </w:tc>
      </w:tr>
    </w:tbl>
    <w:p>
      <w:pPr>
        <w:spacing w:before="0" w:after="0" w:line="120" w:lineRule="exact"/>
      </w:pPr>
    </w:p>
    <w:p>
      <w:r>
        <w:rPr>
          <w:rFonts w:ascii="Figtree" w:hAnsi="Figtree"/>
          <w:b w:val="0"/>
          <w:i w:val="0"/>
          <w:sz w:val="22"/>
        </w:rPr>
        <w:t>Unlike platforms that require Emirates NBD to choose a blockchain network before designing asset structures, DALP inverts this: the bank defines asset lifecycle rules in business and regulatory terms, then deploys to the chosen network. This means Emirates NBD can begin structuring tokenized deposits while infrastructure decisions are finalized, without risking a re-architecture if the network selection changes.</w:t>
      </w:r>
    </w:p>
    <w:p>
      <w:r>
        <w:rPr>
          <w:rFonts w:ascii="Figtree" w:hAnsi="Figtree"/>
          <w:b w:val="0"/>
          <w:i w:val="0"/>
          <w:sz w:val="22"/>
        </w:rPr>
        <w:t>Most digital asset platforms treat compliance as an application-layer concern — checking rules after transaction submission and relying on manual intervention when violations are detected. DALP embeds compliance enforcement at the smart contract level, where rules are evaluated before state changes execute. This is a structural difference that eliminates the window between transaction submission and compliance review that creates regulatory risk in alternative approaches.</w:t>
      </w:r>
    </w:p>
    <w:p>
      <w:pPr>
        <w:pStyle w:val="H3"/>
        <w:numPr>
          <w:ilvl w:val="2"/>
          <w:numId w:val="1"/>
        </w:numPr>
      </w:pPr>
      <w:r>
        <w:t>Appendix A: Glossary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51"/>
        <w:gridCol w:w="722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r>
      <w:tr>
        <w:trPr>
          <w:trHeight w:val="425" w:hRule="atLeast"/>
        </w:trPr>
        <w:tc>
          <w:tcPr>
            <w:tcW w:type="dxa" w:w="4873"/>
            <w:vAlign w:val="center"/>
          </w:tcPr>
          <w:p>
            <w:pPr>
              <w:spacing w:line="276" w:lineRule="auto" w:before="0" w:after="0"/>
            </w:pPr>
            <w:r/>
            <w:r>
              <w:rPr>
                <w:rFonts w:ascii="Figtree" w:hAnsi="Figtree"/>
                <w:b w:val="0"/>
                <w:i w:val="0"/>
                <w:sz w:val="20"/>
              </w:rPr>
              <w:t>DALP</w:t>
            </w:r>
          </w:p>
        </w:tc>
        <w:tc>
          <w:tcPr>
            <w:tcW w:type="dxa" w:w="4873"/>
            <w:vAlign w:val="center"/>
          </w:tcPr>
          <w:p>
            <w:pPr>
              <w:spacing w:line="276" w:lineRule="auto" w:before="0" w:after="0"/>
            </w:pPr>
            <w:r/>
            <w:r>
              <w:rPr>
                <w:rFonts w:ascii="Figtree" w:hAnsi="Figtree"/>
                <w:b w:val="0"/>
                <w:i w:val="0"/>
                <w:sz w:val="20"/>
              </w:rPr>
              <w:t>Digital Asset Lifecycle Platform — SettleMint's production-grade platform</w:t>
            </w:r>
          </w:p>
        </w:tc>
      </w:tr>
      <w:tr>
        <w:trPr>
          <w:trHeight w:val="425" w:hRule="atLeast"/>
        </w:trPr>
        <w:tc>
          <w:tcPr>
            <w:tcW w:type="dxa" w:w="4873"/>
            <w:vAlign w:val="center"/>
          </w:tcPr>
          <w:p>
            <w:pPr>
              <w:spacing w:line="276" w:lineRule="auto" w:before="0" w:after="0"/>
            </w:pPr>
            <w:r/>
            <w:r>
              <w:rPr>
                <w:rFonts w:ascii="Figtree" w:hAnsi="Figtree"/>
                <w:b w:val="0"/>
                <w:i w:val="0"/>
                <w:sz w:val="20"/>
              </w:rPr>
              <w:t>SMART Protocol</w:t>
            </w:r>
          </w:p>
        </w:tc>
        <w:tc>
          <w:tcPr>
            <w:tcW w:type="dxa" w:w="4873"/>
            <w:vAlign w:val="center"/>
          </w:tcPr>
          <w:p>
            <w:pPr>
              <w:spacing w:line="276" w:lineRule="auto" w:before="0" w:after="0"/>
            </w:pPr>
            <w:r/>
            <w:r>
              <w:rPr>
                <w:rFonts w:ascii="Figtree" w:hAnsi="Figtree"/>
                <w:b w:val="0"/>
                <w:i w:val="0"/>
                <w:sz w:val="20"/>
              </w:rPr>
              <w:t>SettleMint Adaptable Regulated Token — ERC-3643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DALPAsset</w:t>
            </w:r>
          </w:p>
        </w:tc>
        <w:tc>
          <w:tcPr>
            <w:tcW w:type="dxa" w:w="4873"/>
            <w:vAlign w:val="center"/>
          </w:tcPr>
          <w:p>
            <w:pPr>
              <w:spacing w:line="276" w:lineRule="auto" w:before="0" w:after="0"/>
            </w:pPr>
            <w:r/>
            <w:r>
              <w:rPr>
                <w:rFonts w:ascii="Figtree" w:hAnsi="Figtree"/>
                <w:b w:val="0"/>
                <w:i w:val="0"/>
                <w:sz w:val="20"/>
              </w:rPr>
              <w:t>Configurable token contract supporting runtime feature and compliance changes</w:t>
            </w:r>
          </w:p>
        </w:tc>
      </w:tr>
      <w:tr>
        <w:trPr>
          <w:trHeight w:val="425" w:hRule="atLeast"/>
        </w:trPr>
        <w:tc>
          <w:tcPr>
            <w:tcW w:type="dxa" w:w="4873"/>
            <w:vAlign w:val="center"/>
          </w:tcPr>
          <w:p>
            <w:pPr>
              <w:spacing w:line="276" w:lineRule="auto" w:before="0" w:after="0"/>
            </w:pPr>
            <w:r/>
            <w:r>
              <w:rPr>
                <w:rFonts w:ascii="Figtree" w:hAnsi="Figtree"/>
                <w:b w:val="0"/>
                <w:i w:val="0"/>
                <w:sz w:val="20"/>
              </w:rPr>
              <w:t>OnchainID</w:t>
            </w:r>
          </w:p>
        </w:tc>
        <w:tc>
          <w:tcPr>
            <w:tcW w:type="dxa" w:w="4873"/>
            <w:vAlign w:val="center"/>
          </w:tcPr>
          <w:p>
            <w:pPr>
              <w:spacing w:line="276" w:lineRule="auto" w:before="0" w:after="0"/>
            </w:pPr>
            <w:r/>
            <w:r>
              <w:rPr>
                <w:rFonts w:ascii="Figtree" w:hAnsi="Figtree"/>
                <w:b w:val="0"/>
                <w:i w:val="0"/>
                <w:sz w:val="20"/>
              </w:rPr>
              <w:t>On-chain identity standard (ERC-734/735) for verifiable claims</w:t>
            </w:r>
          </w:p>
        </w:tc>
      </w:tr>
      <w:tr>
        <w:trPr>
          <w:trHeight w:val="425" w:hRule="atLeast"/>
        </w:trPr>
        <w:tc>
          <w:tcPr>
            <w:tcW w:type="dxa" w:w="4873"/>
            <w:vAlign w:val="center"/>
          </w:tcPr>
          <w:p>
            <w:pPr>
              <w:spacing w:line="276" w:lineRule="auto" w:before="0" w:after="0"/>
            </w:pPr>
            <w:r/>
            <w:r>
              <w:rPr>
                <w:rFonts w:ascii="Figtree" w:hAnsi="Figtree"/>
                <w:b w:val="0"/>
                <w:i w:val="0"/>
                <w:sz w:val="20"/>
              </w:rPr>
              <w:t>XvP</w:t>
            </w:r>
          </w:p>
        </w:tc>
        <w:tc>
          <w:tcPr>
            <w:tcW w:type="dxa" w:w="4873"/>
            <w:vAlign w:val="center"/>
          </w:tcPr>
          <w:p>
            <w:pPr>
              <w:spacing w:line="276" w:lineRule="auto" w:before="0" w:after="0"/>
            </w:pPr>
            <w:r/>
            <w:r>
              <w:rPr>
                <w:rFonts w:ascii="Figtree" w:hAnsi="Figtree"/>
                <w:b w:val="0"/>
                <w:i w:val="0"/>
                <w:sz w:val="20"/>
              </w:rPr>
              <w:t>Exchange versus Payment — atomic settlement addon</w:t>
            </w:r>
          </w:p>
        </w:tc>
      </w:tr>
      <w:tr>
        <w:trPr>
          <w:trHeight w:val="425" w:hRule="atLeast"/>
        </w:trPr>
        <w:tc>
          <w:tcPr>
            <w:tcW w:type="dxa" w:w="4873"/>
            <w:vAlign w:val="center"/>
          </w:tcPr>
          <w:p>
            <w:pPr>
              <w:spacing w:line="276" w:lineRule="auto" w:before="0" w:after="0"/>
            </w:pPr>
            <w:r/>
            <w:r>
              <w:rPr>
                <w:rFonts w:ascii="Figtree" w:hAnsi="Figtree"/>
                <w:b w:val="0"/>
                <w:i w:val="0"/>
                <w:sz w:val="20"/>
              </w:rPr>
              <w:t>DAPI</w:t>
            </w:r>
          </w:p>
        </w:tc>
        <w:tc>
          <w:tcPr>
            <w:tcW w:type="dxa" w:w="4873"/>
            <w:vAlign w:val="center"/>
          </w:tcPr>
          <w:p>
            <w:pPr>
              <w:spacing w:line="276" w:lineRule="auto" w:before="0" w:after="0"/>
            </w:pPr>
            <w:r/>
            <w:r>
              <w:rPr>
                <w:rFonts w:ascii="Figtree" w:hAnsi="Figtree"/>
                <w:b w:val="0"/>
                <w:i w:val="0"/>
                <w:sz w:val="20"/>
              </w:rPr>
              <w:t>Durable API Service — DALP's unified API layer</w:t>
            </w:r>
          </w:p>
        </w:tc>
      </w:tr>
      <w:tr>
        <w:trPr>
          <w:trHeight w:val="425" w:hRule="atLeast"/>
        </w:trPr>
        <w:tc>
          <w:tcPr>
            <w:tcW w:type="dxa" w:w="4873"/>
            <w:vAlign w:val="center"/>
          </w:tcPr>
          <w:p>
            <w:pPr>
              <w:spacing w:line="276" w:lineRule="auto" w:before="0" w:after="0"/>
            </w:pPr>
            <w:r/>
            <w:r>
              <w:rPr>
                <w:rFonts w:ascii="Figtree" w:hAnsi="Figtree"/>
                <w:b w:val="0"/>
                <w:i w:val="0"/>
                <w:sz w:val="20"/>
              </w:rPr>
              <w:t>IBFT</w:t>
            </w:r>
          </w:p>
        </w:tc>
        <w:tc>
          <w:tcPr>
            <w:tcW w:type="dxa" w:w="4873"/>
            <w:vAlign w:val="center"/>
          </w:tcPr>
          <w:p>
            <w:pPr>
              <w:spacing w:line="276" w:lineRule="auto" w:before="0" w:after="0"/>
            </w:pPr>
            <w:r/>
            <w:r>
              <w:rPr>
                <w:rFonts w:ascii="Figtree" w:hAnsi="Figtree"/>
                <w:b w:val="0"/>
                <w:i w:val="0"/>
                <w:sz w:val="20"/>
              </w:rPr>
              <w:t>Istanbul Byzantine Fault Tolerant — consensus mechanism</w:t>
            </w:r>
          </w:p>
        </w:tc>
      </w:tr>
      <w:tr>
        <w:trPr>
          <w:trHeight w:val="425" w:hRule="atLeast"/>
        </w:trPr>
        <w:tc>
          <w:tcPr>
            <w:tcW w:type="dxa" w:w="4873"/>
            <w:vAlign w:val="center"/>
          </w:tcPr>
          <w:p>
            <w:pPr>
              <w:spacing w:line="276" w:lineRule="auto" w:before="0" w:after="0"/>
            </w:pPr>
            <w:r/>
            <w:r>
              <w:rPr>
                <w:rFonts w:ascii="Figtree" w:hAnsi="Figtree"/>
                <w:b w:val="0"/>
                <w:i w:val="0"/>
                <w:sz w:val="20"/>
              </w:rPr>
              <w:t>DvP</w:t>
            </w:r>
          </w:p>
        </w:tc>
        <w:tc>
          <w:tcPr>
            <w:tcW w:type="dxa" w:w="4873"/>
            <w:vAlign w:val="center"/>
          </w:tcPr>
          <w:p>
            <w:pPr>
              <w:spacing w:line="276" w:lineRule="auto" w:before="0" w:after="0"/>
            </w:pPr>
            <w:r/>
            <w:r>
              <w:rPr>
                <w:rFonts w:ascii="Figtree" w:hAnsi="Figtree"/>
                <w:b w:val="0"/>
                <w:i w:val="0"/>
                <w:sz w:val="20"/>
              </w:rPr>
              <w:t>Delivery versus Payment — simultaneous exchange of assets</w:t>
            </w:r>
          </w:p>
        </w:tc>
      </w:tr>
    </w:tbl>
    <w:p>
      <w:pPr>
        <w:spacing w:before="0" w:after="0" w:line="120" w:lineRule="exact"/>
      </w:pPr>
    </w:p>
    <w:p>
      <w:pPr>
        <w:pStyle w:val="H3"/>
        <w:numPr>
          <w:ilvl w:val="2"/>
          <w:numId w:val="1"/>
        </w:numPr>
      </w:pPr>
      <w:r>
        <w:t>Appendix B: Support Tier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92"/>
        <w:gridCol w:w="2016"/>
        <w:gridCol w:w="2448"/>
        <w:gridCol w:w="201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2436"/>
            <w:vAlign w:val="center"/>
          </w:tcPr>
          <w:p>
            <w:pPr>
              <w:spacing w:line="276" w:lineRule="auto" w:before="0" w:after="0"/>
            </w:pPr>
            <w:r/>
            <w:r>
              <w:rPr>
                <w:rFonts w:ascii="Figtree" w:hAnsi="Figtree"/>
                <w:b w:val="0"/>
                <w:i w:val="0"/>
                <w:sz w:val="20"/>
              </w:rPr>
              <w:t>Coverage</w:t>
            </w:r>
          </w:p>
        </w:tc>
        <w:tc>
          <w:tcPr>
            <w:tcW w:type="dxa" w:w="2436"/>
            <w:vAlign w:val="center"/>
          </w:tcPr>
          <w:p>
            <w:pPr>
              <w:spacing w:line="276" w:lineRule="auto" w:before="0" w:after="0"/>
            </w:pPr>
            <w:r/>
            <w:r>
              <w:rPr>
                <w:rFonts w:ascii="Figtree" w:hAnsi="Figtree"/>
                <w:b w:val="0"/>
                <w:i w:val="0"/>
                <w:sz w:val="20"/>
              </w:rPr>
              <w:t>Business hours</w:t>
            </w:r>
          </w:p>
        </w:tc>
        <w:tc>
          <w:tcPr>
            <w:tcW w:type="dxa" w:w="2436"/>
            <w:vAlign w:val="center"/>
          </w:tcPr>
          <w:p>
            <w:pPr>
              <w:spacing w:line="276" w:lineRule="auto" w:before="0" w:after="0"/>
            </w:pPr>
            <w:r/>
            <w:r>
              <w:rPr>
                <w:rFonts w:ascii="Figtree" w:hAnsi="Figtree"/>
                <w:b w:val="0"/>
                <w:i w:val="0"/>
                <w:sz w:val="20"/>
              </w:rPr>
              <w:t>16×5 + P1 on-call</w:t>
            </w:r>
          </w:p>
        </w:tc>
        <w:tc>
          <w:tcPr>
            <w:tcW w:type="dxa" w:w="2436"/>
            <w:vAlign w:val="center"/>
          </w:tcPr>
          <w:p>
            <w:pPr>
              <w:spacing w:line="276" w:lineRule="auto" w:before="0" w:after="0"/>
            </w:pPr>
            <w:r/>
            <w:r>
              <w:rPr>
                <w:rFonts w:ascii="Figtree" w:hAnsi="Figtree"/>
                <w:b w:val="0"/>
                <w:i w:val="0"/>
                <w:sz w:val="20"/>
              </w:rPr>
              <w:t>24/7/365</w:t>
            </w:r>
          </w:p>
        </w:tc>
      </w:tr>
      <w:tr>
        <w:trPr>
          <w:trHeight w:val="425" w:hRule="atLeast"/>
        </w:trPr>
        <w:tc>
          <w:tcPr>
            <w:tcW w:type="dxa" w:w="2436"/>
            <w:vAlign w:val="center"/>
          </w:tcPr>
          <w:p>
            <w:pPr>
              <w:spacing w:line="276" w:lineRule="auto" w:before="0" w:after="0"/>
            </w:pPr>
            <w:r/>
            <w:r>
              <w:rPr>
                <w:rFonts w:ascii="Figtree" w:hAnsi="Figtree"/>
                <w:b w:val="0"/>
                <w:i w:val="0"/>
                <w:sz w:val="20"/>
              </w:rPr>
              <w:t>P1 response</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hours</w:t>
            </w:r>
          </w:p>
        </w:tc>
        <w:tc>
          <w:tcPr>
            <w:tcW w:type="dxa" w:w="2436"/>
            <w:vAlign w:val="center"/>
          </w:tcPr>
          <w:p>
            <w:pPr>
              <w:spacing w:line="276" w:lineRule="auto" w:before="0" w:after="0"/>
            </w:pPr>
            <w:r/>
            <w:r>
              <w:rPr>
                <w:rFonts w:ascii="Figtree" w:hAnsi="Figtree"/>
                <w:b w:val="0"/>
                <w:i w:val="0"/>
                <w:sz w:val="20"/>
              </w:rPr>
              <w:t>30 minutes</w:t>
            </w:r>
          </w:p>
        </w:tc>
      </w:tr>
      <w:tr>
        <w:trPr>
          <w:trHeight w:val="425" w:hRule="atLeast"/>
        </w:trPr>
        <w:tc>
          <w:tcPr>
            <w:tcW w:type="dxa" w:w="2436"/>
            <w:vAlign w:val="center"/>
          </w:tcPr>
          <w:p>
            <w:pPr>
              <w:spacing w:line="276" w:lineRule="auto" w:before="0" w:after="0"/>
            </w:pPr>
            <w:r/>
            <w:r>
              <w:rPr>
                <w:rFonts w:ascii="Figtree" w:hAnsi="Figtree"/>
                <w:b w:val="0"/>
                <w:i w:val="0"/>
                <w:sz w:val="20"/>
              </w:rPr>
              <w:t>Uptime SLA</w:t>
            </w:r>
          </w:p>
        </w:tc>
        <w:tc>
          <w:tcPr>
            <w:tcW w:type="dxa" w:w="2436"/>
            <w:vAlign w:val="center"/>
          </w:tcPr>
          <w:p>
            <w:pPr>
              <w:spacing w:line="276" w:lineRule="auto" w:before="0" w:after="0"/>
            </w:pPr>
            <w:r/>
            <w:r>
              <w:rPr>
                <w:rFonts w:ascii="Figtree" w:hAnsi="Figtree"/>
                <w:b w:val="0"/>
                <w:i w:val="0"/>
                <w:sz w:val="20"/>
              </w:rPr>
              <w:t>99.9%</w:t>
            </w:r>
          </w:p>
        </w:tc>
        <w:tc>
          <w:tcPr>
            <w:tcW w:type="dxa" w:w="2436"/>
            <w:vAlign w:val="center"/>
          </w:tcPr>
          <w:p>
            <w:pPr>
              <w:spacing w:line="276" w:lineRule="auto" w:before="0" w:after="0"/>
            </w:pPr>
            <w:r/>
            <w:r>
              <w:rPr>
                <w:rFonts w:ascii="Figtree" w:hAnsi="Figtree"/>
                <w:b w:val="0"/>
                <w:i w:val="0"/>
                <w:sz w:val="20"/>
              </w:rPr>
              <w:t>99.95%</w:t>
            </w:r>
          </w:p>
        </w:tc>
        <w:tc>
          <w:tcPr>
            <w:tcW w:type="dxa" w:w="2436"/>
            <w:vAlign w:val="center"/>
          </w:tcPr>
          <w:p>
            <w:pPr>
              <w:spacing w:line="276" w:lineRule="auto" w:before="0" w:after="0"/>
            </w:pPr>
            <w:r/>
            <w:r>
              <w:rPr>
                <w:rFonts w:ascii="Figtree" w:hAnsi="Figtree"/>
                <w:b w:val="0"/>
                <w:i w:val="0"/>
                <w:sz w:val="20"/>
              </w:rPr>
              <w:t>99.99%</w:t>
            </w:r>
          </w:p>
        </w:tc>
      </w:tr>
      <w:tr>
        <w:trPr>
          <w:trHeight w:val="425" w:hRule="atLeast"/>
        </w:trPr>
        <w:tc>
          <w:tcPr>
            <w:tcW w:type="dxa" w:w="2436"/>
            <w:vAlign w:val="center"/>
          </w:tcPr>
          <w:p>
            <w:pPr>
              <w:spacing w:line="276" w:lineRule="auto" w:before="0" w:after="0"/>
            </w:pPr>
            <w:r/>
            <w:r>
              <w:rPr>
                <w:rFonts w:ascii="Figtree" w:hAnsi="Figtree"/>
                <w:b w:val="0"/>
                <w:i w:val="0"/>
                <w:sz w:val="20"/>
              </w:rPr>
              <w:t>Dedicated engineer</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Yes</w:t>
            </w:r>
          </w:p>
        </w:tc>
        <w:tc>
          <w:tcPr>
            <w:tcW w:type="dxa" w:w="2436"/>
            <w:vAlign w:val="center"/>
          </w:tcPr>
          <w:p>
            <w:pPr>
              <w:spacing w:line="276" w:lineRule="auto" w:before="0" w:after="0"/>
            </w:pPr>
            <w:r/>
            <w:r>
              <w:rPr>
                <w:rFonts w:ascii="Figtree" w:hAnsi="Figtree"/>
                <w:b w:val="0"/>
                <w:i w:val="0"/>
                <w:sz w:val="20"/>
              </w:rPr>
              <w:t>Dedicated team</w:t>
            </w:r>
          </w:p>
        </w:tc>
      </w:tr>
      <w:tr>
        <w:trPr>
          <w:trHeight w:val="425" w:hRule="atLeast"/>
        </w:trPr>
        <w:tc>
          <w:tcPr>
            <w:tcW w:type="dxa" w:w="2436"/>
            <w:vAlign w:val="center"/>
          </w:tcPr>
          <w:p>
            <w:pPr>
              <w:spacing w:line="276" w:lineRule="auto" w:before="0" w:after="0"/>
            </w:pPr>
            <w:r/>
            <w:r>
              <w:rPr>
                <w:rFonts w:ascii="Figtree" w:hAnsi="Figtree"/>
                <w:b w:val="0"/>
                <w:i w:val="0"/>
                <w:sz w:val="20"/>
              </w:rPr>
              <w:t>Update cycle</w:t>
            </w:r>
          </w:p>
        </w:tc>
        <w:tc>
          <w:tcPr>
            <w:tcW w:type="dxa" w:w="2436"/>
            <w:vAlign w:val="center"/>
          </w:tcPr>
          <w:p>
            <w:pPr>
              <w:spacing w:line="276" w:lineRule="auto" w:before="0" w:after="0"/>
            </w:pPr>
            <w:r/>
            <w:r>
              <w:rPr>
                <w:rFonts w:ascii="Figtree" w:hAnsi="Figtree"/>
                <w:b w:val="0"/>
                <w:i w:val="0"/>
                <w:sz w:val="20"/>
              </w:rPr>
              <w:t>Quarterly</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Continuous</w:t>
            </w:r>
          </w:p>
        </w:tc>
      </w:tr>
    </w:tbl>
    <w:p>
      <w:pPr>
        <w:spacing w:before="0" w:after="0" w:line="120" w:lineRule="exact"/>
      </w:pPr>
    </w:p>
    <w:p>
      <w:pPr>
        <w:pStyle w:val="H3"/>
        <w:numPr>
          <w:ilvl w:val="2"/>
          <w:numId w:val="1"/>
        </w:numPr>
      </w:pPr>
      <w:r>
        <w:t>Appendix C: Reconciliation Architecture</w:t>
      </w:r>
    </w:p>
    <w:p>
      <w:r>
        <w:rPr>
          <w:rFonts w:ascii="Figtree" w:hAnsi="Figtree"/>
          <w:b w:val="0"/>
          <w:i w:val="0"/>
          <w:sz w:val="22"/>
        </w:rPr>
        <w:t>Emirates NBD's RFP specifically calls out reconciliation as a critical concern (REQ-10). DALP's reconciliation architecture provides multiple mechanisms for ensuring tokenized records remain synchronized with core books:</w:t>
      </w:r>
    </w:p>
    <w:p>
      <w:r>
        <w:rPr>
          <w:rFonts w:ascii="Figtree" w:hAnsi="Figtree"/>
          <w:b/>
          <w:i w:val="0"/>
          <w:sz w:val="22"/>
        </w:rPr>
        <w:t>Real-time event streaming.</w:t>
      </w:r>
      <w:r>
        <w:rPr>
          <w:rFonts w:ascii="Figtree" w:hAnsi="Figtree"/>
          <w:b w:val="0"/>
          <w:i w:val="0"/>
          <w:sz w:val="22"/>
        </w:rPr>
        <w:t xml:space="preserve"> Every token operation (mint, burn, transfer, settlement, yield distribution) generates both an on-chain event and an off-chain webhook notification. Emirates NBD's core banking middleware can consume these events in real time to update deposit and trade finance records.</w:t>
      </w:r>
    </w:p>
    <w:p>
      <w:r>
        <w:rPr>
          <w:rFonts w:ascii="Figtree" w:hAnsi="Figtree"/>
          <w:b/>
          <w:i w:val="0"/>
          <w:sz w:val="22"/>
        </w:rPr>
        <w:t>Periodic reconciliation queries.</w:t>
      </w:r>
      <w:r>
        <w:rPr>
          <w:rFonts w:ascii="Figtree" w:hAnsi="Figtree"/>
          <w:b w:val="0"/>
          <w:i w:val="0"/>
          <w:sz w:val="22"/>
        </w:rPr>
        <w:t xml:space="preserve"> GraphQL queries enable Emirates NBD to extract current token state (balances, holder lists, transaction history) at any point for comparison with core banking records. These queries can be automated on configurable schedules (hourly, daily, or on-demand).</w:t>
      </w:r>
    </w:p>
    <w:p>
      <w:r>
        <w:rPr>
          <w:rFonts w:ascii="Figtree" w:hAnsi="Figtree"/>
          <w:b/>
          <w:i w:val="0"/>
          <w:sz w:val="22"/>
        </w:rPr>
        <w:t>Balance verification API.</w:t>
      </w:r>
      <w:r>
        <w:rPr>
          <w:rFonts w:ascii="Figtree" w:hAnsi="Figtree"/>
          <w:b w:val="0"/>
          <w:i w:val="0"/>
          <w:sz w:val="22"/>
        </w:rPr>
        <w:t xml:space="preserve"> The REST API provides balance verification endpoints that Emirates NBD's reconciliation processes can call to compare on-chain token balances with core banking deposit balances. Discrepancies generate alerts through the monitoring system.</w:t>
      </w:r>
    </w:p>
    <w:p>
      <w:r>
        <w:rPr>
          <w:rFonts w:ascii="Figtree" w:hAnsi="Figtree"/>
          <w:b/>
          <w:i w:val="0"/>
          <w:sz w:val="22"/>
        </w:rPr>
        <w:t>Historical state reconstruction.</w:t>
      </w:r>
      <w:r>
        <w:rPr>
          <w:rFonts w:ascii="Figtree" w:hAnsi="Figtree"/>
          <w:b w:val="0"/>
          <w:i w:val="0"/>
          <w:sz w:val="22"/>
        </w:rPr>
        <w:t xml:space="preserve"> The historical balances token feature enables point-in-time balance queries, allowing Emirates NBD to reconstruct the state of any deposit at any previous block height. This is essential for end-of-day reconciliation, period-end closing, and audit investigations.</w:t>
      </w:r>
    </w:p>
    <w:p>
      <w:r>
        <w:rPr>
          <w:rFonts w:ascii="Figtree" w:hAnsi="Figtree"/>
          <w:b/>
          <w:i w:val="0"/>
          <w:sz w:val="22"/>
        </w:rPr>
        <w:t>Reconciliation evidence format.</w:t>
      </w:r>
      <w:r>
        <w:rPr>
          <w:rFonts w:ascii="Figtree" w:hAnsi="Figtree"/>
          <w:b w:val="0"/>
          <w:i w:val="0"/>
          <w:sz w:val="22"/>
        </w:rPr>
        <w:t xml:space="preserve"> DALP produces reconciliation data in structured formats (JSON, CSV) compatible with Emirates NBD's existing reconciliation tools. Field mappings between DALP events and core banking records are defined during Phase 1 and implemented during Phase 4 integration.</w:t>
      </w:r>
    </w:p>
    <w:p>
      <w:pPr>
        <w:pStyle w:val="H3"/>
        <w:numPr>
          <w:ilvl w:val="2"/>
          <w:numId w:val="1"/>
        </w:numPr>
      </w:pPr>
      <w:r>
        <w:t>Appendix D: Performance Benchmarks</w:t>
      </w:r>
    </w:p>
    <w:p>
      <w:r>
        <w:rPr>
          <w:rFonts w:ascii="Figtree" w:hAnsi="Figtree"/>
          <w:b w:val="0"/>
          <w:i w:val="0"/>
          <w:sz w:val="22"/>
        </w:rPr>
        <w:t>The following performance characteristics are based on DALP's production deployments and internal testing: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82"/>
        <w:gridCol w:w="2796"/>
        <w:gridCol w:w="409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Measurement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Test Conditions</w:t>
            </w:r>
          </w:p>
        </w:tc>
      </w:tr>
      <w:tr>
        <w:trPr>
          <w:trHeight w:val="425" w:hRule="atLeast"/>
        </w:trPr>
        <w:tc>
          <w:tcPr>
            <w:tcW w:type="dxa" w:w="3249"/>
            <w:vAlign w:val="center"/>
          </w:tcPr>
          <w:p>
            <w:pPr>
              <w:spacing w:line="276" w:lineRule="auto" w:before="0" w:after="0"/>
            </w:pPr>
            <w:r/>
            <w:r>
              <w:rPr>
                <w:rFonts w:ascii="Figtree" w:hAnsi="Figtree"/>
                <w:b w:val="0"/>
                <w:i w:val="0"/>
                <w:sz w:val="20"/>
              </w:rPr>
              <w:t>Settlement latency (median)</w:t>
            </w:r>
          </w:p>
        </w:tc>
        <w:tc>
          <w:tcPr>
            <w:tcW w:type="dxa" w:w="3249"/>
            <w:vAlign w:val="center"/>
          </w:tcPr>
          <w:p>
            <w:pPr>
              <w:spacing w:line="276" w:lineRule="auto" w:before="0" w:after="0"/>
            </w:pPr>
            <w:r/>
            <w:r>
              <w:rPr>
                <w:rFonts w:ascii="Figtree" w:hAnsi="Figtree"/>
                <w:b w:val="0"/>
                <w:i w:val="0"/>
                <w:sz w:val="20"/>
              </w:rPr>
              <w:t>2.3 seconds</w:t>
            </w:r>
          </w:p>
        </w:tc>
        <w:tc>
          <w:tcPr>
            <w:tcW w:type="dxa" w:w="3249"/>
            <w:vAlign w:val="center"/>
          </w:tcPr>
          <w:p>
            <w:pPr>
              <w:spacing w:line="276" w:lineRule="auto" w:before="0" w:after="0"/>
            </w:pPr>
            <w:r/>
            <w:r>
              <w:rPr>
                <w:rFonts w:ascii="Figtree" w:hAnsi="Figtree"/>
                <w:b w:val="0"/>
                <w:i w:val="0"/>
                <w:sz w:val="20"/>
              </w:rPr>
              <w:t>4-node IBFT validator network, AWS c6g.xlarge, single-region</w:t>
            </w:r>
          </w:p>
        </w:tc>
      </w:tr>
      <w:tr>
        <w:trPr>
          <w:trHeight w:val="425" w:hRule="atLeast"/>
        </w:trPr>
        <w:tc>
          <w:tcPr>
            <w:tcW w:type="dxa" w:w="3249"/>
            <w:vAlign w:val="center"/>
          </w:tcPr>
          <w:p>
            <w:pPr>
              <w:spacing w:line="276" w:lineRule="auto" w:before="0" w:after="0"/>
            </w:pPr>
            <w:r/>
            <w:r>
              <w:rPr>
                <w:rFonts w:ascii="Figtree" w:hAnsi="Figtree"/>
                <w:b w:val="0"/>
                <w:i w:val="0"/>
                <w:sz w:val="20"/>
              </w:rPr>
              <w:t>Settlement latency (P99)</w:t>
            </w:r>
          </w:p>
        </w:tc>
        <w:tc>
          <w:tcPr>
            <w:tcW w:type="dxa" w:w="3249"/>
            <w:vAlign w:val="center"/>
          </w:tcPr>
          <w:p>
            <w:pPr>
              <w:spacing w:line="276" w:lineRule="auto" w:before="0" w:after="0"/>
            </w:pPr>
            <w:r/>
            <w:r>
              <w:rPr>
                <w:rFonts w:ascii="Figtree" w:hAnsi="Figtree"/>
                <w:b w:val="0"/>
                <w:i w:val="0"/>
                <w:sz w:val="20"/>
              </w:rPr>
              <w:t>4.1 seconds</w:t>
            </w:r>
          </w:p>
        </w:tc>
        <w:tc>
          <w:tcPr>
            <w:tcW w:type="dxa" w:w="3249"/>
            <w:vAlign w:val="center"/>
          </w:tcPr>
          <w:p>
            <w:pPr>
              <w:spacing w:line="276" w:lineRule="auto" w:before="0" w:after="0"/>
            </w:pPr>
            <w:r/>
            <w:r>
              <w:rPr>
                <w:rFonts w:ascii="Figtree" w:hAnsi="Figtree"/>
                <w:b w:val="0"/>
                <w:i w:val="0"/>
                <w:sz w:val="20"/>
              </w:rPr>
              <w:t>Same conditions, sustained load</w:t>
            </w:r>
          </w:p>
        </w:tc>
      </w:tr>
      <w:tr>
        <w:trPr>
          <w:trHeight w:val="425" w:hRule="atLeast"/>
        </w:trPr>
        <w:tc>
          <w:tcPr>
            <w:tcW w:type="dxa" w:w="3249"/>
            <w:vAlign w:val="center"/>
          </w:tcPr>
          <w:p>
            <w:pPr>
              <w:spacing w:line="276" w:lineRule="auto" w:before="0" w:after="0"/>
            </w:pPr>
            <w:r/>
            <w:r>
              <w:rPr>
                <w:rFonts w:ascii="Figtree" w:hAnsi="Figtree"/>
                <w:b w:val="0"/>
                <w:i w:val="0"/>
                <w:sz w:val="20"/>
              </w:rPr>
              <w:t>Concurrent settlement throughput</w:t>
            </w:r>
          </w:p>
        </w:tc>
        <w:tc>
          <w:tcPr>
            <w:tcW w:type="dxa" w:w="3249"/>
            <w:vAlign w:val="center"/>
          </w:tcPr>
          <w:p>
            <w:pPr>
              <w:spacing w:line="276" w:lineRule="auto" w:before="0" w:after="0"/>
            </w:pPr>
            <w:r/>
            <w:r>
              <w:rPr>
                <w:rFonts w:ascii="Figtree" w:hAnsi="Figtree"/>
                <w:b w:val="0"/>
                <w:i w:val="0"/>
                <w:sz w:val="20"/>
              </w:rPr>
              <w:t>500 TPS</w:t>
            </w:r>
          </w:p>
        </w:tc>
        <w:tc>
          <w:tcPr>
            <w:tcW w:type="dxa" w:w="3249"/>
            <w:vAlign w:val="center"/>
          </w:tcPr>
          <w:p>
            <w:pPr>
              <w:spacing w:line="276" w:lineRule="auto" w:before="0" w:after="0"/>
            </w:pPr>
            <w:r/>
            <w:r>
              <w:rPr>
                <w:rFonts w:ascii="Figtree" w:hAnsi="Figtree"/>
                <w:b w:val="0"/>
                <w:i w:val="0"/>
                <w:sz w:val="20"/>
              </w:rPr>
              <w:t>4-node IBFT, EIP-1559 gas pricing</w:t>
            </w:r>
          </w:p>
        </w:tc>
      </w:tr>
      <w:tr>
        <w:trPr>
          <w:trHeight w:val="425" w:hRule="atLeast"/>
        </w:trPr>
        <w:tc>
          <w:tcPr>
            <w:tcW w:type="dxa" w:w="3249"/>
            <w:vAlign w:val="center"/>
          </w:tcPr>
          <w:p>
            <w:pPr>
              <w:spacing w:line="276" w:lineRule="auto" w:before="0" w:after="0"/>
            </w:pPr>
            <w:r/>
            <w:r>
              <w:rPr>
                <w:rFonts w:ascii="Figtree" w:hAnsi="Figtree"/>
                <w:b w:val="0"/>
                <w:i w:val="0"/>
                <w:sz w:val="20"/>
              </w:rPr>
              <w:t>API response time (read)</w:t>
            </w:r>
          </w:p>
        </w:tc>
        <w:tc>
          <w:tcPr>
            <w:tcW w:type="dxa" w:w="3249"/>
            <w:vAlign w:val="center"/>
          </w:tcPr>
          <w:p>
            <w:pPr>
              <w:spacing w:line="276" w:lineRule="auto" w:before="0" w:after="0"/>
            </w:pPr>
            <w:r/>
            <w:r>
              <w:rPr>
                <w:rFonts w:ascii="Figtree" w:hAnsi="Figtree"/>
                <w:b w:val="0"/>
                <w:i w:val="0"/>
                <w:sz w:val="20"/>
              </w:rPr>
              <w:t>&lt; 100ms</w:t>
            </w:r>
          </w:p>
        </w:tc>
        <w:tc>
          <w:tcPr>
            <w:tcW w:type="dxa" w:w="3249"/>
            <w:vAlign w:val="center"/>
          </w:tcPr>
          <w:p>
            <w:pPr>
              <w:spacing w:line="276" w:lineRule="auto" w:before="0" w:after="0"/>
            </w:pPr>
            <w:r/>
            <w:r>
              <w:rPr>
                <w:rFonts w:ascii="Figtree" w:hAnsi="Figtree"/>
                <w:b w:val="0"/>
                <w:i w:val="0"/>
                <w:sz w:val="20"/>
              </w:rPr>
              <w:t>REST API v2, cached queries</w:t>
            </w:r>
          </w:p>
        </w:tc>
      </w:tr>
      <w:tr>
        <w:trPr>
          <w:trHeight w:val="425" w:hRule="atLeast"/>
        </w:trPr>
        <w:tc>
          <w:tcPr>
            <w:tcW w:type="dxa" w:w="3249"/>
            <w:vAlign w:val="center"/>
          </w:tcPr>
          <w:p>
            <w:pPr>
              <w:spacing w:line="276" w:lineRule="auto" w:before="0" w:after="0"/>
            </w:pPr>
            <w:r/>
            <w:r>
              <w:rPr>
                <w:rFonts w:ascii="Figtree" w:hAnsi="Figtree"/>
                <w:b w:val="0"/>
                <w:i w:val="0"/>
                <w:sz w:val="20"/>
              </w:rPr>
              <w:t>API response time (write)</w:t>
            </w:r>
          </w:p>
        </w:tc>
        <w:tc>
          <w:tcPr>
            <w:tcW w:type="dxa" w:w="3249"/>
            <w:vAlign w:val="center"/>
          </w:tcPr>
          <w:p>
            <w:pPr>
              <w:spacing w:line="276" w:lineRule="auto" w:before="0" w:after="0"/>
            </w:pPr>
            <w:r/>
            <w:r>
              <w:rPr>
                <w:rFonts w:ascii="Figtree" w:hAnsi="Figtree"/>
                <w:b w:val="0"/>
                <w:i w:val="0"/>
                <w:sz w:val="20"/>
              </w:rPr>
              <w:t>&lt; 500ms (submission), 2–4s (confirmation)</w:t>
            </w:r>
          </w:p>
        </w:tc>
        <w:tc>
          <w:tcPr>
            <w:tcW w:type="dxa" w:w="3249"/>
            <w:vAlign w:val="center"/>
          </w:tcPr>
          <w:p>
            <w:pPr>
              <w:spacing w:line="276" w:lineRule="auto" w:before="0" w:after="0"/>
            </w:pPr>
            <w:r/>
            <w:r>
              <w:rPr>
                <w:rFonts w:ascii="Figtree" w:hAnsi="Figtree"/>
                <w:b w:val="0"/>
                <w:i w:val="0"/>
                <w:sz w:val="20"/>
              </w:rPr>
              <w:t>REST API v2, including blockchain confirmation</w:t>
            </w:r>
          </w:p>
        </w:tc>
      </w:tr>
      <w:tr>
        <w:trPr>
          <w:trHeight w:val="425" w:hRule="atLeast"/>
        </w:trPr>
        <w:tc>
          <w:tcPr>
            <w:tcW w:type="dxa" w:w="3249"/>
            <w:vAlign w:val="center"/>
          </w:tcPr>
          <w:p>
            <w:pPr>
              <w:spacing w:line="276" w:lineRule="auto" w:before="0" w:after="0"/>
            </w:pPr>
            <w:r/>
            <w:r>
              <w:rPr>
                <w:rFonts w:ascii="Figtree" w:hAnsi="Figtree"/>
                <w:b w:val="0"/>
                <w:i w:val="0"/>
                <w:sz w:val="20"/>
              </w:rPr>
              <w:t>Compliance check latency</w:t>
            </w:r>
          </w:p>
        </w:tc>
        <w:tc>
          <w:tcPr>
            <w:tcW w:type="dxa" w:w="3249"/>
            <w:vAlign w:val="center"/>
          </w:tcPr>
          <w:p>
            <w:pPr>
              <w:spacing w:line="276" w:lineRule="auto" w:before="0" w:after="0"/>
            </w:pPr>
            <w:r/>
            <w:r>
              <w:rPr>
                <w:rFonts w:ascii="Figtree" w:hAnsi="Figtree"/>
                <w:b w:val="0"/>
                <w:i w:val="0"/>
                <w:sz w:val="20"/>
              </w:rPr>
              <w:t>&lt; 50ms per module</w:t>
            </w:r>
          </w:p>
        </w:tc>
        <w:tc>
          <w:tcPr>
            <w:tcW w:type="dxa" w:w="3249"/>
            <w:vAlign w:val="center"/>
          </w:tcPr>
          <w:p>
            <w:pPr>
              <w:spacing w:line="276" w:lineRule="auto" w:before="0" w:after="0"/>
            </w:pPr>
            <w:r/>
            <w:r>
              <w:rPr>
                <w:rFonts w:ascii="Figtree" w:hAnsi="Figtree"/>
                <w:b w:val="0"/>
                <w:i w:val="0"/>
                <w:sz w:val="20"/>
              </w:rPr>
              <w:t>On-chain evaluation, 5 modules in sequence</w:t>
            </w:r>
          </w:p>
        </w:tc>
      </w:tr>
      <w:tr>
        <w:trPr>
          <w:trHeight w:val="425" w:hRule="atLeast"/>
        </w:trPr>
        <w:tc>
          <w:tcPr>
            <w:tcW w:type="dxa" w:w="3249"/>
            <w:vAlign w:val="center"/>
          </w:tcPr>
          <w:p>
            <w:pPr>
              <w:spacing w:line="276" w:lineRule="auto" w:before="0" w:after="0"/>
            </w:pPr>
            <w:r/>
            <w:r>
              <w:rPr>
                <w:rFonts w:ascii="Figtree" w:hAnsi="Figtree"/>
                <w:b w:val="0"/>
                <w:i w:val="0"/>
                <w:sz w:val="20"/>
              </w:rPr>
              <w:t>Chain Indexer lag</w:t>
            </w:r>
          </w:p>
        </w:tc>
        <w:tc>
          <w:tcPr>
            <w:tcW w:type="dxa" w:w="3249"/>
            <w:vAlign w:val="center"/>
          </w:tcPr>
          <w:p>
            <w:pPr>
              <w:spacing w:line="276" w:lineRule="auto" w:before="0" w:after="0"/>
            </w:pPr>
            <w:r/>
            <w:r>
              <w:rPr>
                <w:rFonts w:ascii="Figtree" w:hAnsi="Figtree"/>
                <w:b w:val="0"/>
                <w:i w:val="0"/>
                <w:sz w:val="20"/>
              </w:rPr>
              <w:t>&lt; 2 seconds</w:t>
            </w:r>
          </w:p>
        </w:tc>
        <w:tc>
          <w:tcPr>
            <w:tcW w:type="dxa" w:w="3249"/>
            <w:vAlign w:val="center"/>
          </w:tcPr>
          <w:p>
            <w:pPr>
              <w:spacing w:line="276" w:lineRule="auto" w:before="0" w:after="0"/>
            </w:pPr>
            <w:r/>
            <w:r>
              <w:rPr>
                <w:rFonts w:ascii="Figtree" w:hAnsi="Figtree"/>
                <w:b w:val="0"/>
                <w:i w:val="0"/>
                <w:sz w:val="20"/>
              </w:rPr>
              <w:t>Event processing from block confirmation to indexed state</w:t>
            </w:r>
          </w:p>
        </w:tc>
      </w:tr>
      <w:tr>
        <w:trPr>
          <w:trHeight w:val="425" w:hRule="atLeast"/>
        </w:trPr>
        <w:tc>
          <w:tcPr>
            <w:tcW w:type="dxa" w:w="3249"/>
            <w:vAlign w:val="center"/>
          </w:tcPr>
          <w:p>
            <w:pPr>
              <w:spacing w:line="276" w:lineRule="auto" w:before="0" w:after="0"/>
            </w:pPr>
            <w:r/>
            <w:r>
              <w:rPr>
                <w:rFonts w:ascii="Figtree" w:hAnsi="Figtree"/>
                <w:b w:val="0"/>
                <w:i w:val="0"/>
                <w:sz w:val="20"/>
              </w:rPr>
              <w:t>Webhook delivery latency</w:t>
            </w:r>
          </w:p>
        </w:tc>
        <w:tc>
          <w:tcPr>
            <w:tcW w:type="dxa" w:w="3249"/>
            <w:vAlign w:val="center"/>
          </w:tcPr>
          <w:p>
            <w:pPr>
              <w:spacing w:line="276" w:lineRule="auto" w:before="0" w:after="0"/>
            </w:pPr>
            <w:r/>
            <w:r>
              <w:rPr>
                <w:rFonts w:ascii="Figtree" w:hAnsi="Figtree"/>
                <w:b w:val="0"/>
                <w:i w:val="0"/>
                <w:sz w:val="20"/>
              </w:rPr>
              <w:t>&lt; 1 second</w:t>
            </w:r>
          </w:p>
        </w:tc>
        <w:tc>
          <w:tcPr>
            <w:tcW w:type="dxa" w:w="3249"/>
            <w:vAlign w:val="center"/>
          </w:tcPr>
          <w:p>
            <w:pPr>
              <w:spacing w:line="276" w:lineRule="auto" w:before="0" w:after="0"/>
            </w:pPr>
            <w:r/>
            <w:r>
              <w:rPr>
                <w:rFonts w:ascii="Figtree" w:hAnsi="Figtree"/>
                <w:b w:val="0"/>
                <w:i w:val="0"/>
                <w:sz w:val="20"/>
              </w:rPr>
              <w:t>From on-chain event to webhook POST</w:t>
            </w:r>
          </w:p>
        </w:tc>
      </w:tr>
      <w:tr>
        <w:trPr>
          <w:trHeight w:val="425" w:hRule="atLeast"/>
        </w:trPr>
        <w:tc>
          <w:tcPr>
            <w:tcW w:type="dxa" w:w="3249"/>
            <w:vAlign w:val="center"/>
          </w:tcPr>
          <w:p>
            <w:pPr>
              <w:spacing w:line="276" w:lineRule="auto" w:before="0" w:after="0"/>
            </w:pPr>
            <w:r/>
            <w:r>
              <w:rPr>
                <w:rFonts w:ascii="Figtree" w:hAnsi="Figtree"/>
                <w:b w:val="0"/>
                <w:i w:val="0"/>
                <w:sz w:val="20"/>
              </w:rPr>
              <w:t>Dashboard refresh</w:t>
            </w:r>
          </w:p>
        </w:tc>
        <w:tc>
          <w:tcPr>
            <w:tcW w:type="dxa" w:w="3249"/>
            <w:vAlign w:val="center"/>
          </w:tcPr>
          <w:p>
            <w:pPr>
              <w:spacing w:line="276" w:lineRule="auto" w:before="0" w:after="0"/>
            </w:pPr>
            <w:r/>
            <w:r>
              <w:rPr>
                <w:rFonts w:ascii="Figtree" w:hAnsi="Figtree"/>
                <w:b w:val="0"/>
                <w:i w:val="0"/>
                <w:sz w:val="20"/>
              </w:rPr>
              <w:t>Real-time (SSE)</w:t>
            </w:r>
          </w:p>
        </w:tc>
        <w:tc>
          <w:tcPr>
            <w:tcW w:type="dxa" w:w="3249"/>
            <w:vAlign w:val="center"/>
          </w:tcPr>
          <w:p>
            <w:pPr>
              <w:spacing w:line="276" w:lineRule="auto" w:before="0" w:after="0"/>
            </w:pPr>
            <w:r/>
            <w:r>
              <w:rPr>
                <w:rFonts w:ascii="Figtree" w:hAnsi="Figtree"/>
                <w:b w:val="0"/>
                <w:i w:val="0"/>
                <w:sz w:val="20"/>
              </w:rPr>
              <w:t>Grafana + Server-Sent Events</w:t>
            </w:r>
          </w:p>
        </w:tc>
      </w:tr>
    </w:tbl>
    <w:p>
      <w:pPr>
        <w:spacing w:before="0" w:after="0" w:line="120" w:lineRule="exact"/>
      </w:pPr>
    </w:p>
    <w:p>
      <w:r>
        <w:rPr>
          <w:rFonts w:ascii="Figtree" w:hAnsi="Figtree"/>
          <w:b/>
          <w:i w:val="0"/>
          <w:sz w:val="22"/>
        </w:rPr>
        <w:t>Important qualification:</w:t>
      </w:r>
      <w:r>
        <w:rPr>
          <w:rFonts w:ascii="Figtree" w:hAnsi="Figtree"/>
          <w:b w:val="0"/>
          <w:i w:val="0"/>
          <w:sz w:val="22"/>
        </w:rPr>
        <w:t xml:space="preserve"> Performance in Emirates NBD's deployment will depend on infrastructure specifications, network configuration, and transaction complexity. The benchmarks above provide a reference baseline. Performance validation is part of Phase 4 testing, where Emirates NBD-specific load profiles are tested against the production infrastructure.</w:t>
      </w:r>
    </w:p>
    <w:p>
      <w:pPr>
        <w:pStyle w:val="H3"/>
        <w:numPr>
          <w:ilvl w:val="2"/>
          <w:numId w:val="1"/>
        </w:numPr>
      </w:pPr>
      <w:r>
        <w:t>Appendix E: Standards Compliance Reference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12"/>
        <w:gridCol w:w="3830"/>
        <w:gridCol w:w="362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Standard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3249"/>
            <w:vAlign w:val="center"/>
          </w:tcPr>
          <w:p>
            <w:pPr>
              <w:spacing w:line="276" w:lineRule="auto" w:before="0" w:after="0"/>
            </w:pPr>
            <w:r/>
            <w:r>
              <w:rPr>
                <w:rFonts w:ascii="Figtree" w:hAnsi="Figtree"/>
                <w:b w:val="0"/>
                <w:i w:val="0"/>
                <w:sz w:val="20"/>
              </w:rPr>
              <w:t>ERC-3643 (T-REX)</w:t>
            </w:r>
          </w:p>
        </w:tc>
        <w:tc>
          <w:tcPr>
            <w:tcW w:type="dxa" w:w="3249"/>
            <w:vAlign w:val="center"/>
          </w:tcPr>
          <w:p>
            <w:pPr>
              <w:spacing w:line="276" w:lineRule="auto" w:before="0" w:after="0"/>
            </w:pPr>
            <w:r/>
            <w:r>
              <w:rPr>
                <w:rFonts w:ascii="Figtree" w:hAnsi="Figtree"/>
                <w:b w:val="0"/>
                <w:i w:val="0"/>
                <w:sz w:val="20"/>
              </w:rPr>
              <w:t>Full implementation via SMART Protocol</w:t>
            </w:r>
          </w:p>
        </w:tc>
        <w:tc>
          <w:tcPr>
            <w:tcW w:type="dxa" w:w="3249"/>
            <w:vAlign w:val="center"/>
          </w:tcPr>
          <w:p>
            <w:pPr>
              <w:spacing w:line="276" w:lineRule="auto" w:before="0" w:after="0"/>
            </w:pPr>
            <w:r/>
            <w:r>
              <w:rPr>
                <w:rFonts w:ascii="Figtree" w:hAnsi="Figtree"/>
                <w:b w:val="0"/>
                <w:i w:val="0"/>
                <w:sz w:val="20"/>
              </w:rPr>
              <w:t>Smart contract audit reports</w:t>
            </w:r>
          </w:p>
        </w:tc>
      </w:tr>
      <w:tr>
        <w:trPr>
          <w:trHeight w:val="425" w:hRule="atLeast"/>
        </w:trPr>
        <w:tc>
          <w:tcPr>
            <w:tcW w:type="dxa" w:w="3249"/>
            <w:vAlign w:val="center"/>
          </w:tcPr>
          <w:p>
            <w:pPr>
              <w:spacing w:line="276" w:lineRule="auto" w:before="0" w:after="0"/>
            </w:pPr>
            <w:r/>
            <w:r>
              <w:rPr>
                <w:rFonts w:ascii="Figtree" w:hAnsi="Figtree"/>
                <w:b w:val="0"/>
                <w:i w:val="0"/>
                <w:sz w:val="20"/>
              </w:rPr>
              <w:t>ERC-20</w:t>
            </w:r>
          </w:p>
        </w:tc>
        <w:tc>
          <w:tcPr>
            <w:tcW w:type="dxa" w:w="3249"/>
            <w:vAlign w:val="center"/>
          </w:tcPr>
          <w:p>
            <w:pPr>
              <w:spacing w:line="276" w:lineRule="auto" w:before="0" w:after="0"/>
            </w:pPr>
            <w:r/>
            <w:r>
              <w:rPr>
                <w:rFonts w:ascii="Figtree" w:hAnsi="Figtree"/>
                <w:b w:val="0"/>
                <w:i w:val="0"/>
                <w:sz w:val="20"/>
              </w:rPr>
              <w:t>Full backward compatibility</w:t>
            </w:r>
          </w:p>
        </w:tc>
        <w:tc>
          <w:tcPr>
            <w:tcW w:type="dxa" w:w="3249"/>
            <w:vAlign w:val="center"/>
          </w:tcPr>
          <w:p>
            <w:pPr>
              <w:spacing w:line="276" w:lineRule="auto" w:before="0" w:after="0"/>
            </w:pPr>
            <w:r/>
            <w:r>
              <w:rPr>
                <w:rFonts w:ascii="Figtree" w:hAnsi="Figtree"/>
                <w:b w:val="0"/>
                <w:i w:val="0"/>
                <w:sz w:val="20"/>
              </w:rPr>
              <w:t>Standard interface compliance</w:t>
            </w:r>
          </w:p>
        </w:tc>
      </w:tr>
      <w:tr>
        <w:trPr>
          <w:trHeight w:val="425" w:hRule="atLeast"/>
        </w:trPr>
        <w:tc>
          <w:tcPr>
            <w:tcW w:type="dxa" w:w="3249"/>
            <w:vAlign w:val="center"/>
          </w:tcPr>
          <w:p>
            <w:pPr>
              <w:spacing w:line="276" w:lineRule="auto" w:before="0" w:after="0"/>
            </w:pPr>
            <w:r/>
            <w:r>
              <w:rPr>
                <w:rFonts w:ascii="Figtree" w:hAnsi="Figtree"/>
                <w:b w:val="0"/>
                <w:i w:val="0"/>
                <w:sz w:val="20"/>
              </w:rPr>
              <w:t>ERC-734</w:t>
            </w:r>
          </w:p>
        </w:tc>
        <w:tc>
          <w:tcPr>
            <w:tcW w:type="dxa" w:w="3249"/>
            <w:vAlign w:val="center"/>
          </w:tcPr>
          <w:p>
            <w:pPr>
              <w:spacing w:line="276" w:lineRule="auto" w:before="0" w:after="0"/>
            </w:pPr>
            <w:r/>
            <w:r>
              <w:rPr>
                <w:rFonts w:ascii="Figtree" w:hAnsi="Figtree"/>
                <w:b w:val="0"/>
                <w:i w:val="0"/>
                <w:sz w:val="20"/>
              </w:rPr>
              <w:t>OnchainID key management</w:t>
            </w:r>
          </w:p>
        </w:tc>
        <w:tc>
          <w:tcPr>
            <w:tcW w:type="dxa" w:w="3249"/>
            <w:vAlign w:val="center"/>
          </w:tcPr>
          <w:p>
            <w:pPr>
              <w:spacing w:line="276" w:lineRule="auto" w:before="0" w:after="0"/>
            </w:pPr>
            <w:r/>
            <w:r>
              <w:rPr>
                <w:rFonts w:ascii="Figtree" w:hAnsi="Figtree"/>
                <w:b w:val="0"/>
                <w:i w:val="0"/>
                <w:sz w:val="20"/>
              </w:rPr>
              <w:t>Identity architecture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ERC-735</w:t>
            </w:r>
          </w:p>
        </w:tc>
        <w:tc>
          <w:tcPr>
            <w:tcW w:type="dxa" w:w="3249"/>
            <w:vAlign w:val="center"/>
          </w:tcPr>
          <w:p>
            <w:pPr>
              <w:spacing w:line="276" w:lineRule="auto" w:before="0" w:after="0"/>
            </w:pPr>
            <w:r/>
            <w:r>
              <w:rPr>
                <w:rFonts w:ascii="Figtree" w:hAnsi="Figtree"/>
                <w:b w:val="0"/>
                <w:i w:val="0"/>
                <w:sz w:val="20"/>
              </w:rPr>
              <w:t>OnchainID verifiable claims</w:t>
            </w:r>
          </w:p>
        </w:tc>
        <w:tc>
          <w:tcPr>
            <w:tcW w:type="dxa" w:w="3249"/>
            <w:vAlign w:val="center"/>
          </w:tcPr>
          <w:p>
            <w:pPr>
              <w:spacing w:line="276" w:lineRule="auto" w:before="0" w:after="0"/>
            </w:pPr>
            <w:r/>
            <w:r>
              <w:rPr>
                <w:rFonts w:ascii="Figtree" w:hAnsi="Figtree"/>
                <w:b w:val="0"/>
                <w:i w:val="0"/>
                <w:sz w:val="20"/>
              </w:rPr>
              <w:t>Identity architecture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ERC-5805</w:t>
            </w:r>
          </w:p>
        </w:tc>
        <w:tc>
          <w:tcPr>
            <w:tcW w:type="dxa" w:w="3249"/>
            <w:vAlign w:val="center"/>
          </w:tcPr>
          <w:p>
            <w:pPr>
              <w:spacing w:line="276" w:lineRule="auto" w:before="0" w:after="0"/>
            </w:pPr>
            <w:r/>
            <w:r>
              <w:rPr>
                <w:rFonts w:ascii="Figtree" w:hAnsi="Figtree"/>
                <w:b w:val="0"/>
                <w:i w:val="0"/>
                <w:sz w:val="20"/>
              </w:rPr>
              <w:t>Voting power and governance snapshots</w:t>
            </w:r>
          </w:p>
        </w:tc>
        <w:tc>
          <w:tcPr>
            <w:tcW w:type="dxa" w:w="3249"/>
            <w:vAlign w:val="center"/>
          </w:tcPr>
          <w:p>
            <w:pPr>
              <w:spacing w:line="276" w:lineRule="auto" w:before="0" w:after="0"/>
            </w:pPr>
            <w:r/>
            <w:r>
              <w:rPr>
                <w:rFonts w:ascii="Figtree" w:hAnsi="Figtree"/>
                <w:b w:val="0"/>
                <w:i w:val="0"/>
                <w:sz w:val="20"/>
              </w:rPr>
              <w:t>Token feature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EIP-2612</w:t>
            </w:r>
          </w:p>
        </w:tc>
        <w:tc>
          <w:tcPr>
            <w:tcW w:type="dxa" w:w="3249"/>
            <w:vAlign w:val="center"/>
          </w:tcPr>
          <w:p>
            <w:pPr>
              <w:spacing w:line="276" w:lineRule="auto" w:before="0" w:after="0"/>
            </w:pPr>
            <w:r/>
            <w:r>
              <w:rPr>
                <w:rFonts w:ascii="Figtree" w:hAnsi="Figtree"/>
                <w:b w:val="0"/>
                <w:i w:val="0"/>
                <w:sz w:val="20"/>
              </w:rPr>
              <w:t>Permit (gasless approvals)</w:t>
            </w:r>
          </w:p>
        </w:tc>
        <w:tc>
          <w:tcPr>
            <w:tcW w:type="dxa" w:w="3249"/>
            <w:vAlign w:val="center"/>
          </w:tcPr>
          <w:p>
            <w:pPr>
              <w:spacing w:line="276" w:lineRule="auto" w:before="0" w:after="0"/>
            </w:pPr>
            <w:r/>
            <w:r>
              <w:rPr>
                <w:rFonts w:ascii="Figtree" w:hAnsi="Figtree"/>
                <w:b w:val="0"/>
                <w:i w:val="0"/>
                <w:sz w:val="20"/>
              </w:rPr>
              <w:t>Token feature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EIP-1559</w:t>
            </w:r>
          </w:p>
        </w:tc>
        <w:tc>
          <w:tcPr>
            <w:tcW w:type="dxa" w:w="3249"/>
            <w:vAlign w:val="center"/>
          </w:tcPr>
          <w:p>
            <w:pPr>
              <w:spacing w:line="276" w:lineRule="auto" w:before="0" w:after="0"/>
            </w:pPr>
            <w:r/>
            <w:r>
              <w:rPr>
                <w:rFonts w:ascii="Figtree" w:hAnsi="Figtree"/>
                <w:b w:val="0"/>
                <w:i w:val="0"/>
                <w:sz w:val="20"/>
              </w:rPr>
              <w:t>Gas pricing optimization</w:t>
            </w:r>
          </w:p>
        </w:tc>
        <w:tc>
          <w:tcPr>
            <w:tcW w:type="dxa" w:w="3249"/>
            <w:vAlign w:val="center"/>
          </w:tcPr>
          <w:p>
            <w:pPr>
              <w:spacing w:line="276" w:lineRule="auto" w:before="0" w:after="0"/>
            </w:pPr>
            <w:r/>
            <w:r>
              <w:rPr>
                <w:rFonts w:ascii="Figtree" w:hAnsi="Figtree"/>
                <w:b w:val="0"/>
                <w:i w:val="0"/>
                <w:sz w:val="20"/>
              </w:rPr>
              <w:t>Transaction processing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ERC-2771</w:t>
            </w:r>
          </w:p>
        </w:tc>
        <w:tc>
          <w:tcPr>
            <w:tcW w:type="dxa" w:w="3249"/>
            <w:vAlign w:val="center"/>
          </w:tcPr>
          <w:p>
            <w:pPr>
              <w:spacing w:line="276" w:lineRule="auto" w:before="0" w:after="0"/>
            </w:pPr>
            <w:r/>
            <w:r>
              <w:rPr>
                <w:rFonts w:ascii="Figtree" w:hAnsi="Figtree"/>
                <w:b w:val="0"/>
                <w:i w:val="0"/>
                <w:sz w:val="20"/>
              </w:rPr>
              <w:t>Meta-transactions (gasless)</w:t>
            </w:r>
          </w:p>
        </w:tc>
        <w:tc>
          <w:tcPr>
            <w:tcW w:type="dxa" w:w="3249"/>
            <w:vAlign w:val="center"/>
          </w:tcPr>
          <w:p>
            <w:pPr>
              <w:spacing w:line="276" w:lineRule="auto" w:before="0" w:after="0"/>
            </w:pPr>
            <w:r/>
            <w:r>
              <w:rPr>
                <w:rFonts w:ascii="Figtree" w:hAnsi="Figtree"/>
                <w:b w:val="0"/>
                <w:i w:val="0"/>
                <w:sz w:val="20"/>
              </w:rPr>
              <w:t>Transaction signer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ERC-8021</w:t>
            </w:r>
          </w:p>
        </w:tc>
        <w:tc>
          <w:tcPr>
            <w:tcW w:type="dxa" w:w="3249"/>
            <w:vAlign w:val="center"/>
          </w:tcPr>
          <w:p>
            <w:pPr>
              <w:spacing w:line="276" w:lineRule="auto" w:before="0" w:after="0"/>
            </w:pPr>
            <w:r/>
            <w:r>
              <w:rPr>
                <w:rFonts w:ascii="Figtree" w:hAnsi="Figtree"/>
                <w:b w:val="0"/>
                <w:i w:val="0"/>
                <w:sz w:val="20"/>
              </w:rPr>
              <w:t>Transaction attribution</w:t>
            </w:r>
          </w:p>
        </w:tc>
        <w:tc>
          <w:tcPr>
            <w:tcW w:type="dxa" w:w="3249"/>
            <w:vAlign w:val="center"/>
          </w:tcPr>
          <w:p>
            <w:pPr>
              <w:spacing w:line="276" w:lineRule="auto" w:before="0" w:after="0"/>
            </w:pPr>
            <w:r/>
            <w:r>
              <w:rPr>
                <w:rFonts w:ascii="Figtree" w:hAnsi="Figtree"/>
                <w:b w:val="0"/>
                <w:i w:val="0"/>
                <w:sz w:val="20"/>
              </w:rPr>
              <w:t>Transaction processor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OpenAPI 3.1</w:t>
            </w:r>
          </w:p>
        </w:tc>
        <w:tc>
          <w:tcPr>
            <w:tcW w:type="dxa" w:w="3249"/>
            <w:vAlign w:val="center"/>
          </w:tcPr>
          <w:p>
            <w:pPr>
              <w:spacing w:line="276" w:lineRule="auto" w:before="0" w:after="0"/>
            </w:pPr>
            <w:r/>
            <w:r>
              <w:rPr>
                <w:rFonts w:ascii="Figtree" w:hAnsi="Figtree"/>
                <w:b w:val="0"/>
                <w:i w:val="0"/>
                <w:sz w:val="20"/>
              </w:rPr>
              <w:t>REST API specification</w:t>
            </w:r>
          </w:p>
        </w:tc>
        <w:tc>
          <w:tcPr>
            <w:tcW w:type="dxa" w:w="3249"/>
            <w:vAlign w:val="center"/>
          </w:tcPr>
          <w:p>
            <w:pPr>
              <w:spacing w:line="276" w:lineRule="auto" w:before="0" w:after="0"/>
            </w:pPr>
            <w:r/>
            <w:r>
              <w:rPr>
                <w:rFonts w:ascii="Figtree" w:hAnsi="Figtree"/>
                <w:b w:val="0"/>
                <w:i w:val="0"/>
                <w:sz w:val="20"/>
              </w:rPr>
              <w:t>Auto-generated from code</w:t>
            </w:r>
          </w:p>
        </w:tc>
      </w:tr>
      <w:tr>
        <w:trPr>
          <w:trHeight w:val="425" w:hRule="atLeast"/>
        </w:trPr>
        <w:tc>
          <w:tcPr>
            <w:tcW w:type="dxa" w:w="3249"/>
            <w:vAlign w:val="center"/>
          </w:tcPr>
          <w:p>
            <w:pPr>
              <w:spacing w:line="276" w:lineRule="auto" w:before="0" w:after="0"/>
            </w:pPr>
            <w:r/>
            <w:r>
              <w:rPr>
                <w:rFonts w:ascii="Figtree" w:hAnsi="Figtree"/>
                <w:b w:val="0"/>
                <w:i w:val="0"/>
                <w:sz w:val="20"/>
              </w:rPr>
              <w:t>ISO 27001</w:t>
            </w:r>
          </w:p>
        </w:tc>
        <w:tc>
          <w:tcPr>
            <w:tcW w:type="dxa" w:w="3249"/>
            <w:vAlign w:val="center"/>
          </w:tcPr>
          <w:p>
            <w:pPr>
              <w:spacing w:line="276" w:lineRule="auto" w:before="0" w:after="0"/>
            </w:pPr>
            <w:r/>
            <w:r>
              <w:rPr>
                <w:rFonts w:ascii="Figtree" w:hAnsi="Figtree"/>
                <w:b w:val="0"/>
                <w:i w:val="0"/>
                <w:sz w:val="20"/>
              </w:rPr>
              <w:t>Information security management</w:t>
            </w:r>
          </w:p>
        </w:tc>
        <w:tc>
          <w:tcPr>
            <w:tcW w:type="dxa" w:w="3249"/>
            <w:vAlign w:val="center"/>
          </w:tcPr>
          <w:p>
            <w:pPr>
              <w:spacing w:line="276" w:lineRule="auto" w:before="0" w:after="0"/>
            </w:pPr>
            <w:r/>
            <w:r>
              <w:rPr>
                <w:rFonts w:ascii="Figtree" w:hAnsi="Figtree"/>
                <w:b w:val="0"/>
                <w:i w:val="0"/>
                <w:sz w:val="20"/>
              </w:rPr>
              <w:t>Certification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SOC 2 Type II</w:t>
            </w:r>
          </w:p>
        </w:tc>
        <w:tc>
          <w:tcPr>
            <w:tcW w:type="dxa" w:w="3249"/>
            <w:vAlign w:val="center"/>
          </w:tcPr>
          <w:p>
            <w:pPr>
              <w:spacing w:line="276" w:lineRule="auto" w:before="0" w:after="0"/>
            </w:pPr>
            <w:r/>
            <w:r>
              <w:rPr>
                <w:rFonts w:ascii="Figtree" w:hAnsi="Figtree"/>
                <w:b w:val="0"/>
                <w:i w:val="0"/>
                <w:sz w:val="20"/>
              </w:rPr>
              <w:t>Security controls</w:t>
            </w:r>
          </w:p>
        </w:tc>
        <w:tc>
          <w:tcPr>
            <w:tcW w:type="dxa" w:w="3249"/>
            <w:vAlign w:val="center"/>
          </w:tcPr>
          <w:p>
            <w:pPr>
              <w:spacing w:line="276" w:lineRule="auto" w:before="0" w:after="0"/>
            </w:pPr>
            <w:r/>
            <w:r>
              <w:rPr>
                <w:rFonts w:ascii="Figtree" w:hAnsi="Figtree"/>
                <w:b w:val="0"/>
                <w:i w:val="0"/>
                <w:sz w:val="20"/>
              </w:rPr>
              <w:t>Audit report (available under NDA)</w:t>
            </w:r>
          </w:p>
        </w:tc>
      </w:tr>
      <w:tr>
        <w:trPr>
          <w:trHeight w:val="425" w:hRule="atLeast"/>
        </w:trPr>
        <w:tc>
          <w:tcPr>
            <w:tcW w:type="dxa" w:w="3249"/>
            <w:vAlign w:val="center"/>
          </w:tcPr>
          <w:p>
            <w:pPr>
              <w:spacing w:line="276" w:lineRule="auto" w:before="0" w:after="0"/>
            </w:pPr>
            <w:r/>
            <w:r>
              <w:rPr>
                <w:rFonts w:ascii="Figtree" w:hAnsi="Figtree"/>
                <w:b w:val="0"/>
                <w:i w:val="0"/>
                <w:sz w:val="20"/>
              </w:rPr>
              <w:t>ISO 20022</w:t>
            </w:r>
          </w:p>
        </w:tc>
        <w:tc>
          <w:tcPr>
            <w:tcW w:type="dxa" w:w="3249"/>
            <w:vAlign w:val="center"/>
          </w:tcPr>
          <w:p>
            <w:pPr>
              <w:spacing w:line="276" w:lineRule="auto" w:before="0" w:after="0"/>
            </w:pPr>
            <w:r/>
            <w:r>
              <w:rPr>
                <w:rFonts w:ascii="Figtree" w:hAnsi="Figtree"/>
                <w:b w:val="0"/>
                <w:i w:val="0"/>
                <w:sz w:val="20"/>
              </w:rPr>
              <w:t>Payment messaging (via middleware)</w:t>
            </w:r>
          </w:p>
        </w:tc>
        <w:tc>
          <w:tcPr>
            <w:tcW w:type="dxa" w:w="3249"/>
            <w:vAlign w:val="center"/>
          </w:tcPr>
          <w:p>
            <w:pPr>
              <w:spacing w:line="276" w:lineRule="auto" w:before="0" w:after="0"/>
            </w:pPr>
            <w:r/>
            <w:r>
              <w:rPr>
                <w:rFonts w:ascii="Figtree" w:hAnsi="Figtree"/>
                <w:b w:val="0"/>
                <w:i w:val="0"/>
                <w:sz w:val="20"/>
              </w:rPr>
              <w:t>Integration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WebAuthn</w:t>
            </w:r>
          </w:p>
        </w:tc>
        <w:tc>
          <w:tcPr>
            <w:tcW w:type="dxa" w:w="3249"/>
            <w:vAlign w:val="center"/>
          </w:tcPr>
          <w:p>
            <w:pPr>
              <w:spacing w:line="276" w:lineRule="auto" w:before="0" w:after="0"/>
            </w:pPr>
            <w:r/>
            <w:r>
              <w:rPr>
                <w:rFonts w:ascii="Figtree" w:hAnsi="Figtree"/>
                <w:b w:val="0"/>
                <w:i w:val="0"/>
                <w:sz w:val="20"/>
              </w:rPr>
              <w:t>Passkey authentication</w:t>
            </w:r>
          </w:p>
        </w:tc>
        <w:tc>
          <w:tcPr>
            <w:tcW w:type="dxa" w:w="3249"/>
            <w:vAlign w:val="center"/>
          </w:tcPr>
          <w:p>
            <w:pPr>
              <w:spacing w:line="276" w:lineRule="auto" w:before="0" w:after="0"/>
            </w:pPr>
            <w:r/>
            <w:r>
              <w:rPr>
                <w:rFonts w:ascii="Figtree" w:hAnsi="Figtree"/>
                <w:b w:val="0"/>
                <w:i w:val="0"/>
                <w:sz w:val="20"/>
              </w:rPr>
              <w:t>Authentication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OAuth 2.0 / OIDC</w:t>
            </w:r>
          </w:p>
        </w:tc>
        <w:tc>
          <w:tcPr>
            <w:tcW w:type="dxa" w:w="3249"/>
            <w:vAlign w:val="center"/>
          </w:tcPr>
          <w:p>
            <w:pPr>
              <w:spacing w:line="276" w:lineRule="auto" w:before="0" w:after="0"/>
            </w:pPr>
            <w:r/>
            <w:r>
              <w:rPr>
                <w:rFonts w:ascii="Figtree" w:hAnsi="Figtree"/>
                <w:b w:val="0"/>
                <w:i w:val="0"/>
                <w:sz w:val="20"/>
              </w:rPr>
              <w:t>Enterprise SSO integration</w:t>
            </w:r>
          </w:p>
        </w:tc>
        <w:tc>
          <w:tcPr>
            <w:tcW w:type="dxa" w:w="3249"/>
            <w:vAlign w:val="center"/>
          </w:tcPr>
          <w:p>
            <w:pPr>
              <w:spacing w:line="276" w:lineRule="auto" w:before="0" w:after="0"/>
            </w:pPr>
            <w:r/>
            <w:r>
              <w:rPr>
                <w:rFonts w:ascii="Figtree" w:hAnsi="Figtree"/>
                <w:b w:val="0"/>
                <w:i w:val="0"/>
                <w:sz w:val="20"/>
              </w:rPr>
              <w:t>Authentication plugin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SAML 2.0</w:t>
            </w:r>
          </w:p>
        </w:tc>
        <w:tc>
          <w:tcPr>
            <w:tcW w:type="dxa" w:w="3249"/>
            <w:vAlign w:val="center"/>
          </w:tcPr>
          <w:p>
            <w:pPr>
              <w:spacing w:line="276" w:lineRule="auto" w:before="0" w:after="0"/>
            </w:pPr>
            <w:r/>
            <w:r>
              <w:rPr>
                <w:rFonts w:ascii="Figtree" w:hAnsi="Figtree"/>
                <w:b w:val="0"/>
                <w:i w:val="0"/>
                <w:sz w:val="20"/>
              </w:rPr>
              <w:t>Legacy enterprise SSO</w:t>
            </w:r>
          </w:p>
        </w:tc>
        <w:tc>
          <w:tcPr>
            <w:tcW w:type="dxa" w:w="3249"/>
            <w:vAlign w:val="center"/>
          </w:tcPr>
          <w:p>
            <w:pPr>
              <w:spacing w:line="276" w:lineRule="auto" w:before="0" w:after="0"/>
            </w:pPr>
            <w:r/>
            <w:r>
              <w:rPr>
                <w:rFonts w:ascii="Figtree" w:hAnsi="Figtree"/>
                <w:b w:val="0"/>
                <w:i w:val="0"/>
                <w:sz w:val="20"/>
              </w:rPr>
              <w:t>Authentication plugin documentation</w:t>
            </w:r>
          </w:p>
        </w:tc>
      </w:tr>
    </w:tbl>
    <w:p>
      <w:pPr>
        <w:spacing w:before="0" w:after="0" w:line="120" w:lineRule="exact"/>
      </w:pPr>
    </w:p>
    <w:p>
      <w:pPr>
        <w:pStyle w:val="H3"/>
        <w:numPr>
          <w:ilvl w:val="2"/>
          <w:numId w:val="1"/>
        </w:numPr>
      </w:pPr>
      <w:r>
        <w:t>Appendix F: Document Map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81"/>
        <w:gridCol w:w="2348"/>
        <w:gridCol w:w="384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Page Range (Estimated)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Primary Audience</w:t>
            </w:r>
          </w:p>
        </w:tc>
      </w:tr>
      <w:tr>
        <w:trPr>
          <w:trHeight w:val="425" w:hRule="atLeast"/>
        </w:trPr>
        <w:tc>
          <w:tcPr>
            <w:tcW w:type="dxa" w:w="3249"/>
            <w:vAlign w:val="center"/>
          </w:tcPr>
          <w:p>
            <w:pPr>
              <w:spacing w:line="276" w:lineRule="auto" w:before="0" w:after="0"/>
            </w:pPr>
            <w:r/>
            <w:r>
              <w:rPr>
                <w:rFonts w:ascii="Figtree" w:hAnsi="Figtree"/>
                <w:b w:val="0"/>
                <w:i w:val="0"/>
                <w:sz w:val="20"/>
              </w:rPr>
              <w:t>Executive Summary</w:t>
            </w:r>
          </w:p>
        </w:tc>
        <w:tc>
          <w:tcPr>
            <w:tcW w:type="dxa" w:w="3249"/>
            <w:vAlign w:val="center"/>
          </w:tcPr>
          <w:p>
            <w:pPr>
              <w:spacing w:line="276" w:lineRule="auto" w:before="0" w:after="0"/>
            </w:pPr>
            <w:r/>
            <w:r>
              <w:rPr>
                <w:rFonts w:ascii="Figtree" w:hAnsi="Figtree"/>
                <w:b w:val="0"/>
                <w:i w:val="0"/>
                <w:sz w:val="20"/>
              </w:rPr>
              <w:t>1–3</w:t>
            </w:r>
          </w:p>
        </w:tc>
        <w:tc>
          <w:tcPr>
            <w:tcW w:type="dxa" w:w="3249"/>
            <w:vAlign w:val="center"/>
          </w:tcPr>
          <w:p>
            <w:pPr>
              <w:spacing w:line="276" w:lineRule="auto" w:before="0" w:after="0"/>
            </w:pPr>
            <w:r/>
            <w:r>
              <w:rPr>
                <w:rFonts w:ascii="Figtree" w:hAnsi="Figtree"/>
                <w:b w:val="0"/>
                <w:i w:val="0"/>
                <w:sz w:val="20"/>
              </w:rPr>
              <w:t>Executive sponsors, procurement</w:t>
            </w:r>
          </w:p>
        </w:tc>
      </w:tr>
      <w:tr>
        <w:trPr>
          <w:trHeight w:val="425" w:hRule="atLeast"/>
        </w:trPr>
        <w:tc>
          <w:tcPr>
            <w:tcW w:type="dxa" w:w="3249"/>
            <w:vAlign w:val="center"/>
          </w:tcPr>
          <w:p>
            <w:pPr>
              <w:spacing w:line="276" w:lineRule="auto" w:before="0" w:after="0"/>
            </w:pPr>
            <w:r/>
            <w:r>
              <w:rPr>
                <w:rFonts w:ascii="Figtree" w:hAnsi="Figtree"/>
                <w:b w:val="0"/>
                <w:i w:val="0"/>
                <w:sz w:val="20"/>
              </w:rPr>
              <w:t>About SettleMint</w:t>
            </w:r>
          </w:p>
        </w:tc>
        <w:tc>
          <w:tcPr>
            <w:tcW w:type="dxa" w:w="3249"/>
            <w:vAlign w:val="center"/>
          </w:tcPr>
          <w:p>
            <w:pPr>
              <w:spacing w:line="276" w:lineRule="auto" w:before="0" w:after="0"/>
            </w:pPr>
            <w:r/>
            <w:r>
              <w:rPr>
                <w:rFonts w:ascii="Figtree" w:hAnsi="Figtree"/>
                <w:b w:val="0"/>
                <w:i w:val="0"/>
                <w:sz w:val="20"/>
              </w:rPr>
              <w:t>4–7</w:t>
            </w:r>
          </w:p>
        </w:tc>
        <w:tc>
          <w:tcPr>
            <w:tcW w:type="dxa" w:w="3249"/>
            <w:vAlign w:val="center"/>
          </w:tcPr>
          <w:p>
            <w:pPr>
              <w:spacing w:line="276" w:lineRule="auto" w:before="0" w:after="0"/>
            </w:pPr>
            <w:r/>
            <w:r>
              <w:rPr>
                <w:rFonts w:ascii="Figtree" w:hAnsi="Figtree"/>
                <w:b w:val="0"/>
                <w:i w:val="0"/>
                <w:sz w:val="20"/>
              </w:rPr>
              <w:t>Procurement, architecture</w:t>
            </w:r>
          </w:p>
        </w:tc>
      </w:tr>
      <w:tr>
        <w:trPr>
          <w:trHeight w:val="425" w:hRule="atLeast"/>
        </w:trPr>
        <w:tc>
          <w:tcPr>
            <w:tcW w:type="dxa" w:w="3249"/>
            <w:vAlign w:val="center"/>
          </w:tcPr>
          <w:p>
            <w:pPr>
              <w:spacing w:line="276" w:lineRule="auto" w:before="0" w:after="0"/>
            </w:pPr>
            <w:r/>
            <w:r>
              <w:rPr>
                <w:rFonts w:ascii="Figtree" w:hAnsi="Figtree"/>
                <w:b w:val="0"/>
                <w:i w:val="0"/>
                <w:sz w:val="20"/>
              </w:rPr>
              <w:t>About DALP</w:t>
            </w:r>
          </w:p>
        </w:tc>
        <w:tc>
          <w:tcPr>
            <w:tcW w:type="dxa" w:w="3249"/>
            <w:vAlign w:val="center"/>
          </w:tcPr>
          <w:p>
            <w:pPr>
              <w:spacing w:line="276" w:lineRule="auto" w:before="0" w:after="0"/>
            </w:pPr>
            <w:r/>
            <w:r>
              <w:rPr>
                <w:rFonts w:ascii="Figtree" w:hAnsi="Figtree"/>
                <w:b w:val="0"/>
                <w:i w:val="0"/>
                <w:sz w:val="20"/>
              </w:rPr>
              <w:t>8–13</w:t>
            </w:r>
          </w:p>
        </w:tc>
        <w:tc>
          <w:tcPr>
            <w:tcW w:type="dxa" w:w="3249"/>
            <w:vAlign w:val="center"/>
          </w:tcPr>
          <w:p>
            <w:pPr>
              <w:spacing w:line="276" w:lineRule="auto" w:before="0" w:after="0"/>
            </w:pPr>
            <w:r/>
            <w:r>
              <w:rPr>
                <w:rFonts w:ascii="Figtree" w:hAnsi="Figtree"/>
                <w:b w:val="0"/>
                <w:i w:val="0"/>
                <w:sz w:val="20"/>
              </w:rPr>
              <w:t>Architecture, technology</w:t>
            </w:r>
          </w:p>
        </w:tc>
      </w:tr>
      <w:tr>
        <w:trPr>
          <w:trHeight w:val="425" w:hRule="atLeast"/>
        </w:trPr>
        <w:tc>
          <w:tcPr>
            <w:tcW w:type="dxa" w:w="3249"/>
            <w:vAlign w:val="center"/>
          </w:tcPr>
          <w:p>
            <w:pPr>
              <w:spacing w:line="276" w:lineRule="auto" w:before="0" w:after="0"/>
            </w:pPr>
            <w:r/>
            <w:r>
              <w:rPr>
                <w:rFonts w:ascii="Figtree" w:hAnsi="Figtree"/>
                <w:b w:val="0"/>
                <w:i w:val="0"/>
                <w:sz w:val="20"/>
              </w:rPr>
              <w:t>Understanding Requirements</w:t>
            </w:r>
          </w:p>
        </w:tc>
        <w:tc>
          <w:tcPr>
            <w:tcW w:type="dxa" w:w="3249"/>
            <w:vAlign w:val="center"/>
          </w:tcPr>
          <w:p>
            <w:pPr>
              <w:spacing w:line="276" w:lineRule="auto" w:before="0" w:after="0"/>
            </w:pPr>
            <w:r/>
            <w:r>
              <w:rPr>
                <w:rFonts w:ascii="Figtree" w:hAnsi="Figtree"/>
                <w:b w:val="0"/>
                <w:i w:val="0"/>
                <w:sz w:val="20"/>
              </w:rPr>
              <w:t>14–17</w:t>
            </w:r>
          </w:p>
        </w:tc>
        <w:tc>
          <w:tcPr>
            <w:tcW w:type="dxa" w:w="3249"/>
            <w:vAlign w:val="center"/>
          </w:tcPr>
          <w:p>
            <w:pPr>
              <w:spacing w:line="276" w:lineRule="auto" w:before="0" w:after="0"/>
            </w:pPr>
            <w:r/>
            <w:r>
              <w:rPr>
                <w:rFonts w:ascii="Figtree" w:hAnsi="Figtree"/>
                <w:b w:val="0"/>
                <w:i w:val="0"/>
                <w:sz w:val="20"/>
              </w:rPr>
              <w:t>Business sponsors, compliance</w:t>
            </w:r>
          </w:p>
        </w:tc>
      </w:tr>
      <w:tr>
        <w:trPr>
          <w:trHeight w:val="425" w:hRule="atLeast"/>
        </w:trPr>
        <w:tc>
          <w:tcPr>
            <w:tcW w:type="dxa" w:w="3249"/>
            <w:vAlign w:val="center"/>
          </w:tcPr>
          <w:p>
            <w:pPr>
              <w:spacing w:line="276" w:lineRule="auto" w:before="0" w:after="0"/>
            </w:pPr>
            <w:r/>
            <w:r>
              <w:rPr>
                <w:rFonts w:ascii="Figtree" w:hAnsi="Figtree"/>
                <w:b w:val="0"/>
                <w:i w:val="0"/>
                <w:sz w:val="20"/>
              </w:rPr>
              <w:t>Customer References</w:t>
            </w:r>
          </w:p>
        </w:tc>
        <w:tc>
          <w:tcPr>
            <w:tcW w:type="dxa" w:w="3249"/>
            <w:vAlign w:val="center"/>
          </w:tcPr>
          <w:p>
            <w:pPr>
              <w:spacing w:line="276" w:lineRule="auto" w:before="0" w:after="0"/>
            </w:pPr>
            <w:r/>
            <w:r>
              <w:rPr>
                <w:rFonts w:ascii="Figtree" w:hAnsi="Figtree"/>
                <w:b w:val="0"/>
                <w:i w:val="0"/>
                <w:sz w:val="20"/>
              </w:rPr>
              <w:t>18–22</w:t>
            </w:r>
          </w:p>
        </w:tc>
        <w:tc>
          <w:tcPr>
            <w:tcW w:type="dxa" w:w="3249"/>
            <w:vAlign w:val="center"/>
          </w:tcPr>
          <w:p>
            <w:pPr>
              <w:spacing w:line="276" w:lineRule="auto" w:before="0" w:after="0"/>
            </w:pPr>
            <w:r/>
            <w:r>
              <w:rPr>
                <w:rFonts w:ascii="Figtree" w:hAnsi="Figtree"/>
                <w:b w:val="0"/>
                <w:i w:val="0"/>
                <w:sz w:val="20"/>
              </w:rPr>
              <w:t>Procurement, business sponsors</w:t>
            </w:r>
          </w:p>
        </w:tc>
      </w:tr>
      <w:tr>
        <w:trPr>
          <w:trHeight w:val="425" w:hRule="atLeast"/>
        </w:trPr>
        <w:tc>
          <w:tcPr>
            <w:tcW w:type="dxa" w:w="3249"/>
            <w:vAlign w:val="center"/>
          </w:tcPr>
          <w:p>
            <w:pPr>
              <w:spacing w:line="276" w:lineRule="auto" w:before="0" w:after="0"/>
            </w:pPr>
            <w:r/>
            <w:r>
              <w:rPr>
                <w:rFonts w:ascii="Figtree" w:hAnsi="Figtree"/>
                <w:b w:val="0"/>
                <w:i w:val="0"/>
                <w:sz w:val="20"/>
              </w:rPr>
              <w:t>Proposed Solution</w:t>
            </w:r>
          </w:p>
        </w:tc>
        <w:tc>
          <w:tcPr>
            <w:tcW w:type="dxa" w:w="3249"/>
            <w:vAlign w:val="center"/>
          </w:tcPr>
          <w:p>
            <w:pPr>
              <w:spacing w:line="276" w:lineRule="auto" w:before="0" w:after="0"/>
            </w:pPr>
            <w:r/>
            <w:r>
              <w:rPr>
                <w:rFonts w:ascii="Figtree" w:hAnsi="Figtree"/>
                <w:b w:val="0"/>
                <w:i w:val="0"/>
                <w:sz w:val="20"/>
              </w:rPr>
              <w:t>23–32</w:t>
            </w:r>
          </w:p>
        </w:tc>
        <w:tc>
          <w:tcPr>
            <w:tcW w:type="dxa" w:w="3249"/>
            <w:vAlign w:val="center"/>
          </w:tcPr>
          <w:p>
            <w:pPr>
              <w:spacing w:line="276" w:lineRule="auto" w:before="0" w:after="0"/>
            </w:pPr>
            <w:r/>
            <w:r>
              <w:rPr>
                <w:rFonts w:ascii="Figtree" w:hAnsi="Figtree"/>
                <w:b w:val="0"/>
                <w:i w:val="0"/>
                <w:sz w:val="20"/>
              </w:rPr>
              <w:t>Architecture, technology, operations</w:t>
            </w:r>
          </w:p>
        </w:tc>
      </w:tr>
      <w:tr>
        <w:trPr>
          <w:trHeight w:val="425" w:hRule="atLeast"/>
        </w:trPr>
        <w:tc>
          <w:tcPr>
            <w:tcW w:type="dxa" w:w="3249"/>
            <w:vAlign w:val="center"/>
          </w:tcPr>
          <w:p>
            <w:pPr>
              <w:spacing w:line="276" w:lineRule="auto" w:before="0" w:after="0"/>
            </w:pPr>
            <w:r/>
            <w:r>
              <w:rPr>
                <w:rFonts w:ascii="Figtree" w:hAnsi="Figtree"/>
                <w:b w:val="0"/>
                <w:i w:val="0"/>
                <w:sz w:val="20"/>
              </w:rPr>
              <w:t>Technical Architecture</w:t>
            </w:r>
          </w:p>
        </w:tc>
        <w:tc>
          <w:tcPr>
            <w:tcW w:type="dxa" w:w="3249"/>
            <w:vAlign w:val="center"/>
          </w:tcPr>
          <w:p>
            <w:pPr>
              <w:spacing w:line="276" w:lineRule="auto" w:before="0" w:after="0"/>
            </w:pPr>
            <w:r/>
            <w:r>
              <w:rPr>
                <w:rFonts w:ascii="Figtree" w:hAnsi="Figtree"/>
                <w:b w:val="0"/>
                <w:i w:val="0"/>
                <w:sz w:val="20"/>
              </w:rPr>
              <w:t>33–40</w:t>
            </w:r>
          </w:p>
        </w:tc>
        <w:tc>
          <w:tcPr>
            <w:tcW w:type="dxa" w:w="3249"/>
            <w:vAlign w:val="center"/>
          </w:tcPr>
          <w:p>
            <w:pPr>
              <w:spacing w:line="276" w:lineRule="auto" w:before="0" w:after="0"/>
            </w:pPr>
            <w:r/>
            <w:r>
              <w:rPr>
                <w:rFonts w:ascii="Figtree" w:hAnsi="Figtree"/>
                <w:b w:val="0"/>
                <w:i w:val="0"/>
                <w:sz w:val="20"/>
              </w:rPr>
              <w:t>Architecture, technology</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Architecture</w:t>
            </w:r>
          </w:p>
        </w:tc>
        <w:tc>
          <w:tcPr>
            <w:tcW w:type="dxa" w:w="3249"/>
            <w:vAlign w:val="center"/>
          </w:tcPr>
          <w:p>
            <w:pPr>
              <w:spacing w:line="276" w:lineRule="auto" w:before="0" w:after="0"/>
            </w:pPr>
            <w:r/>
            <w:r>
              <w:rPr>
                <w:rFonts w:ascii="Figtree" w:hAnsi="Figtree"/>
                <w:b w:val="0"/>
                <w:i w:val="0"/>
                <w:sz w:val="20"/>
              </w:rPr>
              <w:t>41–46</w:t>
            </w:r>
          </w:p>
        </w:tc>
        <w:tc>
          <w:tcPr>
            <w:tcW w:type="dxa" w:w="3249"/>
            <w:vAlign w:val="center"/>
          </w:tcPr>
          <w:p>
            <w:pPr>
              <w:spacing w:line="276" w:lineRule="auto" w:before="0" w:after="0"/>
            </w:pPr>
            <w:r/>
            <w:r>
              <w:rPr>
                <w:rFonts w:ascii="Figtree" w:hAnsi="Figtree"/>
                <w:b w:val="0"/>
                <w:i w:val="0"/>
                <w:sz w:val="20"/>
              </w:rPr>
              <w:t>Technology, security</w:t>
            </w:r>
          </w:p>
        </w:tc>
      </w:tr>
      <w:tr>
        <w:trPr>
          <w:trHeight w:val="425" w:hRule="atLeast"/>
        </w:trPr>
        <w:tc>
          <w:tcPr>
            <w:tcW w:type="dxa" w:w="3249"/>
            <w:vAlign w:val="center"/>
          </w:tcPr>
          <w:p>
            <w:pPr>
              <w:spacing w:line="276" w:lineRule="auto" w:before="0" w:after="0"/>
            </w:pPr>
            <w:r/>
            <w:r>
              <w:rPr>
                <w:rFonts w:ascii="Figtree" w:hAnsi="Figtree"/>
                <w:b w:val="0"/>
                <w:i w:val="0"/>
                <w:sz w:val="20"/>
              </w:rPr>
              <w:t>Identity &amp; Compliance</w:t>
            </w:r>
          </w:p>
        </w:tc>
        <w:tc>
          <w:tcPr>
            <w:tcW w:type="dxa" w:w="3249"/>
            <w:vAlign w:val="center"/>
          </w:tcPr>
          <w:p>
            <w:pPr>
              <w:spacing w:line="276" w:lineRule="auto" w:before="0" w:after="0"/>
            </w:pPr>
            <w:r/>
            <w:r>
              <w:rPr>
                <w:rFonts w:ascii="Figtree" w:hAnsi="Figtree"/>
                <w:b w:val="0"/>
                <w:i w:val="0"/>
                <w:sz w:val="20"/>
              </w:rPr>
              <w:t>47–52</w:t>
            </w:r>
          </w:p>
        </w:tc>
        <w:tc>
          <w:tcPr>
            <w:tcW w:type="dxa" w:w="3249"/>
            <w:vAlign w:val="center"/>
          </w:tcPr>
          <w:p>
            <w:pPr>
              <w:spacing w:line="276" w:lineRule="auto" w:before="0" w:after="0"/>
            </w:pPr>
            <w:r/>
            <w:r>
              <w:rPr>
                <w:rFonts w:ascii="Figtree" w:hAnsi="Figtree"/>
                <w:b w:val="0"/>
                <w:i w:val="0"/>
                <w:sz w:val="20"/>
              </w:rPr>
              <w:t>Compliance, legal, security</w:t>
            </w:r>
          </w:p>
        </w:tc>
      </w:tr>
      <w:tr>
        <w:trPr>
          <w:trHeight w:val="425" w:hRule="atLeast"/>
        </w:trPr>
        <w:tc>
          <w:tcPr>
            <w:tcW w:type="dxa" w:w="3249"/>
            <w:vAlign w:val="center"/>
          </w:tcPr>
          <w:p>
            <w:pPr>
              <w:spacing w:line="276" w:lineRule="auto" w:before="0" w:after="0"/>
            </w:pPr>
            <w:r/>
            <w:r>
              <w:rPr>
                <w:rFonts w:ascii="Figtree" w:hAnsi="Figtree"/>
                <w:b w:val="0"/>
                <w:i w:val="0"/>
                <w:sz w:val="20"/>
              </w:rPr>
              <w:t>Settlement &amp; Servicing</w:t>
            </w:r>
          </w:p>
        </w:tc>
        <w:tc>
          <w:tcPr>
            <w:tcW w:type="dxa" w:w="3249"/>
            <w:vAlign w:val="center"/>
          </w:tcPr>
          <w:p>
            <w:pPr>
              <w:spacing w:line="276" w:lineRule="auto" w:before="0" w:after="0"/>
            </w:pPr>
            <w:r/>
            <w:r>
              <w:rPr>
                <w:rFonts w:ascii="Figtree" w:hAnsi="Figtree"/>
                <w:b w:val="0"/>
                <w:i w:val="0"/>
                <w:sz w:val="20"/>
              </w:rPr>
              <w:t>53–58</w:t>
            </w:r>
          </w:p>
        </w:tc>
        <w:tc>
          <w:tcPr>
            <w:tcW w:type="dxa" w:w="3249"/>
            <w:vAlign w:val="center"/>
          </w:tcPr>
          <w:p>
            <w:pPr>
              <w:spacing w:line="276" w:lineRule="auto" w:before="0" w:after="0"/>
            </w:pPr>
            <w:r/>
            <w:r>
              <w:rPr>
                <w:rFonts w:ascii="Figtree" w:hAnsi="Figtree"/>
                <w:b w:val="0"/>
                <w:i w:val="0"/>
                <w:sz w:val="20"/>
              </w:rPr>
              <w:t>Operations, technology</w:t>
            </w:r>
          </w:p>
        </w:tc>
      </w:tr>
      <w:tr>
        <w:trPr>
          <w:trHeight w:val="425" w:hRule="atLeast"/>
        </w:trPr>
        <w:tc>
          <w:tcPr>
            <w:tcW w:type="dxa" w:w="3249"/>
            <w:vAlign w:val="center"/>
          </w:tcPr>
          <w:p>
            <w:pPr>
              <w:spacing w:line="276" w:lineRule="auto" w:before="0" w:after="0"/>
            </w:pPr>
            <w:r/>
            <w:r>
              <w:rPr>
                <w:rFonts w:ascii="Figtree" w:hAnsi="Figtree"/>
                <w:b w:val="0"/>
                <w:i w:val="0"/>
                <w:sz w:val="20"/>
              </w:rPr>
              <w:t>Security</w:t>
            </w:r>
          </w:p>
        </w:tc>
        <w:tc>
          <w:tcPr>
            <w:tcW w:type="dxa" w:w="3249"/>
            <w:vAlign w:val="center"/>
          </w:tcPr>
          <w:p>
            <w:pPr>
              <w:spacing w:line="276" w:lineRule="auto" w:before="0" w:after="0"/>
            </w:pPr>
            <w:r/>
            <w:r>
              <w:rPr>
                <w:rFonts w:ascii="Figtree" w:hAnsi="Figtree"/>
                <w:b w:val="0"/>
                <w:i w:val="0"/>
                <w:sz w:val="20"/>
              </w:rPr>
              <w:t>59–66</w:t>
            </w:r>
          </w:p>
        </w:tc>
        <w:tc>
          <w:tcPr>
            <w:tcW w:type="dxa" w:w="3249"/>
            <w:vAlign w:val="center"/>
          </w:tcPr>
          <w:p>
            <w:pPr>
              <w:spacing w:line="276" w:lineRule="auto" w:before="0" w:after="0"/>
            </w:pPr>
            <w:r/>
            <w:r>
              <w:rPr>
                <w:rFonts w:ascii="Figtree" w:hAnsi="Figtree"/>
                <w:b w:val="0"/>
                <w:i w:val="0"/>
                <w:sz w:val="20"/>
              </w:rPr>
              <w:t>Security, compliance, audit</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w:t>
            </w:r>
          </w:p>
        </w:tc>
        <w:tc>
          <w:tcPr>
            <w:tcW w:type="dxa" w:w="3249"/>
            <w:vAlign w:val="center"/>
          </w:tcPr>
          <w:p>
            <w:pPr>
              <w:spacing w:line="276" w:lineRule="auto" w:before="0" w:after="0"/>
            </w:pPr>
            <w:r/>
            <w:r>
              <w:rPr>
                <w:rFonts w:ascii="Figtree" w:hAnsi="Figtree"/>
                <w:b w:val="0"/>
                <w:i w:val="0"/>
                <w:sz w:val="20"/>
              </w:rPr>
              <w:t>67–74</w:t>
            </w:r>
          </w:p>
        </w:tc>
        <w:tc>
          <w:tcPr>
            <w:tcW w:type="dxa" w:w="3249"/>
            <w:vAlign w:val="center"/>
          </w:tcPr>
          <w:p>
            <w:pPr>
              <w:spacing w:line="276" w:lineRule="auto" w:before="0" w:after="0"/>
            </w:pPr>
            <w:r/>
            <w:r>
              <w:rPr>
                <w:rFonts w:ascii="Figtree" w:hAnsi="Figtree"/>
                <w:b w:val="0"/>
                <w:i w:val="0"/>
                <w:sz w:val="20"/>
              </w:rPr>
              <w:t>Project management, operations</w:t>
            </w:r>
          </w:p>
        </w:tc>
      </w:tr>
      <w:tr>
        <w:trPr>
          <w:trHeight w:val="425" w:hRule="atLeast"/>
        </w:trPr>
        <w:tc>
          <w:tcPr>
            <w:tcW w:type="dxa" w:w="3249"/>
            <w:vAlign w:val="center"/>
          </w:tcPr>
          <w:p>
            <w:pPr>
              <w:spacing w:line="276" w:lineRule="auto" w:before="0" w:after="0"/>
            </w:pPr>
            <w:r/>
            <w:r>
              <w:rPr>
                <w:rFonts w:ascii="Figtree" w:hAnsi="Figtree"/>
                <w:b w:val="0"/>
                <w:i w:val="0"/>
                <w:sz w:val="20"/>
              </w:rPr>
              <w:t>Deployment</w:t>
            </w:r>
          </w:p>
        </w:tc>
        <w:tc>
          <w:tcPr>
            <w:tcW w:type="dxa" w:w="3249"/>
            <w:vAlign w:val="center"/>
          </w:tcPr>
          <w:p>
            <w:pPr>
              <w:spacing w:line="276" w:lineRule="auto" w:before="0" w:after="0"/>
            </w:pPr>
            <w:r/>
            <w:r>
              <w:rPr>
                <w:rFonts w:ascii="Figtree" w:hAnsi="Figtree"/>
                <w:b w:val="0"/>
                <w:i w:val="0"/>
                <w:sz w:val="20"/>
              </w:rPr>
              <w:t>75–78</w:t>
            </w:r>
          </w:p>
        </w:tc>
        <w:tc>
          <w:tcPr>
            <w:tcW w:type="dxa" w:w="3249"/>
            <w:vAlign w:val="center"/>
          </w:tcPr>
          <w:p>
            <w:pPr>
              <w:spacing w:line="276" w:lineRule="auto" w:before="0" w:after="0"/>
            </w:pPr>
            <w:r/>
            <w:r>
              <w:rPr>
                <w:rFonts w:ascii="Figtree" w:hAnsi="Figtree"/>
                <w:b w:val="0"/>
                <w:i w:val="0"/>
                <w:sz w:val="20"/>
              </w:rPr>
              <w:t>Infrastructure, operations</w:t>
            </w:r>
          </w:p>
        </w:tc>
      </w:tr>
      <w:tr>
        <w:trPr>
          <w:trHeight w:val="425" w:hRule="atLeast"/>
        </w:trPr>
        <w:tc>
          <w:tcPr>
            <w:tcW w:type="dxa" w:w="3249"/>
            <w:vAlign w:val="center"/>
          </w:tcPr>
          <w:p>
            <w:pPr>
              <w:spacing w:line="276" w:lineRule="auto" w:before="0" w:after="0"/>
            </w:pPr>
            <w:r/>
            <w:r>
              <w:rPr>
                <w:rFonts w:ascii="Figtree" w:hAnsi="Figtree"/>
                <w:b w:val="0"/>
                <w:i w:val="0"/>
                <w:sz w:val="20"/>
              </w:rPr>
              <w:t>Training</w:t>
            </w:r>
          </w:p>
        </w:tc>
        <w:tc>
          <w:tcPr>
            <w:tcW w:type="dxa" w:w="3249"/>
            <w:vAlign w:val="center"/>
          </w:tcPr>
          <w:p>
            <w:pPr>
              <w:spacing w:line="276" w:lineRule="auto" w:before="0" w:after="0"/>
            </w:pPr>
            <w:r/>
            <w:r>
              <w:rPr>
                <w:rFonts w:ascii="Figtree" w:hAnsi="Figtree"/>
                <w:b w:val="0"/>
                <w:i w:val="0"/>
                <w:sz w:val="20"/>
              </w:rPr>
              <w:t>79–81</w:t>
            </w:r>
          </w:p>
        </w:tc>
        <w:tc>
          <w:tcPr>
            <w:tcW w:type="dxa" w:w="3249"/>
            <w:vAlign w:val="center"/>
          </w:tcPr>
          <w:p>
            <w:pPr>
              <w:spacing w:line="276" w:lineRule="auto" w:before="0" w:after="0"/>
            </w:pPr>
            <w:r/>
            <w:r>
              <w:rPr>
                <w:rFonts w:ascii="Figtree" w:hAnsi="Figtree"/>
                <w:b w:val="0"/>
                <w:i w:val="0"/>
                <w:sz w:val="20"/>
              </w:rPr>
              <w:t>Operations, HR</w:t>
            </w:r>
          </w:p>
        </w:tc>
      </w:tr>
      <w:tr>
        <w:trPr>
          <w:trHeight w:val="425" w:hRule="atLeast"/>
        </w:trPr>
        <w:tc>
          <w:tcPr>
            <w:tcW w:type="dxa" w:w="3249"/>
            <w:vAlign w:val="center"/>
          </w:tcPr>
          <w:p>
            <w:pPr>
              <w:spacing w:line="276" w:lineRule="auto" w:before="0" w:after="0"/>
            </w:pPr>
            <w:r/>
            <w:r>
              <w:rPr>
                <w:rFonts w:ascii="Figtree" w:hAnsi="Figtree"/>
                <w:b w:val="0"/>
                <w:i w:val="0"/>
                <w:sz w:val="20"/>
              </w:rPr>
              <w:t>Support &amp; SLA</w:t>
            </w:r>
          </w:p>
        </w:tc>
        <w:tc>
          <w:tcPr>
            <w:tcW w:type="dxa" w:w="3249"/>
            <w:vAlign w:val="center"/>
          </w:tcPr>
          <w:p>
            <w:pPr>
              <w:spacing w:line="276" w:lineRule="auto" w:before="0" w:after="0"/>
            </w:pPr>
            <w:r/>
            <w:r>
              <w:rPr>
                <w:rFonts w:ascii="Figtree" w:hAnsi="Figtree"/>
                <w:b w:val="0"/>
                <w:i w:val="0"/>
                <w:sz w:val="20"/>
              </w:rPr>
              <w:t>82–84</w:t>
            </w:r>
          </w:p>
        </w:tc>
        <w:tc>
          <w:tcPr>
            <w:tcW w:type="dxa" w:w="3249"/>
            <w:vAlign w:val="center"/>
          </w:tcPr>
          <w:p>
            <w:pPr>
              <w:spacing w:line="276" w:lineRule="auto" w:before="0" w:after="0"/>
            </w:pPr>
            <w:r/>
            <w:r>
              <w:rPr>
                <w:rFonts w:ascii="Figtree" w:hAnsi="Figtree"/>
                <w:b w:val="0"/>
                <w:i w:val="0"/>
                <w:sz w:val="20"/>
              </w:rPr>
              <w:t>Operations, procurement</w:t>
            </w:r>
          </w:p>
        </w:tc>
      </w:tr>
      <w:tr>
        <w:trPr>
          <w:trHeight w:val="425" w:hRule="atLeast"/>
        </w:trPr>
        <w:tc>
          <w:tcPr>
            <w:tcW w:type="dxa" w:w="3249"/>
            <w:vAlign w:val="center"/>
          </w:tcPr>
          <w:p>
            <w:pPr>
              <w:spacing w:line="276" w:lineRule="auto" w:before="0" w:after="0"/>
            </w:pPr>
            <w:r/>
            <w:r>
              <w:rPr>
                <w:rFonts w:ascii="Figtree" w:hAnsi="Figtree"/>
                <w:b w:val="0"/>
                <w:i w:val="0"/>
                <w:sz w:val="20"/>
              </w:rPr>
              <w:t>Risk Management</w:t>
            </w:r>
          </w:p>
        </w:tc>
        <w:tc>
          <w:tcPr>
            <w:tcW w:type="dxa" w:w="3249"/>
            <w:vAlign w:val="center"/>
          </w:tcPr>
          <w:p>
            <w:pPr>
              <w:spacing w:line="276" w:lineRule="auto" w:before="0" w:after="0"/>
            </w:pPr>
            <w:r/>
            <w:r>
              <w:rPr>
                <w:rFonts w:ascii="Figtree" w:hAnsi="Figtree"/>
                <w:b w:val="0"/>
                <w:i w:val="0"/>
                <w:sz w:val="20"/>
              </w:rPr>
              <w:t>85–88</w:t>
            </w:r>
          </w:p>
        </w:tc>
        <w:tc>
          <w:tcPr>
            <w:tcW w:type="dxa" w:w="3249"/>
            <w:vAlign w:val="center"/>
          </w:tcPr>
          <w:p>
            <w:pPr>
              <w:spacing w:line="276" w:lineRule="auto" w:before="0" w:after="0"/>
            </w:pPr>
            <w:r/>
            <w:r>
              <w:rPr>
                <w:rFonts w:ascii="Figtree" w:hAnsi="Figtree"/>
                <w:b w:val="0"/>
                <w:i w:val="0"/>
                <w:sz w:val="20"/>
              </w:rPr>
              <w:t>Project management, risk</w:t>
            </w:r>
          </w:p>
        </w:tc>
      </w:tr>
      <w:tr>
        <w:trPr>
          <w:trHeight w:val="425" w:hRule="atLeast"/>
        </w:trPr>
        <w:tc>
          <w:tcPr>
            <w:tcW w:type="dxa" w:w="3249"/>
            <w:vAlign w:val="center"/>
          </w:tcPr>
          <w:p>
            <w:pPr>
              <w:spacing w:line="276" w:lineRule="auto" w:before="0" w:after="0"/>
            </w:pPr>
            <w:r/>
            <w:r>
              <w:rPr>
                <w:rFonts w:ascii="Figtree" w:hAnsi="Figtree"/>
                <w:b w:val="0"/>
                <w:i w:val="0"/>
                <w:sz w:val="20"/>
              </w:rPr>
              <w:t>Coverage &amp; Gaps</w:t>
            </w:r>
          </w:p>
        </w:tc>
        <w:tc>
          <w:tcPr>
            <w:tcW w:type="dxa" w:w="3249"/>
            <w:vAlign w:val="center"/>
          </w:tcPr>
          <w:p>
            <w:pPr>
              <w:spacing w:line="276" w:lineRule="auto" w:before="0" w:after="0"/>
            </w:pPr>
            <w:r/>
            <w:r>
              <w:rPr>
                <w:rFonts w:ascii="Figtree" w:hAnsi="Figtree"/>
                <w:b w:val="0"/>
                <w:i w:val="0"/>
                <w:sz w:val="20"/>
              </w:rPr>
              <w:t>89–90</w:t>
            </w:r>
          </w:p>
        </w:tc>
        <w:tc>
          <w:tcPr>
            <w:tcW w:type="dxa" w:w="3249"/>
            <w:vAlign w:val="center"/>
          </w:tcPr>
          <w:p>
            <w:pPr>
              <w:spacing w:line="276" w:lineRule="auto" w:before="0" w:after="0"/>
            </w:pPr>
            <w:r/>
            <w:r>
              <w:rPr>
                <w:rFonts w:ascii="Figtree" w:hAnsi="Figtree"/>
                <w:b w:val="0"/>
                <w:i w:val="0"/>
                <w:sz w:val="20"/>
              </w:rPr>
              <w:t>Procurement, compliance</w:t>
            </w:r>
          </w:p>
        </w:tc>
      </w:tr>
      <w:tr>
        <w:trPr>
          <w:trHeight w:val="425" w:hRule="atLeast"/>
        </w:trPr>
        <w:tc>
          <w:tcPr>
            <w:tcW w:type="dxa" w:w="3249"/>
            <w:vAlign w:val="center"/>
          </w:tcPr>
          <w:p>
            <w:pPr>
              <w:spacing w:line="276" w:lineRule="auto" w:before="0" w:after="0"/>
            </w:pPr>
            <w:r/>
            <w:r>
              <w:rPr>
                <w:rFonts w:ascii="Figtree" w:hAnsi="Figtree"/>
                <w:b w:val="0"/>
                <w:i w:val="0"/>
                <w:sz w:val="20"/>
              </w:rPr>
              <w:t>Compliance Matrix</w:t>
            </w:r>
          </w:p>
        </w:tc>
        <w:tc>
          <w:tcPr>
            <w:tcW w:type="dxa" w:w="3249"/>
            <w:vAlign w:val="center"/>
          </w:tcPr>
          <w:p>
            <w:pPr>
              <w:spacing w:line="276" w:lineRule="auto" w:before="0" w:after="0"/>
            </w:pPr>
            <w:r/>
            <w:r>
              <w:rPr>
                <w:rFonts w:ascii="Figtree" w:hAnsi="Figtree"/>
                <w:b w:val="0"/>
                <w:i w:val="0"/>
                <w:sz w:val="20"/>
              </w:rPr>
              <w:t>91–93</w:t>
            </w:r>
          </w:p>
        </w:tc>
        <w:tc>
          <w:tcPr>
            <w:tcW w:type="dxa" w:w="3249"/>
            <w:vAlign w:val="center"/>
          </w:tcPr>
          <w:p>
            <w:pPr>
              <w:spacing w:line="276" w:lineRule="auto" w:before="0" w:after="0"/>
            </w:pPr>
            <w:r/>
            <w:r>
              <w:rPr>
                <w:rFonts w:ascii="Figtree" w:hAnsi="Figtree"/>
                <w:b w:val="0"/>
                <w:i w:val="0"/>
                <w:sz w:val="20"/>
              </w:rPr>
              <w:t>Procurement, compliance</w:t>
            </w:r>
          </w:p>
        </w:tc>
      </w:tr>
      <w:tr>
        <w:trPr>
          <w:trHeight w:val="425" w:hRule="atLeast"/>
        </w:trPr>
        <w:tc>
          <w:tcPr>
            <w:tcW w:type="dxa" w:w="3249"/>
            <w:vAlign w:val="center"/>
          </w:tcPr>
          <w:p>
            <w:pPr>
              <w:spacing w:line="276" w:lineRule="auto" w:before="0" w:after="0"/>
            </w:pPr>
            <w:r/>
            <w:r>
              <w:rPr>
                <w:rFonts w:ascii="Figtree" w:hAnsi="Figtree"/>
                <w:b w:val="0"/>
                <w:i w:val="0"/>
                <w:sz w:val="20"/>
              </w:rPr>
              <w:t>Appendices</w:t>
            </w:r>
          </w:p>
        </w:tc>
        <w:tc>
          <w:tcPr>
            <w:tcW w:type="dxa" w:w="3249"/>
            <w:vAlign w:val="center"/>
          </w:tcPr>
          <w:p>
            <w:pPr>
              <w:spacing w:line="276" w:lineRule="auto" w:before="0" w:after="0"/>
            </w:pPr>
            <w:r/>
            <w:r>
              <w:rPr>
                <w:rFonts w:ascii="Figtree" w:hAnsi="Figtree"/>
                <w:b w:val="0"/>
                <w:i w:val="0"/>
                <w:sz w:val="20"/>
              </w:rPr>
              <w:t>94–100+</w:t>
            </w:r>
          </w:p>
        </w:tc>
        <w:tc>
          <w:tcPr>
            <w:tcW w:type="dxa" w:w="3249"/>
            <w:vAlign w:val="center"/>
          </w:tcPr>
          <w:p>
            <w:pPr>
              <w:spacing w:line="276" w:lineRule="auto" w:before="0" w:after="0"/>
            </w:pPr>
            <w:r/>
            <w:r>
              <w:rPr>
                <w:rFonts w:ascii="Figtree" w:hAnsi="Figtree"/>
                <w:b w:val="0"/>
                <w:i w:val="0"/>
                <w:sz w:val="20"/>
              </w:rPr>
              <w:t>Reference (all audiences)</w:t>
            </w:r>
          </w:p>
        </w:tc>
      </w:tr>
    </w:tbl>
    <w:p>
      <w:pPr>
        <w:spacing w:before="0" w:after="0" w:line="120" w:lineRule="exact"/>
      </w:pPr>
    </w:p>
    <w:p>
      <w:pPr>
        <w:pStyle w:val="H3"/>
        <w:numPr>
          <w:ilvl w:val="2"/>
          <w:numId w:val="1"/>
        </w:numPr>
      </w:pPr>
      <w:r>
        <w:t>Appendix C: Certification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49"/>
        <w:gridCol w:w="2554"/>
        <w:gridCol w:w="3875"/>
        <w:gridCol w:w="79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Certification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Issuing Body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2436"/>
            <w:vAlign w:val="center"/>
          </w:tcPr>
          <w:p>
            <w:pPr>
              <w:spacing w:line="276" w:lineRule="auto" w:before="0" w:after="0"/>
            </w:pPr>
            <w:r/>
            <w:r>
              <w:rPr>
                <w:rFonts w:ascii="Figtree" w:hAnsi="Figtree"/>
                <w:b w:val="0"/>
                <w:i w:val="0"/>
                <w:sz w:val="20"/>
              </w:rPr>
              <w:t>ISO 27001</w:t>
            </w:r>
          </w:p>
        </w:tc>
        <w:tc>
          <w:tcPr>
            <w:tcW w:type="dxa" w:w="2436"/>
            <w:vAlign w:val="center"/>
          </w:tcPr>
          <w:p>
            <w:pPr>
              <w:spacing w:line="276" w:lineRule="auto" w:before="0" w:after="0"/>
            </w:pPr>
            <w:r/>
            <w:r>
              <w:rPr>
                <w:rFonts w:ascii="Figtree" w:hAnsi="Figtree"/>
                <w:b w:val="0"/>
                <w:i w:val="0"/>
                <w:sz w:val="20"/>
              </w:rPr>
              <w:t>Accredited certification body</w:t>
            </w:r>
          </w:p>
        </w:tc>
        <w:tc>
          <w:tcPr>
            <w:tcW w:type="dxa" w:w="2436"/>
            <w:vAlign w:val="center"/>
          </w:tcPr>
          <w:p>
            <w:pPr>
              <w:spacing w:line="276" w:lineRule="auto" w:before="0" w:after="0"/>
            </w:pPr>
            <w:r/>
            <w:r>
              <w:rPr>
                <w:rFonts w:ascii="Figtree" w:hAnsi="Figtree"/>
                <w:b w:val="0"/>
                <w:i w:val="0"/>
                <w:sz w:val="20"/>
              </w:rPr>
              <w:t>Information security management system</w:t>
            </w:r>
          </w:p>
        </w:tc>
        <w:tc>
          <w:tcPr>
            <w:tcW w:type="dxa" w:w="2436"/>
            <w:vAlign w:val="center"/>
          </w:tcPr>
          <w:p>
            <w:pPr>
              <w:spacing w:line="276" w:lineRule="auto" w:before="0" w:after="0"/>
            </w:pPr>
            <w:r/>
            <w:r>
              <w:rPr>
                <w:rFonts w:ascii="Figtree" w:hAnsi="Figtree"/>
                <w:b w:val="0"/>
                <w:i w:val="0"/>
                <w:sz w:val="20"/>
              </w:rPr>
              <w:t>Current</w:t>
            </w:r>
          </w:p>
        </w:tc>
      </w:tr>
      <w:tr>
        <w:trPr>
          <w:trHeight w:val="425" w:hRule="atLeast"/>
        </w:trPr>
        <w:tc>
          <w:tcPr>
            <w:tcW w:type="dxa" w:w="2436"/>
            <w:vAlign w:val="center"/>
          </w:tcPr>
          <w:p>
            <w:pPr>
              <w:spacing w:line="276" w:lineRule="auto" w:before="0" w:after="0"/>
            </w:pPr>
            <w:r/>
            <w:r>
              <w:rPr>
                <w:rFonts w:ascii="Figtree" w:hAnsi="Figtree"/>
                <w:b w:val="0"/>
                <w:i w:val="0"/>
                <w:sz w:val="20"/>
              </w:rPr>
              <w:t>SOC 2 Type II</w:t>
            </w:r>
          </w:p>
        </w:tc>
        <w:tc>
          <w:tcPr>
            <w:tcW w:type="dxa" w:w="2436"/>
            <w:vAlign w:val="center"/>
          </w:tcPr>
          <w:p>
            <w:pPr>
              <w:spacing w:line="276" w:lineRule="auto" w:before="0" w:after="0"/>
            </w:pPr>
            <w:r/>
            <w:r>
              <w:rPr>
                <w:rFonts w:ascii="Figtree" w:hAnsi="Figtree"/>
                <w:b w:val="0"/>
                <w:i w:val="0"/>
                <w:sz w:val="20"/>
              </w:rPr>
              <w:t>Independent auditor</w:t>
            </w:r>
          </w:p>
        </w:tc>
        <w:tc>
          <w:tcPr>
            <w:tcW w:type="dxa" w:w="2436"/>
            <w:vAlign w:val="center"/>
          </w:tcPr>
          <w:p>
            <w:pPr>
              <w:spacing w:line="276" w:lineRule="auto" w:before="0" w:after="0"/>
            </w:pPr>
            <w:r/>
            <w:r>
              <w:rPr>
                <w:rFonts w:ascii="Figtree" w:hAnsi="Figtree"/>
                <w:b w:val="0"/>
                <w:i w:val="0"/>
                <w:sz w:val="20"/>
              </w:rPr>
              <w:t>Security, availability, processing integrity</w:t>
            </w:r>
          </w:p>
        </w:tc>
        <w:tc>
          <w:tcPr>
            <w:tcW w:type="dxa" w:w="2436"/>
            <w:vAlign w:val="center"/>
          </w:tcPr>
          <w:p>
            <w:pPr>
              <w:spacing w:line="276" w:lineRule="auto" w:before="0" w:after="0"/>
            </w:pPr>
            <w:r/>
            <w:r>
              <w:rPr>
                <w:rFonts w:ascii="Figtree" w:hAnsi="Figtree"/>
                <w:b w:val="0"/>
                <w:i w:val="0"/>
                <w:sz w:val="20"/>
              </w:rPr>
              <w:t>Current</w:t>
            </w:r>
          </w:p>
        </w:tc>
      </w:tr>
      <w:tr>
        <w:trPr>
          <w:trHeight w:val="425" w:hRule="atLeast"/>
        </w:trPr>
        <w:tc>
          <w:tcPr>
            <w:tcW w:type="dxa" w:w="2436"/>
            <w:vAlign w:val="center"/>
          </w:tcPr>
          <w:p>
            <w:pPr>
              <w:spacing w:line="276" w:lineRule="auto" w:before="0" w:after="0"/>
            </w:pPr>
            <w:r/>
            <w:r>
              <w:rPr>
                <w:rFonts w:ascii="Figtree" w:hAnsi="Figtree"/>
                <w:b w:val="0"/>
                <w:i w:val="0"/>
                <w:sz w:val="20"/>
              </w:rPr>
              <w:t>Smart contract audits</w:t>
            </w:r>
          </w:p>
        </w:tc>
        <w:tc>
          <w:tcPr>
            <w:tcW w:type="dxa" w:w="2436"/>
            <w:vAlign w:val="center"/>
          </w:tcPr>
          <w:p>
            <w:pPr>
              <w:spacing w:line="276" w:lineRule="auto" w:before="0" w:after="0"/>
            </w:pPr>
            <w:r/>
            <w:r>
              <w:rPr>
                <w:rFonts w:ascii="Figtree" w:hAnsi="Figtree"/>
                <w:b w:val="0"/>
                <w:i w:val="0"/>
                <w:sz w:val="20"/>
              </w:rPr>
              <w:t>Third-party security firms</w:t>
            </w:r>
          </w:p>
        </w:tc>
        <w:tc>
          <w:tcPr>
            <w:tcW w:type="dxa" w:w="2436"/>
            <w:vAlign w:val="center"/>
          </w:tcPr>
          <w:p>
            <w:pPr>
              <w:spacing w:line="276" w:lineRule="auto" w:before="0" w:after="0"/>
            </w:pPr>
            <w:r/>
            <w:r>
              <w:rPr>
                <w:rFonts w:ascii="Figtree" w:hAnsi="Figtree"/>
                <w:b w:val="0"/>
                <w:i w:val="0"/>
                <w:sz w:val="20"/>
              </w:rPr>
              <w:t>SMART Protocol and DALPAsset contracts</w:t>
            </w:r>
          </w:p>
        </w:tc>
        <w:tc>
          <w:tcPr>
            <w:tcW w:type="dxa" w:w="2436"/>
            <w:vAlign w:val="center"/>
          </w:tcPr>
          <w:p>
            <w:pPr>
              <w:spacing w:line="276" w:lineRule="auto" w:before="0" w:after="0"/>
            </w:pPr>
            <w:r/>
            <w:r>
              <w:rPr>
                <w:rFonts w:ascii="Figtree" w:hAnsi="Figtree"/>
                <w:b w:val="0"/>
                <w:i w:val="0"/>
                <w:sz w:val="20"/>
              </w:rPr>
              <w:t>Completed</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4"/>
    <w:lvlOverride w:ilvl="0">
      <w:startOverride w:val="1"/>
    </w:lvlOverride>
  </w:num>
  <w:num w:numId="15">
    <w:abstractNumId w:val="4"/>
    <w:lvlOverride w:ilvl="0">
      <w:startOverride w:val="1"/>
    </w:lvlOverride>
  </w:num>
  <w:num w:numId="16">
    <w:abstractNumId w:val="4"/>
    <w:lvlOverride w:ilvl="0">
      <w:startOverride w:val="1"/>
    </w:lvlOverride>
  </w:num>
  <w:num w:numId="17">
    <w:abstractNumId w:val="4"/>
    <w:lvlOverride w:ilvl="0">
      <w:startOverride w:val="1"/>
    </w:lvlOverride>
  </w:num>
  <w:num w:numId="18">
    <w:abstractNumId w:val="4"/>
    <w:lvlOverride w:ilvl="0">
      <w:startOverride w:val="1"/>
    </w:lvlOverride>
  </w:num>
  <w:num w:numId="19">
    <w:abstractNumId w:val="4"/>
    <w:lvlOverride w:ilvl="0">
      <w:startOverride w:val="1"/>
    </w:lvlOverride>
  </w:num>
  <w:num w:numId="20">
    <w:abstractNumId w:val="4"/>
    <w:lvlOverride w:ilvl="0">
      <w:startOverride w:val="1"/>
    </w:lvlOverride>
  </w:num>
  <w:num w:numId="21">
    <w:abstractNumId w:val="4"/>
    <w:lvlOverride w:ilvl="0">
      <w:startOverride w:val="1"/>
    </w:lvlOverride>
  </w:num>
  <w:num w:numId="22">
    <w:abstractNumId w:val="4"/>
    <w:lvlOverride w:ilvl="0">
      <w:startOverride w:val="1"/>
    </w:lvlOverride>
  </w:num>
  <w:num w:numId="23">
    <w:abstractNumId w:val="4"/>
    <w:lvlOverride w:ilvl="0">
      <w:startOverride w:val="1"/>
    </w:lvlOverride>
  </w:num>
  <w:num w:numId="24">
    <w:abstractNumId w:val="4"/>
    <w:lvlOverride w:ilvl="0">
      <w:startOverride w:val="1"/>
    </w:lvlOverride>
  </w:num>
  <w:num w:numId="2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