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Executive Summary</w:t>
          </w:r>
          <w:r>
            <w:tab/>
          </w:r>
          <w:r>
            <w:t xml:space="preserve">3</w:t>
          </w:r>
        </w:p>
        <w:p>
          <w:pPr>
            <w:pStyle w:val="TOC2"/>
            <w:tabs>
              <w:tab w:val="right" w:leader="dot" w:pos="9072"/>
            </w:tabs>
          </w:pPr>
          <w:r>
            <w:t xml:space="preserve">Investment Rationale</w:t>
          </w:r>
          <w:r>
            <w:tab/>
          </w:r>
          <w:r>
            <w:t xml:space="preserve">4</w:t>
          </w:r>
        </w:p>
        <w:p>
          <w:pPr>
            <w:pStyle w:val="TOC3"/>
            <w:tabs>
              <w:tab w:val="right" w:leader="dot" w:pos="9072"/>
            </w:tabs>
          </w:pPr>
          <w:r>
            <w:t xml:space="preserve">Cost of Current Approach</w:t>
          </w:r>
          <w:r>
            <w:tab/>
          </w:r>
          <w:r>
            <w:t xml:space="preserve">5</w:t>
          </w:r>
        </w:p>
        <w:p>
          <w:pPr>
            <w:pStyle w:val="TOC3"/>
            <w:tabs>
              <w:tab w:val="right" w:leader="dot" w:pos="9072"/>
            </w:tabs>
          </w:pPr>
          <w:r>
            <w:t xml:space="preserve">Why DALP Changes Economics</w:t>
          </w:r>
          <w:r>
            <w:tab/>
          </w:r>
          <w:r>
            <w:t xml:space="preserve">6</w:t>
          </w:r>
        </w:p>
        <w:p>
          <w:pPr>
            <w:pStyle w:val="TOC3"/>
            <w:tabs>
              <w:tab w:val="right" w:leader="dot" w:pos="9072"/>
            </w:tabs>
          </w:pPr>
          <w:r>
            <w:t xml:space="preserve">ROI Framework</w:t>
          </w:r>
          <w:r>
            <w:tab/>
          </w:r>
          <w:r>
            <w:t xml:space="preserve">7</w:t>
          </w:r>
        </w:p>
        <w:p>
          <w:pPr>
            <w:pStyle w:val="TOC2"/>
            <w:tabs>
              <w:tab w:val="right" w:leader="dot" w:pos="9072"/>
            </w:tabs>
          </w:pPr>
          <w:r>
            <w:t xml:space="preserve">Licensing Model</w:t>
          </w:r>
          <w:r>
            <w:tab/>
          </w:r>
          <w:r>
            <w:t xml:space="preserve">8</w:t>
          </w:r>
        </w:p>
        <w:p>
          <w:pPr>
            <w:pStyle w:val="TOC3"/>
            <w:tabs>
              <w:tab w:val="right" w:leader="dot" w:pos="9072"/>
            </w:tabs>
          </w:pPr>
          <w:r>
            <w:t xml:space="preserve">Platform Licensing Philosophy</w:t>
          </w:r>
          <w:r>
            <w:tab/>
          </w:r>
          <w:r>
            <w:t xml:space="preserve">9</w:t>
          </w:r>
        </w:p>
        <w:p>
          <w:pPr>
            <w:pStyle w:val="TOC3"/>
            <w:tabs>
              <w:tab w:val="right" w:leader="dot" w:pos="9072"/>
            </w:tabs>
          </w:pPr>
          <w:r>
            <w:t xml:space="preserve">Recommended Tier: Enterprise (Tier 2)</w:t>
          </w:r>
          <w:r>
            <w:tab/>
          </w:r>
          <w:r>
            <w:t xml:space="preserve">10</w:t>
          </w:r>
        </w:p>
        <w:p>
          <w:pPr>
            <w:pStyle w:val="TOC2"/>
            <w:tabs>
              <w:tab w:val="right" w:leader="dot" w:pos="9072"/>
            </w:tabs>
          </w:pPr>
          <w:r>
            <w:t xml:space="preserve">Deployment Options and Pricing</w:t>
          </w:r>
          <w:r>
            <w:tab/>
          </w:r>
          <w:r>
            <w:t xml:space="preserve">11</w:t>
          </w:r>
        </w:p>
        <w:p>
          <w:pPr>
            <w:pStyle w:val="TOC3"/>
            <w:tabs>
              <w:tab w:val="right" w:leader="dot" w:pos="9072"/>
            </w:tabs>
          </w:pPr>
          <w:r>
            <w:t xml:space="preserve">Recommended: Dedicated Cloud, UAE-Resident</w:t>
          </w:r>
          <w:r>
            <w:tab/>
          </w:r>
          <w:r>
            <w:t xml:space="preserve">12</w:t>
          </w:r>
        </w:p>
        <w:p>
          <w:pPr>
            <w:pStyle w:val="TOC3"/>
            <w:tabs>
              <w:tab w:val="right" w:leader="dot" w:pos="9072"/>
            </w:tabs>
          </w:pPr>
          <w:r>
            <w:t xml:space="preserve">Cost Structure</w:t>
          </w:r>
          <w:r>
            <w:tab/>
          </w:r>
          <w:r>
            <w:t xml:space="preserve">13</w:t>
          </w:r>
        </w:p>
        <w:p>
          <w:pPr>
            <w:pStyle w:val="TOC2"/>
            <w:tabs>
              <w:tab w:val="right" w:leader="dot" w:pos="9072"/>
            </w:tabs>
          </w:pPr>
          <w:r>
            <w:t xml:space="preserve">Support and SLA Framework</w:t>
          </w:r>
          <w:r>
            <w:tab/>
          </w:r>
          <w:r>
            <w:t xml:space="preserve">14</w:t>
          </w:r>
        </w:p>
        <w:p>
          <w:pPr>
            <w:pStyle w:val="TOC3"/>
            <w:tabs>
              <w:tab w:val="right" w:leader="dot" w:pos="9072"/>
            </w:tabs>
          </w:pPr>
          <w:r>
            <w:t xml:space="preserve">Recommended: Premium Support</w:t>
          </w:r>
          <w:r>
            <w:tab/>
          </w:r>
          <w:r>
            <w:t xml:space="preserve">15</w:t>
          </w:r>
        </w:p>
        <w:p>
          <w:pPr>
            <w:pStyle w:val="TOC3"/>
            <w:tabs>
              <w:tab w:val="right" w:leader="dot" w:pos="9072"/>
            </w:tabs>
          </w:pPr>
          <w:r>
            <w:t xml:space="preserve">Severity Matrix</w:t>
          </w:r>
          <w:r>
            <w:tab/>
          </w:r>
          <w:r>
            <w:t xml:space="preserve">16</w:t>
          </w:r>
        </w:p>
        <w:p>
          <w:pPr>
            <w:pStyle w:val="TOC2"/>
            <w:tabs>
              <w:tab w:val="right" w:leader="dot" w:pos="9072"/>
            </w:tabs>
          </w:pPr>
          <w:r>
            <w:t xml:space="preserve">Implementation Investment</w:t>
          </w:r>
          <w:r>
            <w:tab/>
          </w:r>
          <w:r>
            <w:t xml:space="preserve">17</w:t>
          </w:r>
        </w:p>
        <w:p>
          <w:pPr>
            <w:pStyle w:val="TOC3"/>
            <w:tabs>
              <w:tab w:val="right" w:leader="dot" w:pos="9072"/>
            </w:tabs>
          </w:pPr>
          <w:r>
            <w:t xml:space="preserve">Pricing Summary</w:t>
          </w:r>
          <w:r>
            <w:tab/>
          </w:r>
          <w:r>
            <w:t xml:space="preserve">18</w:t>
          </w:r>
        </w:p>
        <w:p>
          <w:pPr>
            <w:pStyle w:val="TOC3"/>
            <w:tabs>
              <w:tab w:val="right" w:leader="dot" w:pos="9072"/>
            </w:tabs>
          </w:pPr>
          <w:r>
            <w:t xml:space="preserve">Client Effort Assumptions</w:t>
          </w:r>
          <w:r>
            <w:tab/>
          </w:r>
          <w:r>
            <w:t xml:space="preserve">19</w:t>
          </w:r>
        </w:p>
        <w:p>
          <w:pPr>
            <w:pStyle w:val="TOC2"/>
            <w:tabs>
              <w:tab w:val="right" w:leader="dot" w:pos="9072"/>
            </w:tabs>
          </w:pPr>
          <w:r>
            <w:t xml:space="preserve">Total Cost of Ownership</w:t>
          </w:r>
          <w:r>
            <w:tab/>
          </w:r>
          <w:r>
            <w:t xml:space="preserve">20</w:t>
          </w:r>
        </w:p>
        <w:p>
          <w:pPr>
            <w:pStyle w:val="TOC3"/>
            <w:tabs>
              <w:tab w:val="right" w:leader="dot" w:pos="9072"/>
            </w:tabs>
          </w:pPr>
          <w:r>
            <w:t xml:space="preserve">Three-Year TCO</w:t>
          </w:r>
          <w:r>
            <w:tab/>
          </w:r>
          <w:r>
            <w:t xml:space="preserve">21</w:t>
          </w:r>
        </w:p>
        <w:p>
          <w:pPr>
            <w:pStyle w:val="TOC3"/>
            <w:tabs>
              <w:tab w:val="right" w:leader="dot" w:pos="9072"/>
            </w:tabs>
          </w:pPr>
          <w:r>
            <w:t xml:space="preserve">Exclusions</w:t>
          </w:r>
          <w:r>
            <w:tab/>
          </w:r>
          <w:r>
            <w:t xml:space="preserve">22</w:t>
          </w:r>
        </w:p>
        <w:p>
          <w:pPr>
            <w:pStyle w:val="TOC2"/>
            <w:tabs>
              <w:tab w:val="right" w:leader="dot" w:pos="9072"/>
            </w:tabs>
          </w:pPr>
          <w:r>
            <w:t xml:space="preserve">Commercial Terms</w:t>
          </w:r>
          <w:r>
            <w:tab/>
          </w:r>
          <w:r>
            <w:t xml:space="preserve">23</w:t>
          </w:r>
        </w:p>
        <w:p>
          <w:pPr>
            <w:pStyle w:val="TOC3"/>
            <w:tabs>
              <w:tab w:val="right" w:leader="dot" w:pos="9072"/>
            </w:tabs>
          </w:pPr>
          <w:r>
            <w:t xml:space="preserve">Contract Components</w:t>
          </w:r>
          <w:r>
            <w:tab/>
          </w:r>
          <w:r>
            <w:t xml:space="preserve">24</w:t>
          </w:r>
        </w:p>
        <w:p>
          <w:pPr>
            <w:pStyle w:val="TOC3"/>
            <w:tabs>
              <w:tab w:val="right" w:leader="dot" w:pos="9072"/>
            </w:tabs>
          </w:pPr>
          <w:r>
            <w:t xml:space="preserve">Key Terms</w:t>
          </w:r>
          <w:r>
            <w:tab/>
          </w:r>
          <w:r>
            <w:t xml:space="preserve">25</w:t>
          </w:r>
        </w:p>
        <w:p>
          <w:pPr>
            <w:pStyle w:val="TOC2"/>
            <w:tabs>
              <w:tab w:val="right" w:leader="dot" w:pos="9072"/>
            </w:tabs>
          </w:pPr>
          <w:r>
            <w:t xml:space="preserve">Reference Clients</w:t>
          </w:r>
          <w:r>
            <w:tab/>
          </w:r>
          <w:r>
            <w:t xml:space="preserve">26</w:t>
          </w:r>
        </w:p>
        <w:p>
          <w:pPr>
            <w:pStyle w:val="TOC2"/>
            <w:tabs>
              <w:tab w:val="right" w:leader="dot" w:pos="9072"/>
            </w:tabs>
          </w:pPr>
          <w:r>
            <w:t xml:space="preserve">Next Steps</w:t>
          </w:r>
          <w:r>
            <w:tab/>
          </w:r>
          <w:r>
            <w:t xml:space="preserve">27</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92"/>
        <w:gridCol w:w="737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Proposal title</w:t>
            </w:r>
          </w:p>
        </w:tc>
        <w:tc>
          <w:tcPr>
            <w:tcW w:type="dxa" w:w="4873"/>
            <w:vAlign w:val="center"/>
          </w:tcPr>
          <w:p>
            <w:pPr>
              <w:spacing w:line="276" w:lineRule="auto" w:before="0" w:after="0"/>
            </w:pPr>
            <w:r/>
            <w:r>
              <w:rPr>
                <w:rFonts w:ascii="Figtree" w:hAnsi="Figtree"/>
                <w:b w:val="0"/>
                <w:i w:val="0"/>
                <w:sz w:val="20"/>
              </w:rPr>
              <w:t>Commercial Proposal — Digital Asset Custody for Institutional and Private Banking Distribution</w:t>
            </w:r>
          </w:p>
        </w:tc>
      </w:tr>
      <w:tr>
        <w:trPr>
          <w:trHeight w:val="425" w:hRule="atLeast"/>
        </w:trPr>
        <w:tc>
          <w:tcPr>
            <w:tcW w:type="dxa" w:w="4873"/>
            <w:vAlign w:val="center"/>
          </w:tcPr>
          <w:p>
            <w:pPr>
              <w:spacing w:line="276" w:lineRule="auto" w:before="0" w:after="0"/>
            </w:pPr>
            <w:r/>
            <w:r>
              <w:rPr>
                <w:rFonts w:ascii="Figtree" w:hAnsi="Figtree"/>
                <w:b w:val="0"/>
                <w:i w:val="0"/>
                <w:sz w:val="20"/>
              </w:rPr>
              <w:t>Client</w:t>
            </w:r>
          </w:p>
        </w:tc>
        <w:tc>
          <w:tcPr>
            <w:tcW w:type="dxa" w:w="4873"/>
            <w:vAlign w:val="center"/>
          </w:tcPr>
          <w:p>
            <w:pPr>
              <w:spacing w:line="276" w:lineRule="auto" w:before="0" w:after="0"/>
            </w:pPr>
            <w:r/>
            <w:r>
              <w:rPr>
                <w:rFonts w:ascii="Figtree" w:hAnsi="Figtree"/>
                <w:b w:val="0"/>
                <w:i w:val="0"/>
                <w:sz w:val="20"/>
              </w:rPr>
              <w:t>First Abu Dhabi Bank</w:t>
            </w:r>
          </w:p>
        </w:tc>
      </w:tr>
      <w:tr>
        <w:trPr>
          <w:trHeight w:val="425" w:hRule="atLeast"/>
        </w:trPr>
        <w:tc>
          <w:tcPr>
            <w:tcW w:type="dxa" w:w="4873"/>
            <w:vAlign w:val="center"/>
          </w:tcPr>
          <w:p>
            <w:pPr>
              <w:spacing w:line="276" w:lineRule="auto" w:before="0" w:after="0"/>
            </w:pPr>
            <w:r/>
            <w:r>
              <w:rPr>
                <w:rFonts w:ascii="Figtree" w:hAnsi="Figtree"/>
                <w:b w:val="0"/>
                <w:i w:val="0"/>
                <w:sz w:val="20"/>
              </w:rPr>
              <w:t>Submitted by</w:t>
            </w:r>
          </w:p>
        </w:tc>
        <w:tc>
          <w:tcPr>
            <w:tcW w:type="dxa" w:w="4873"/>
            <w:vAlign w:val="center"/>
          </w:tcPr>
          <w:p>
            <w:pPr>
              <w:spacing w:line="276" w:lineRule="auto" w:before="0" w:after="0"/>
            </w:pPr>
            <w:r/>
            <w:r>
              <w:rPr>
                <w:rFonts w:ascii="Figtree" w:hAnsi="Figtree"/>
                <w:b w:val="0"/>
                <w:i w:val="0"/>
                <w:sz w:val="20"/>
              </w:rPr>
              <w:t>SettleMint NV</w:t>
            </w:r>
          </w:p>
        </w:tc>
      </w:tr>
      <w:tr>
        <w:trPr>
          <w:trHeight w:val="425" w:hRule="atLeast"/>
        </w:trPr>
        <w:tc>
          <w:tcPr>
            <w:tcW w:type="dxa" w:w="4873"/>
            <w:vAlign w:val="center"/>
          </w:tcPr>
          <w:p>
            <w:pPr>
              <w:spacing w:line="276" w:lineRule="auto" w:before="0" w:after="0"/>
            </w:pPr>
            <w:r/>
            <w:r>
              <w:rPr>
                <w:rFonts w:ascii="Figtree" w:hAnsi="Figtree"/>
                <w:b w:val="0"/>
                <w:i w:val="0"/>
                <w:sz w:val="20"/>
              </w:rPr>
              <w:t>Date</w:t>
            </w:r>
          </w:p>
        </w:tc>
        <w:tc>
          <w:tcPr>
            <w:tcW w:type="dxa" w:w="4873"/>
            <w:vAlign w:val="center"/>
          </w:tcPr>
          <w:p>
            <w:pPr>
              <w:spacing w:line="276" w:lineRule="auto" w:before="0" w:after="0"/>
            </w:pPr>
            <w:r/>
            <w:r>
              <w:rPr>
                <w:rFonts w:ascii="Figtree" w:hAnsi="Figtree"/>
                <w:b w:val="0"/>
                <w:i w:val="0"/>
                <w:sz w:val="20"/>
              </w:rPr>
              <w:t>March 2026</w:t>
            </w:r>
          </w:p>
        </w:tc>
      </w:tr>
      <w:tr>
        <w:trPr>
          <w:trHeight w:val="425" w:hRule="atLeast"/>
        </w:trPr>
        <w:tc>
          <w:tcPr>
            <w:tcW w:type="dxa" w:w="4873"/>
            <w:vAlign w:val="center"/>
          </w:tcPr>
          <w:p>
            <w:pPr>
              <w:spacing w:line="276" w:lineRule="auto" w:before="0" w:after="0"/>
            </w:pPr>
            <w:r/>
            <w:r>
              <w:rPr>
                <w:rFonts w:ascii="Figtree" w:hAnsi="Figtree"/>
                <w:b w:val="0"/>
                <w:i w:val="0"/>
                <w:sz w:val="20"/>
              </w:rPr>
              <w:t>Version</w:t>
            </w:r>
          </w:p>
        </w:tc>
        <w:tc>
          <w:tcPr>
            <w:tcW w:type="dxa" w:w="4873"/>
            <w:vAlign w:val="center"/>
          </w:tcPr>
          <w:p>
            <w:pPr>
              <w:spacing w:line="276" w:lineRule="auto" w:before="0" w:after="0"/>
            </w:pPr>
            <w:r/>
            <w:r>
              <w:rPr>
                <w:rFonts w:ascii="Figtree" w:hAnsi="Figtree"/>
                <w:b w:val="0"/>
                <w:i w:val="0"/>
                <w:sz w:val="20"/>
              </w:rPr>
              <w:t>v1.0</w:t>
            </w:r>
          </w:p>
        </w:tc>
      </w:tr>
      <w:tr>
        <w:trPr>
          <w:trHeight w:val="425" w:hRule="atLeast"/>
        </w:trPr>
        <w:tc>
          <w:tcPr>
            <w:tcW w:type="dxa" w:w="4873"/>
            <w:vAlign w:val="center"/>
          </w:tcPr>
          <w:p>
            <w:pPr>
              <w:spacing w:line="276" w:lineRule="auto" w:before="0" w:after="0"/>
            </w:pPr>
            <w:r/>
            <w:r>
              <w:rPr>
                <w:rFonts w:ascii="Figtree" w:hAnsi="Figtree"/>
                <w:b w:val="0"/>
                <w:i w:val="0"/>
                <w:sz w:val="20"/>
              </w:rPr>
              <w:t>Confidentiality</w:t>
            </w:r>
          </w:p>
        </w:tc>
        <w:tc>
          <w:tcPr>
            <w:tcW w:type="dxa" w:w="4873"/>
            <w:vAlign w:val="center"/>
          </w:tcPr>
          <w:p>
            <w:pPr>
              <w:spacing w:line="276" w:lineRule="auto" w:before="0" w:after="0"/>
            </w:pPr>
            <w:r/>
            <w:r>
              <w:rPr>
                <w:rFonts w:ascii="Figtree" w:hAnsi="Figtree"/>
                <w:b w:val="0"/>
                <w:i w:val="0"/>
                <w:sz w:val="20"/>
              </w:rPr>
              <w:t>Restricted</w:t>
            </w:r>
          </w:p>
        </w:tc>
      </w:tr>
      <w:tr>
        <w:trPr>
          <w:trHeight w:val="425" w:hRule="atLeast"/>
        </w:trPr>
        <w:tc>
          <w:tcPr>
            <w:tcW w:type="dxa" w:w="4873"/>
            <w:vAlign w:val="center"/>
          </w:tcPr>
          <w:p>
            <w:pPr>
              <w:spacing w:line="276" w:lineRule="auto" w:before="0" w:after="0"/>
            </w:pPr>
            <w:r/>
            <w:r>
              <w:rPr>
                <w:rFonts w:ascii="Figtree" w:hAnsi="Figtree"/>
                <w:b w:val="0"/>
                <w:i w:val="0"/>
                <w:sz w:val="20"/>
              </w:rPr>
              <w:t>RFP Reference</w:t>
            </w:r>
          </w:p>
        </w:tc>
        <w:tc>
          <w:tcPr>
            <w:tcW w:type="dxa" w:w="4873"/>
            <w:vAlign w:val="center"/>
          </w:tcPr>
          <w:p>
            <w:pPr>
              <w:spacing w:line="276" w:lineRule="auto" w:before="0" w:after="0"/>
            </w:pPr>
            <w:r/>
            <w:r>
              <w:rPr>
                <w:rFonts w:ascii="Figtree" w:hAnsi="Figtree"/>
                <w:b w:val="0"/>
                <w:i w:val="0"/>
                <w:sz w:val="20"/>
              </w:rPr>
              <w:t>FIRST-ABU-DHABI-BANK-RFP-DIGITAL-ASSET-CUSTODY-202603</w:t>
            </w:r>
          </w:p>
        </w:tc>
      </w:tr>
    </w:tbl>
    <w:p>
      <w:pPr>
        <w:spacing w:before="0" w:after="0" w:line="120" w:lineRule="exact"/>
      </w:pPr>
    </w:p>
    <w:p>
      <w:r>
        <w:br w:type="page"/>
      </w:r>
    </w:p>
    <w:p>
      <w:pPr>
        <w:pStyle w:val="H2"/>
        <w:numPr>
          <w:ilvl w:val="1"/>
          <w:numId w:val="1"/>
        </w:numPr>
      </w:pPr>
      <w:r>
        <w:t>Executive Summary</w:t>
      </w:r>
    </w:p>
    <w:p>
      <w:r>
        <w:rPr>
          <w:rFonts w:ascii="Figtree" w:hAnsi="Figtree"/>
          <w:b w:val="0"/>
          <w:i w:val="0"/>
          <w:sz w:val="22"/>
        </w:rPr>
        <w:t>First Abu Dhabi Bank requires a custody orchestration platform and delivery partner capable of bringing institutional-grade digital asset custody to production with the discipline, transparency, and governance expected of a core regulated system. This commercial proposal presents SettleMint's licensing, implementation, and support model for the Digital Asset Lifecycle Platform (DALP), structured to provide predictable costs, transparent assumptions, and a clear total cost of ownership across a three-year horizon.</w:t>
      </w:r>
    </w:p>
    <w:p>
      <w:r>
        <w:rPr>
          <w:rFonts w:ascii="Figtree" w:hAnsi="Figtree"/>
          <w:b/>
          <w:i w:val="0"/>
          <w:sz w:val="22"/>
        </w:rPr>
        <w:t>Commercial recommendation:</w:t>
      </w:r>
    </w:p>
    <w:p>
      <w:pPr>
        <w:pStyle w:val="ListParagraph"/>
        <w:numPr>
          <w:ilvl w:val="0"/>
          <w:numId w:val="4"/>
        </w:numPr>
      </w:pPr>
      <w:r>
        <w:rPr>
          <w:rFonts w:ascii="Figtree" w:hAnsi="Figtree"/>
          <w:b/>
          <w:i w:val="0"/>
          <w:sz w:val="22"/>
        </w:rPr>
        <w:t>License tier:</w:t>
      </w:r>
      <w:r>
        <w:rPr>
          <w:rFonts w:ascii="Figtree" w:hAnsi="Figtree"/>
          <w:b w:val="0"/>
          <w:i w:val="0"/>
          <w:sz w:val="22"/>
        </w:rPr>
        <w:t xml:space="preserve"> Enterprise (Tier 2) — supporting multiple asset classes, environments, and custody provider integrations</w:t>
      </w:r>
    </w:p>
    <w:p>
      <w:pPr>
        <w:pStyle w:val="ListParagraph"/>
        <w:numPr>
          <w:ilvl w:val="0"/>
          <w:numId w:val="4"/>
        </w:numPr>
      </w:pPr>
      <w:r>
        <w:rPr>
          <w:rFonts w:ascii="Figtree" w:hAnsi="Figtree"/>
          <w:b/>
          <w:i w:val="0"/>
          <w:sz w:val="22"/>
        </w:rPr>
        <w:t>Deployment model:</w:t>
      </w:r>
      <w:r>
        <w:rPr>
          <w:rFonts w:ascii="Figtree" w:hAnsi="Figtree"/>
          <w:b w:val="0"/>
          <w:i w:val="0"/>
          <w:sz w:val="22"/>
        </w:rPr>
        <w:t xml:space="preserve"> Dedicated cloud, UAE-resident infrastructure</w:t>
      </w:r>
    </w:p>
    <w:p>
      <w:pPr>
        <w:pStyle w:val="ListParagraph"/>
        <w:numPr>
          <w:ilvl w:val="0"/>
          <w:numId w:val="4"/>
        </w:numPr>
      </w:pPr>
      <w:r>
        <w:rPr>
          <w:rFonts w:ascii="Figtree" w:hAnsi="Figtree"/>
          <w:b/>
          <w:i w:val="0"/>
          <w:sz w:val="22"/>
        </w:rPr>
        <w:t>Implementation:</w:t>
      </w:r>
      <w:r>
        <w:rPr>
          <w:rFonts w:ascii="Figtree" w:hAnsi="Figtree"/>
          <w:b w:val="0"/>
          <w:i w:val="0"/>
          <w:sz w:val="22"/>
        </w:rPr>
        <w:t xml:space="preserve"> 19-week phase-gated delivery with five formal gate reviews</w:t>
      </w:r>
    </w:p>
    <w:p>
      <w:pPr>
        <w:pStyle w:val="ListParagraph"/>
        <w:numPr>
          <w:ilvl w:val="0"/>
          <w:numId w:val="4"/>
        </w:numPr>
      </w:pPr>
      <w:r>
        <w:rPr>
          <w:rFonts w:ascii="Figtree" w:hAnsi="Figtree"/>
          <w:b/>
          <w:i w:val="0"/>
          <w:sz w:val="22"/>
        </w:rPr>
        <w:t>Support tier:</w:t>
      </w:r>
      <w:r>
        <w:rPr>
          <w:rFonts w:ascii="Figtree" w:hAnsi="Figtree"/>
          <w:b w:val="0"/>
          <w:i w:val="0"/>
          <w:sz w:val="22"/>
        </w:rPr>
        <w:t xml:space="preserve"> Premium — 16x5 coverage, 2-hour P1 response, dedicated support engineer</w:t>
      </w:r>
    </w:p>
    <w:p>
      <w:pPr>
        <w:pStyle w:val="ListParagraph"/>
        <w:numPr>
          <w:ilvl w:val="0"/>
          <w:numId w:val="4"/>
        </w:numPr>
      </w:pPr>
      <w:r>
        <w:rPr>
          <w:rFonts w:ascii="Figtree" w:hAnsi="Figtree"/>
          <w:b/>
          <w:i w:val="0"/>
          <w:sz w:val="22"/>
        </w:rPr>
        <w:t>Estimated three-year TCO:</w:t>
      </w:r>
      <w:r>
        <w:rPr>
          <w:rFonts w:ascii="Figtree" w:hAnsi="Figtree"/>
          <w:b w:val="0"/>
          <w:i w:val="0"/>
          <w:sz w:val="22"/>
        </w:rPr>
        <w:t xml:space="preserve"> [CLIENT-SPECIFIC — to be finalized during commercial discussions]</w:t>
      </w:r>
    </w:p>
    <w:p>
      <w:r>
        <w:rPr>
          <w:rFonts w:ascii="Figtree" w:hAnsi="Figtree"/>
          <w:b w:val="0"/>
          <w:i w:val="0"/>
          <w:sz w:val="22"/>
        </w:rPr>
        <w:t>The DALP licensing model charges a predictable annual subscription with no per-transaction, per-token, per-user, or per-asset fees. FAB can scale custody operations, asset classes, and client base without incremental platform costs.</w:t>
      </w:r>
    </w:p>
    <w:p>
      <w:r>
        <w:br w:type="page"/>
      </w:r>
    </w:p>
    <w:p>
      <w:pPr>
        <w:pStyle w:val="H2"/>
        <w:numPr>
          <w:ilvl w:val="1"/>
          <w:numId w:val="1"/>
        </w:numPr>
      </w:pPr>
      <w:r>
        <w:t>Investment Rationale</w:t>
      </w:r>
    </w:p>
    <w:p>
      <w:pPr>
        <w:pStyle w:val="H3"/>
        <w:numPr>
          <w:ilvl w:val="2"/>
          <w:numId w:val="1"/>
        </w:numPr>
      </w:pPr>
      <w:r>
        <w:t>Cost of Current Approach</w:t>
      </w:r>
    </w:p>
    <w:p>
      <w:r>
        <w:rPr>
          <w:rFonts w:ascii="Figtree" w:hAnsi="Figtree"/>
          <w:b w:val="0"/>
          <w:i w:val="0"/>
          <w:sz w:val="22"/>
        </w:rPr>
        <w:t>Building institutional digital asset custody from scratch requires assembling separate solutions for key management, compliance checking, identity verification, settlement, servicing, and operational monitoring. This fragmented approach creates coordination overhead (every change requires cross-vendor coordination), extended timelines (18-24 months of custom development), compliance gaps (compliance treated as an afterthought), operational risk (no unified registry, no atomic operations), and skills dependency (teams must maintain deep blockchain expertise).</w:t>
      </w:r>
    </w:p>
    <w:p>
      <w:pPr>
        <w:pStyle w:val="H3"/>
        <w:numPr>
          <w:ilvl w:val="2"/>
          <w:numId w:val="1"/>
        </w:numPr>
      </w:pPr>
      <w:r>
        <w:t>Why DALP Changes Economics</w:t>
      </w:r>
    </w:p>
    <w:p>
      <w:r>
        <w:rPr>
          <w:rFonts w:ascii="Figtree" w:hAnsi="Figtree"/>
          <w:b w:val="0"/>
          <w:i w:val="0"/>
          <w:sz w:val="22"/>
        </w:rPr>
        <w:t>DALP consolidates the full custody lifecycle into a single platform. The compliance engine, custody orchestration, settlement, and monitoring are included from day one. Adding new asset classes does not require new vendor procurement. Adding new investors does not increase platform costs. This changes the cost profile from a fragmented, variable-cost model to a predictable, platform-based model.</w:t>
      </w:r>
    </w:p>
    <w:p>
      <w:pPr>
        <w:pStyle w:val="H3"/>
        <w:numPr>
          <w:ilvl w:val="2"/>
          <w:numId w:val="1"/>
        </w:numPr>
      </w:pPr>
      <w:r>
        <w:t>ROI Framework</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68"/>
        <w:gridCol w:w="4891"/>
        <w:gridCol w:w="151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ROI Driver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Mechanism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Estimated Impact</w:t>
            </w:r>
          </w:p>
        </w:tc>
      </w:tr>
      <w:tr>
        <w:trPr>
          <w:trHeight w:val="425" w:hRule="atLeast"/>
        </w:trPr>
        <w:tc>
          <w:tcPr>
            <w:tcW w:type="dxa" w:w="3249"/>
            <w:vAlign w:val="center"/>
          </w:tcPr>
          <w:p>
            <w:pPr>
              <w:spacing w:line="276" w:lineRule="auto" w:before="0" w:after="0"/>
            </w:pPr>
            <w:r/>
            <w:r>
              <w:rPr>
                <w:rFonts w:ascii="Figtree" w:hAnsi="Figtree"/>
                <w:b w:val="0"/>
                <w:i w:val="0"/>
                <w:sz w:val="20"/>
              </w:rPr>
              <w:t>Custody intermediary reduction</w:t>
            </w:r>
          </w:p>
        </w:tc>
        <w:tc>
          <w:tcPr>
            <w:tcW w:type="dxa" w:w="3249"/>
            <w:vAlign w:val="center"/>
          </w:tcPr>
          <w:p>
            <w:pPr>
              <w:spacing w:line="276" w:lineRule="auto" w:before="0" w:after="0"/>
            </w:pPr>
            <w:r/>
            <w:r>
              <w:rPr>
                <w:rFonts w:ascii="Figtree" w:hAnsi="Figtree"/>
                <w:b w:val="0"/>
                <w:i w:val="0"/>
                <w:sz w:val="20"/>
              </w:rPr>
              <w:t>On-chain ownership eliminates intermediary custody fees</w:t>
            </w:r>
          </w:p>
        </w:tc>
        <w:tc>
          <w:tcPr>
            <w:tcW w:type="dxa" w:w="3249"/>
            <w:vAlign w:val="center"/>
          </w:tcPr>
          <w:p>
            <w:pPr>
              <w:spacing w:line="276" w:lineRule="auto" w:before="0" w:after="0"/>
            </w:pPr>
            <w:r/>
            <w:r>
              <w:rPr>
                <w:rFonts w:ascii="Figtree" w:hAnsi="Figtree"/>
                <w:b w:val="0"/>
                <w:i w:val="0"/>
                <w:sz w:val="20"/>
              </w:rPr>
              <w:t>[CLIENT-SPECIFIC]</w:t>
            </w:r>
          </w:p>
        </w:tc>
      </w:tr>
      <w:tr>
        <w:trPr>
          <w:trHeight w:val="425" w:hRule="atLeast"/>
        </w:trPr>
        <w:tc>
          <w:tcPr>
            <w:tcW w:type="dxa" w:w="3249"/>
            <w:vAlign w:val="center"/>
          </w:tcPr>
          <w:p>
            <w:pPr>
              <w:spacing w:line="276" w:lineRule="auto" w:before="0" w:after="0"/>
            </w:pPr>
            <w:r/>
            <w:r>
              <w:rPr>
                <w:rFonts w:ascii="Figtree" w:hAnsi="Figtree"/>
                <w:b w:val="0"/>
                <w:i w:val="0"/>
                <w:sz w:val="20"/>
              </w:rPr>
              <w:t>Settlement cycle reduction</w:t>
            </w:r>
          </w:p>
        </w:tc>
        <w:tc>
          <w:tcPr>
            <w:tcW w:type="dxa" w:w="3249"/>
            <w:vAlign w:val="center"/>
          </w:tcPr>
          <w:p>
            <w:pPr>
              <w:spacing w:line="276" w:lineRule="auto" w:before="0" w:after="0"/>
            </w:pPr>
            <w:r/>
            <w:r>
              <w:rPr>
                <w:rFonts w:ascii="Figtree" w:hAnsi="Figtree"/>
                <w:b w:val="0"/>
                <w:i w:val="0"/>
                <w:sz w:val="20"/>
              </w:rPr>
              <w:t>Atomic DvP eliminates T+2 settlement delay</w:t>
            </w:r>
          </w:p>
        </w:tc>
        <w:tc>
          <w:tcPr>
            <w:tcW w:type="dxa" w:w="3249"/>
            <w:vAlign w:val="center"/>
          </w:tcPr>
          <w:p>
            <w:pPr>
              <w:spacing w:line="276" w:lineRule="auto" w:before="0" w:after="0"/>
            </w:pPr>
            <w:r/>
            <w:r>
              <w:rPr>
                <w:rFonts w:ascii="Figtree" w:hAnsi="Figtree"/>
                <w:b w:val="0"/>
                <w:i w:val="0"/>
                <w:sz w:val="20"/>
              </w:rPr>
              <w:t>[CLIENT-SPECIFIC]</w:t>
            </w:r>
          </w:p>
        </w:tc>
      </w:tr>
      <w:tr>
        <w:trPr>
          <w:trHeight w:val="425" w:hRule="atLeast"/>
        </w:trPr>
        <w:tc>
          <w:tcPr>
            <w:tcW w:type="dxa" w:w="3249"/>
            <w:vAlign w:val="center"/>
          </w:tcPr>
          <w:p>
            <w:pPr>
              <w:spacing w:line="276" w:lineRule="auto" w:before="0" w:after="0"/>
            </w:pPr>
            <w:r/>
            <w:r>
              <w:rPr>
                <w:rFonts w:ascii="Figtree" w:hAnsi="Figtree"/>
                <w:b w:val="0"/>
                <w:i w:val="0"/>
                <w:sz w:val="20"/>
              </w:rPr>
              <w:t>Operational efficiency</w:t>
            </w:r>
          </w:p>
        </w:tc>
        <w:tc>
          <w:tcPr>
            <w:tcW w:type="dxa" w:w="3249"/>
            <w:vAlign w:val="center"/>
          </w:tcPr>
          <w:p>
            <w:pPr>
              <w:spacing w:line="276" w:lineRule="auto" w:before="0" w:after="0"/>
            </w:pPr>
            <w:r/>
            <w:r>
              <w:rPr>
                <w:rFonts w:ascii="Figtree" w:hAnsi="Figtree"/>
                <w:b w:val="0"/>
                <w:i w:val="0"/>
                <w:sz w:val="20"/>
              </w:rPr>
              <w:t>Automated servicing, compliance, and reporting</w:t>
            </w:r>
          </w:p>
        </w:tc>
        <w:tc>
          <w:tcPr>
            <w:tcW w:type="dxa" w:w="3249"/>
            <w:vAlign w:val="center"/>
          </w:tcPr>
          <w:p>
            <w:pPr>
              <w:spacing w:line="276" w:lineRule="auto" w:before="0" w:after="0"/>
            </w:pPr>
            <w:r/>
            <w:r>
              <w:rPr>
                <w:rFonts w:ascii="Figtree" w:hAnsi="Figtree"/>
                <w:b w:val="0"/>
                <w:i w:val="0"/>
                <w:sz w:val="20"/>
              </w:rPr>
              <w:t>[CLIENT-SPECIFIC]</w:t>
            </w:r>
          </w:p>
        </w:tc>
      </w:tr>
      <w:tr>
        <w:trPr>
          <w:trHeight w:val="425" w:hRule="atLeast"/>
        </w:trPr>
        <w:tc>
          <w:tcPr>
            <w:tcW w:type="dxa" w:w="3249"/>
            <w:vAlign w:val="center"/>
          </w:tcPr>
          <w:p>
            <w:pPr>
              <w:spacing w:line="276" w:lineRule="auto" w:before="0" w:after="0"/>
            </w:pPr>
            <w:r/>
            <w:r>
              <w:rPr>
                <w:rFonts w:ascii="Figtree" w:hAnsi="Figtree"/>
                <w:b w:val="0"/>
                <w:i w:val="0"/>
                <w:sz w:val="20"/>
              </w:rPr>
              <w:t>New revenue streams</w:t>
            </w:r>
          </w:p>
        </w:tc>
        <w:tc>
          <w:tcPr>
            <w:tcW w:type="dxa" w:w="3249"/>
            <w:vAlign w:val="center"/>
          </w:tcPr>
          <w:p>
            <w:pPr>
              <w:spacing w:line="276" w:lineRule="auto" w:before="0" w:after="0"/>
            </w:pPr>
            <w:r/>
            <w:r>
              <w:rPr>
                <w:rFonts w:ascii="Figtree" w:hAnsi="Figtree"/>
                <w:b w:val="0"/>
                <w:i w:val="0"/>
                <w:sz w:val="20"/>
              </w:rPr>
              <w:t>Private banking digital asset products</w:t>
            </w:r>
          </w:p>
        </w:tc>
        <w:tc>
          <w:tcPr>
            <w:tcW w:type="dxa" w:w="3249"/>
            <w:vAlign w:val="center"/>
          </w:tcPr>
          <w:p>
            <w:pPr>
              <w:spacing w:line="276" w:lineRule="auto" w:before="0" w:after="0"/>
            </w:pPr>
            <w:r/>
            <w:r>
              <w:rPr>
                <w:rFonts w:ascii="Figtree" w:hAnsi="Figtree"/>
                <w:b w:val="0"/>
                <w:i w:val="0"/>
                <w:sz w:val="20"/>
              </w:rPr>
              <w:t>[CLIENT-SPECIFIC]</w:t>
            </w:r>
          </w:p>
        </w:tc>
      </w:tr>
      <w:tr>
        <w:trPr>
          <w:trHeight w:val="425" w:hRule="atLeast"/>
        </w:trPr>
        <w:tc>
          <w:tcPr>
            <w:tcW w:type="dxa" w:w="3249"/>
            <w:vAlign w:val="center"/>
          </w:tcPr>
          <w:p>
            <w:pPr>
              <w:spacing w:line="276" w:lineRule="auto" w:before="0" w:after="0"/>
            </w:pPr>
            <w:r/>
            <w:r>
              <w:rPr>
                <w:rFonts w:ascii="Figtree" w:hAnsi="Figtree"/>
                <w:b w:val="0"/>
                <w:i w:val="0"/>
                <w:sz w:val="20"/>
              </w:rPr>
              <w:t>Risk reduction</w:t>
            </w:r>
          </w:p>
        </w:tc>
        <w:tc>
          <w:tcPr>
            <w:tcW w:type="dxa" w:w="3249"/>
            <w:vAlign w:val="center"/>
          </w:tcPr>
          <w:p>
            <w:pPr>
              <w:spacing w:line="276" w:lineRule="auto" w:before="0" w:after="0"/>
            </w:pPr>
            <w:r/>
            <w:r>
              <w:rPr>
                <w:rFonts w:ascii="Figtree" w:hAnsi="Figtree"/>
                <w:b w:val="0"/>
                <w:i w:val="0"/>
                <w:sz w:val="20"/>
              </w:rPr>
              <w:t>Atomic settlement eliminates counterparty risk</w:t>
            </w:r>
          </w:p>
        </w:tc>
        <w:tc>
          <w:tcPr>
            <w:tcW w:type="dxa" w:w="3249"/>
            <w:vAlign w:val="center"/>
          </w:tcPr>
          <w:p>
            <w:pPr>
              <w:spacing w:line="276" w:lineRule="auto" w:before="0" w:after="0"/>
            </w:pPr>
            <w:r/>
            <w:r>
              <w:rPr>
                <w:rFonts w:ascii="Figtree" w:hAnsi="Figtree"/>
                <w:b w:val="0"/>
                <w:i w:val="0"/>
                <w:sz w:val="20"/>
              </w:rPr>
              <w:t>[CLIENT-SPECIFIC]</w:t>
            </w:r>
          </w:p>
        </w:tc>
      </w:tr>
    </w:tbl>
    <w:p>
      <w:pPr>
        <w:spacing w:before="0" w:after="0" w:line="120" w:lineRule="exact"/>
      </w:pPr>
    </w:p>
    <w:p>
      <w:r>
        <w:br w:type="page"/>
      </w:r>
    </w:p>
    <w:p>
      <w:pPr>
        <w:pStyle w:val="H2"/>
        <w:numPr>
          <w:ilvl w:val="1"/>
          <w:numId w:val="1"/>
        </w:numPr>
      </w:pPr>
      <w:r>
        <w:t>Licensing Model</w:t>
      </w:r>
    </w:p>
    <w:p>
      <w:pPr>
        <w:pStyle w:val="H3"/>
        <w:numPr>
          <w:ilvl w:val="2"/>
          <w:numId w:val="1"/>
        </w:numPr>
      </w:pPr>
      <w:r>
        <w:t>Platform Licensing Philosophy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90"/>
        <w:gridCol w:w="598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Principle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What It Means for FAB</w:t>
            </w:r>
          </w:p>
        </w:tc>
      </w:tr>
      <w:tr>
        <w:trPr>
          <w:trHeight w:val="425" w:hRule="atLeast"/>
        </w:trPr>
        <w:tc>
          <w:tcPr>
            <w:tcW w:type="dxa" w:w="4873"/>
            <w:vAlign w:val="center"/>
          </w:tcPr>
          <w:p>
            <w:pPr>
              <w:spacing w:line="276" w:lineRule="auto" w:before="0" w:after="0"/>
            </w:pPr>
            <w:r/>
            <w:r>
              <w:rPr>
                <w:rFonts w:ascii="Figtree" w:hAnsi="Figtree"/>
                <w:b w:val="0"/>
                <w:i w:val="0"/>
                <w:sz w:val="20"/>
              </w:rPr>
              <w:t>No per-transaction fees</w:t>
            </w:r>
          </w:p>
        </w:tc>
        <w:tc>
          <w:tcPr>
            <w:tcW w:type="dxa" w:w="4873"/>
            <w:vAlign w:val="center"/>
          </w:tcPr>
          <w:p>
            <w:pPr>
              <w:spacing w:line="276" w:lineRule="auto" w:before="0" w:after="0"/>
            </w:pPr>
            <w:r/>
            <w:r>
              <w:rPr>
                <w:rFonts w:ascii="Figtree" w:hAnsi="Figtree"/>
                <w:b w:val="0"/>
                <w:i w:val="0"/>
                <w:sz w:val="20"/>
              </w:rPr>
              <w:t>Every custody operation, compliance check, and transfer is included</w:t>
            </w:r>
          </w:p>
        </w:tc>
      </w:tr>
      <w:tr>
        <w:trPr>
          <w:trHeight w:val="425" w:hRule="atLeast"/>
        </w:trPr>
        <w:tc>
          <w:tcPr>
            <w:tcW w:type="dxa" w:w="4873"/>
            <w:vAlign w:val="center"/>
          </w:tcPr>
          <w:p>
            <w:pPr>
              <w:spacing w:line="276" w:lineRule="auto" w:before="0" w:after="0"/>
            </w:pPr>
            <w:r/>
            <w:r>
              <w:rPr>
                <w:rFonts w:ascii="Figtree" w:hAnsi="Figtree"/>
                <w:b w:val="0"/>
                <w:i w:val="0"/>
                <w:sz w:val="20"/>
              </w:rPr>
              <w:t>No per-token fees</w:t>
            </w:r>
          </w:p>
        </w:tc>
        <w:tc>
          <w:tcPr>
            <w:tcW w:type="dxa" w:w="4873"/>
            <w:vAlign w:val="center"/>
          </w:tcPr>
          <w:p>
            <w:pPr>
              <w:spacing w:line="276" w:lineRule="auto" w:before="0" w:after="0"/>
            </w:pPr>
            <w:r/>
            <w:r>
              <w:rPr>
                <w:rFonts w:ascii="Figtree" w:hAnsi="Figtree"/>
                <w:b w:val="0"/>
                <w:i w:val="0"/>
                <w:sz w:val="20"/>
              </w:rPr>
              <w:t>Additional asset classes carry no incremental license cost</w:t>
            </w:r>
          </w:p>
        </w:tc>
      </w:tr>
      <w:tr>
        <w:trPr>
          <w:trHeight w:val="425" w:hRule="atLeast"/>
        </w:trPr>
        <w:tc>
          <w:tcPr>
            <w:tcW w:type="dxa" w:w="4873"/>
            <w:vAlign w:val="center"/>
          </w:tcPr>
          <w:p>
            <w:pPr>
              <w:spacing w:line="276" w:lineRule="auto" w:before="0" w:after="0"/>
            </w:pPr>
            <w:r/>
            <w:r>
              <w:rPr>
                <w:rFonts w:ascii="Figtree" w:hAnsi="Figtree"/>
                <w:b w:val="0"/>
                <w:i w:val="0"/>
                <w:sz w:val="20"/>
              </w:rPr>
              <w:t>No per-user fees</w:t>
            </w:r>
          </w:p>
        </w:tc>
        <w:tc>
          <w:tcPr>
            <w:tcW w:type="dxa" w:w="4873"/>
            <w:vAlign w:val="center"/>
          </w:tcPr>
          <w:p>
            <w:pPr>
              <w:spacing w:line="276" w:lineRule="auto" w:before="0" w:after="0"/>
            </w:pPr>
            <w:r/>
            <w:r>
              <w:rPr>
                <w:rFonts w:ascii="Figtree" w:hAnsi="Figtree"/>
                <w:b w:val="0"/>
                <w:i w:val="0"/>
                <w:sz w:val="20"/>
              </w:rPr>
              <w:t>Growing the client base is a business outcome, not a cost driver</w:t>
            </w:r>
          </w:p>
        </w:tc>
      </w:tr>
      <w:tr>
        <w:trPr>
          <w:trHeight w:val="425" w:hRule="atLeast"/>
        </w:trPr>
        <w:tc>
          <w:tcPr>
            <w:tcW w:type="dxa" w:w="4873"/>
            <w:vAlign w:val="center"/>
          </w:tcPr>
          <w:p>
            <w:pPr>
              <w:spacing w:line="276" w:lineRule="auto" w:before="0" w:after="0"/>
            </w:pPr>
            <w:r/>
            <w:r>
              <w:rPr>
                <w:rFonts w:ascii="Figtree" w:hAnsi="Figtree"/>
                <w:b w:val="0"/>
                <w:i w:val="0"/>
                <w:sz w:val="20"/>
              </w:rPr>
              <w:t>Predictable annual subscription</w:t>
            </w:r>
          </w:p>
        </w:tc>
        <w:tc>
          <w:tcPr>
            <w:tcW w:type="dxa" w:w="4873"/>
            <w:vAlign w:val="center"/>
          </w:tcPr>
          <w:p>
            <w:pPr>
              <w:spacing w:line="276" w:lineRule="auto" w:before="0" w:after="0"/>
            </w:pPr>
            <w:r/>
            <w:r>
              <w:rPr>
                <w:rFonts w:ascii="Figtree" w:hAnsi="Figtree"/>
                <w:b w:val="0"/>
                <w:i w:val="0"/>
                <w:sz w:val="20"/>
              </w:rPr>
              <w:t>Budget certainty for multi-year planning</w:t>
            </w:r>
          </w:p>
        </w:tc>
      </w:tr>
      <w:tr>
        <w:trPr>
          <w:trHeight w:val="425" w:hRule="atLeast"/>
        </w:trPr>
        <w:tc>
          <w:tcPr>
            <w:tcW w:type="dxa" w:w="4873"/>
            <w:vAlign w:val="center"/>
          </w:tcPr>
          <w:p>
            <w:pPr>
              <w:spacing w:line="276" w:lineRule="auto" w:before="0" w:after="0"/>
            </w:pPr>
            <w:r/>
            <w:r>
              <w:rPr>
                <w:rFonts w:ascii="Figtree" w:hAnsi="Figtree"/>
                <w:b w:val="0"/>
                <w:i w:val="0"/>
                <w:sz w:val="20"/>
              </w:rPr>
              <w:t>Full platform capabilities</w:t>
            </w:r>
          </w:p>
        </w:tc>
        <w:tc>
          <w:tcPr>
            <w:tcW w:type="dxa" w:w="4873"/>
            <w:vAlign w:val="center"/>
          </w:tcPr>
          <w:p>
            <w:pPr>
              <w:spacing w:line="276" w:lineRule="auto" w:before="0" w:after="0"/>
            </w:pPr>
            <w:r/>
            <w:r>
              <w:rPr>
                <w:rFonts w:ascii="Figtree" w:hAnsi="Figtree"/>
                <w:b w:val="0"/>
                <w:i w:val="0"/>
                <w:sz w:val="20"/>
              </w:rPr>
              <w:t>All lifecycle pillars, compliance modules, API surface, observability</w:t>
            </w:r>
          </w:p>
        </w:tc>
      </w:tr>
    </w:tbl>
    <w:p>
      <w:pPr>
        <w:spacing w:before="0" w:after="0" w:line="120" w:lineRule="exact"/>
      </w:pPr>
    </w:p>
    <w:p>
      <w:pPr>
        <w:pStyle w:val="H3"/>
        <w:numPr>
          <w:ilvl w:val="2"/>
          <w:numId w:val="1"/>
        </w:numPr>
      </w:pPr>
      <w:r>
        <w:t>Recommended Tier: Enterprise (Tier 2)</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33"/>
        <w:gridCol w:w="713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Dimension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 Configuration for FAB</w:t>
            </w:r>
          </w:p>
        </w:tc>
      </w:tr>
      <w:tr>
        <w:trPr>
          <w:trHeight w:val="425" w:hRule="atLeast"/>
        </w:trPr>
        <w:tc>
          <w:tcPr>
            <w:tcW w:type="dxa" w:w="4873"/>
            <w:vAlign w:val="center"/>
          </w:tcPr>
          <w:p>
            <w:pPr>
              <w:spacing w:line="276" w:lineRule="auto" w:before="0" w:after="0"/>
            </w:pPr>
            <w:r/>
            <w:r>
              <w:rPr>
                <w:rFonts w:ascii="Figtree" w:hAnsi="Figtree"/>
                <w:b w:val="0"/>
                <w:i w:val="0"/>
                <w:sz w:val="20"/>
              </w:rPr>
              <w:t>Environments</w:t>
            </w:r>
          </w:p>
        </w:tc>
        <w:tc>
          <w:tcPr>
            <w:tcW w:type="dxa" w:w="4873"/>
            <w:vAlign w:val="center"/>
          </w:tcPr>
          <w:p>
            <w:pPr>
              <w:spacing w:line="276" w:lineRule="auto" w:before="0" w:after="0"/>
            </w:pPr>
            <w:r/>
            <w:r>
              <w:rPr>
                <w:rFonts w:ascii="Figtree" w:hAnsi="Figtree"/>
                <w:b w:val="0"/>
                <w:i w:val="0"/>
                <w:sz w:val="20"/>
              </w:rPr>
              <w:t>Development + UAT/Staging + DR + Production</w:t>
            </w:r>
          </w:p>
        </w:tc>
      </w:tr>
      <w:tr>
        <w:trPr>
          <w:trHeight w:val="425" w:hRule="atLeast"/>
        </w:trPr>
        <w:tc>
          <w:tcPr>
            <w:tcW w:type="dxa" w:w="4873"/>
            <w:vAlign w:val="center"/>
          </w:tcPr>
          <w:p>
            <w:pPr>
              <w:spacing w:line="276" w:lineRule="auto" w:before="0" w:after="0"/>
            </w:pPr>
            <w:r/>
            <w:r>
              <w:rPr>
                <w:rFonts w:ascii="Figtree" w:hAnsi="Figtree"/>
                <w:b w:val="0"/>
                <w:i w:val="0"/>
                <w:sz w:val="20"/>
              </w:rPr>
              <w:t>Networks</w:t>
            </w:r>
          </w:p>
        </w:tc>
        <w:tc>
          <w:tcPr>
            <w:tcW w:type="dxa" w:w="4873"/>
            <w:vAlign w:val="center"/>
          </w:tcPr>
          <w:p>
            <w:pPr>
              <w:spacing w:line="276" w:lineRule="auto" w:before="0" w:after="0"/>
            </w:pPr>
            <w:r/>
            <w:r>
              <w:rPr>
                <w:rFonts w:ascii="Figtree" w:hAnsi="Figtree"/>
                <w:b w:val="0"/>
                <w:i w:val="0"/>
                <w:sz w:val="20"/>
              </w:rPr>
              <w:t>Permissioned Hyperledger Besu (recommended)</w:t>
            </w:r>
          </w:p>
        </w:tc>
      </w:tr>
      <w:tr>
        <w:trPr>
          <w:trHeight w:val="425" w:hRule="atLeast"/>
        </w:trPr>
        <w:tc>
          <w:tcPr>
            <w:tcW w:type="dxa" w:w="4873"/>
            <w:vAlign w:val="center"/>
          </w:tcPr>
          <w:p>
            <w:pPr>
              <w:spacing w:line="276" w:lineRule="auto" w:before="0" w:after="0"/>
            </w:pPr>
            <w:r/>
            <w:r>
              <w:rPr>
                <w:rFonts w:ascii="Figtree" w:hAnsi="Figtree"/>
                <w:b w:val="0"/>
                <w:i w:val="0"/>
                <w:sz w:val="20"/>
              </w:rPr>
              <w:t>Custody</w:t>
            </w:r>
          </w:p>
        </w:tc>
        <w:tc>
          <w:tcPr>
            <w:tcW w:type="dxa" w:w="4873"/>
            <w:vAlign w:val="center"/>
          </w:tcPr>
          <w:p>
            <w:pPr>
              <w:spacing w:line="276" w:lineRule="auto" w:before="0" w:after="0"/>
            </w:pPr>
            <w:r/>
            <w:r>
              <w:rPr>
                <w:rFonts w:ascii="Figtree" w:hAnsi="Figtree"/>
                <w:b w:val="0"/>
                <w:i w:val="0"/>
                <w:sz w:val="20"/>
              </w:rPr>
              <w:t>DFNS or Fireblocks integration</w:t>
            </w:r>
          </w:p>
        </w:tc>
      </w:tr>
      <w:tr>
        <w:trPr>
          <w:trHeight w:val="425" w:hRule="atLeast"/>
        </w:trPr>
        <w:tc>
          <w:tcPr>
            <w:tcW w:type="dxa" w:w="4873"/>
            <w:vAlign w:val="center"/>
          </w:tcPr>
          <w:p>
            <w:pPr>
              <w:spacing w:line="276" w:lineRule="auto" w:before="0" w:after="0"/>
            </w:pPr>
            <w:r/>
            <w:r>
              <w:rPr>
                <w:rFonts w:ascii="Figtree" w:hAnsi="Figtree"/>
                <w:b w:val="0"/>
                <w:i w:val="0"/>
                <w:sz w:val="20"/>
              </w:rPr>
              <w:t>Support</w:t>
            </w:r>
          </w:p>
        </w:tc>
        <w:tc>
          <w:tcPr>
            <w:tcW w:type="dxa" w:w="4873"/>
            <w:vAlign w:val="center"/>
          </w:tcPr>
          <w:p>
            <w:pPr>
              <w:spacing w:line="276" w:lineRule="auto" w:before="0" w:after="0"/>
            </w:pPr>
            <w:r/>
            <w:r>
              <w:rPr>
                <w:rFonts w:ascii="Figtree" w:hAnsi="Figtree"/>
                <w:b w:val="0"/>
                <w:i w:val="0"/>
                <w:sz w:val="20"/>
              </w:rPr>
              <w:t>Premium tier (16x5, 2-hour P1 response)</w:t>
            </w:r>
          </w:p>
        </w:tc>
      </w:tr>
      <w:tr>
        <w:trPr>
          <w:trHeight w:val="425" w:hRule="atLeast"/>
        </w:trPr>
        <w:tc>
          <w:tcPr>
            <w:tcW w:type="dxa" w:w="4873"/>
            <w:vAlign w:val="center"/>
          </w:tcPr>
          <w:p>
            <w:pPr>
              <w:spacing w:line="276" w:lineRule="auto" w:before="0" w:after="0"/>
            </w:pPr>
            <w:r/>
            <w:r>
              <w:rPr>
                <w:rFonts w:ascii="Figtree" w:hAnsi="Figtree"/>
                <w:b w:val="0"/>
                <w:i w:val="0"/>
                <w:sz w:val="20"/>
              </w:rPr>
              <w:t>Asset classes</w:t>
            </w:r>
          </w:p>
        </w:tc>
        <w:tc>
          <w:tcPr>
            <w:tcW w:type="dxa" w:w="4873"/>
            <w:vAlign w:val="center"/>
          </w:tcPr>
          <w:p>
            <w:pPr>
              <w:spacing w:line="276" w:lineRule="auto" w:before="0" w:after="0"/>
            </w:pPr>
            <w:r/>
            <w:r>
              <w:rPr>
                <w:rFonts w:ascii="Figtree" w:hAnsi="Figtree"/>
                <w:b w:val="0"/>
                <w:i w:val="0"/>
                <w:sz w:val="20"/>
              </w:rPr>
              <w:t>Multi-asset custody: bonds, equities, funds, deposits, configurable</w:t>
            </w:r>
          </w:p>
        </w:tc>
      </w:tr>
    </w:tbl>
    <w:p>
      <w:pPr>
        <w:spacing w:before="0" w:after="0" w:line="120" w:lineRule="exact"/>
      </w:pPr>
    </w:p>
    <w:p>
      <w:r>
        <w:rPr>
          <w:rFonts w:ascii="Figtree" w:hAnsi="Figtree"/>
          <w:b/>
          <w:i w:val="0"/>
          <w:sz w:val="22"/>
        </w:rPr>
        <w:t>Annual license fee:</w:t>
      </w:r>
      <w:r>
        <w:rPr>
          <w:rFonts w:ascii="Figtree" w:hAnsi="Figtree"/>
          <w:b w:val="0"/>
          <w:i w:val="0"/>
          <w:sz w:val="22"/>
        </w:rPr>
        <w:t xml:space="preserve"> [CLIENT-SPECIFIC]</w:t>
      </w:r>
    </w:p>
    <w:p>
      <w:r>
        <w:br w:type="page"/>
      </w:r>
    </w:p>
    <w:p>
      <w:pPr>
        <w:pStyle w:val="H2"/>
        <w:numPr>
          <w:ilvl w:val="1"/>
          <w:numId w:val="1"/>
        </w:numPr>
      </w:pPr>
      <w:r>
        <w:t>Deployment Options and Pricing</w:t>
      </w:r>
    </w:p>
    <w:p>
      <w:pPr>
        <w:pStyle w:val="H3"/>
        <w:numPr>
          <w:ilvl w:val="2"/>
          <w:numId w:val="1"/>
        </w:numPr>
      </w:pPr>
      <w:r>
        <w:t>Recommended: Dedicated Cloud, UAE-Resident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98"/>
        <w:gridCol w:w="2419"/>
        <w:gridCol w:w="1935"/>
        <w:gridCol w:w="967"/>
        <w:gridCol w:w="1451"/>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Option</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Management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Data Residency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Speed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Overhead</w:t>
            </w:r>
          </w:p>
        </w:tc>
      </w:tr>
      <w:tr>
        <w:trPr>
          <w:trHeight w:val="425" w:hRule="atLeast"/>
        </w:trPr>
        <w:tc>
          <w:tcPr>
            <w:tcW w:type="dxa" w:w="1949"/>
            <w:vAlign w:val="center"/>
          </w:tcPr>
          <w:p>
            <w:pPr>
              <w:spacing w:line="276" w:lineRule="auto" w:before="0" w:after="0"/>
            </w:pPr>
            <w:r/>
            <w:r>
              <w:rPr>
                <w:rFonts w:ascii="Figtree" w:hAnsi="Figtree"/>
                <w:b w:val="0"/>
                <w:i w:val="0"/>
                <w:sz w:val="20"/>
              </w:rPr>
              <w:t>Managed SaaS</w:t>
            </w:r>
          </w:p>
        </w:tc>
        <w:tc>
          <w:tcPr>
            <w:tcW w:type="dxa" w:w="1949"/>
            <w:vAlign w:val="center"/>
          </w:tcPr>
          <w:p>
            <w:pPr>
              <w:spacing w:line="276" w:lineRule="auto" w:before="0" w:after="0"/>
            </w:pPr>
            <w:r/>
            <w:r>
              <w:rPr>
                <w:rFonts w:ascii="Figtree" w:hAnsi="Figtree"/>
                <w:b w:val="0"/>
                <w:i w:val="0"/>
                <w:sz w:val="20"/>
              </w:rPr>
              <w:t>SettleMint</w:t>
            </w:r>
          </w:p>
        </w:tc>
        <w:tc>
          <w:tcPr>
            <w:tcW w:type="dxa" w:w="1949"/>
            <w:vAlign w:val="center"/>
          </w:tcPr>
          <w:p>
            <w:pPr>
              <w:spacing w:line="276" w:lineRule="auto" w:before="0" w:after="0"/>
            </w:pPr>
            <w:r/>
            <w:r>
              <w:rPr>
                <w:rFonts w:ascii="Figtree" w:hAnsi="Figtree"/>
                <w:b w:val="0"/>
                <w:i w:val="0"/>
                <w:sz w:val="20"/>
              </w:rPr>
              <w:t>Shared</w:t>
            </w:r>
          </w:p>
        </w:tc>
        <w:tc>
          <w:tcPr>
            <w:tcW w:type="dxa" w:w="1949"/>
            <w:vAlign w:val="center"/>
          </w:tcPr>
          <w:p>
            <w:pPr>
              <w:spacing w:line="276" w:lineRule="auto" w:before="0" w:after="0"/>
            </w:pPr>
            <w:r/>
            <w:r>
              <w:rPr>
                <w:rFonts w:ascii="Figtree" w:hAnsi="Figtree"/>
                <w:b w:val="0"/>
                <w:i w:val="0"/>
                <w:sz w:val="20"/>
              </w:rPr>
              <w:t>Fastest</w:t>
            </w:r>
          </w:p>
        </w:tc>
        <w:tc>
          <w:tcPr>
            <w:tcW w:type="dxa" w:w="1949"/>
            <w:vAlign w:val="center"/>
          </w:tcPr>
          <w:p>
            <w:pPr>
              <w:spacing w:line="276" w:lineRule="auto" w:before="0" w:after="0"/>
            </w:pPr>
            <w:r/>
            <w:r>
              <w:rPr>
                <w:rFonts w:ascii="Figtree" w:hAnsi="Figtree"/>
                <w:b w:val="0"/>
                <w:i w:val="0"/>
                <w:sz w:val="20"/>
              </w:rPr>
              <w:t>Lowest</w:t>
            </w:r>
          </w:p>
        </w:tc>
      </w:tr>
      <w:tr>
        <w:trPr>
          <w:trHeight w:val="425" w:hRule="atLeast"/>
        </w:trPr>
        <w:tc>
          <w:tcPr>
            <w:tcW w:type="dxa" w:w="1949"/>
            <w:vAlign w:val="center"/>
          </w:tcPr>
          <w:p>
            <w:pPr>
              <w:spacing w:line="276" w:lineRule="auto" w:before="0" w:after="0"/>
            </w:pPr>
            <w:r/>
            <w:r>
              <w:rPr>
                <w:rFonts w:ascii="Figtree" w:hAnsi="Figtree"/>
                <w:b/>
                <w:i w:val="0"/>
                <w:sz w:val="20"/>
              </w:rPr>
              <w:t>Dedicated Cloud</w:t>
            </w:r>
          </w:p>
        </w:tc>
        <w:tc>
          <w:tcPr>
            <w:tcW w:type="dxa" w:w="1949"/>
            <w:vAlign w:val="center"/>
          </w:tcPr>
          <w:p>
            <w:pPr>
              <w:spacing w:line="276" w:lineRule="auto" w:before="0" w:after="0"/>
            </w:pPr>
            <w:r/>
            <w:r>
              <w:rPr>
                <w:rFonts w:ascii="Figtree" w:hAnsi="Figtree"/>
                <w:b/>
                <w:i w:val="0"/>
                <w:sz w:val="20"/>
              </w:rPr>
              <w:t>FAB + SettleMint</w:t>
            </w:r>
          </w:p>
        </w:tc>
        <w:tc>
          <w:tcPr>
            <w:tcW w:type="dxa" w:w="1949"/>
            <w:vAlign w:val="center"/>
          </w:tcPr>
          <w:p>
            <w:pPr>
              <w:spacing w:line="276" w:lineRule="auto" w:before="0" w:after="0"/>
            </w:pPr>
            <w:r/>
            <w:r>
              <w:rPr>
                <w:rFonts w:ascii="Figtree" w:hAnsi="Figtree"/>
                <w:b/>
                <w:i w:val="0"/>
                <w:sz w:val="20"/>
              </w:rPr>
              <w:t>UAE-resident</w:t>
            </w:r>
          </w:p>
        </w:tc>
        <w:tc>
          <w:tcPr>
            <w:tcW w:type="dxa" w:w="1949"/>
            <w:vAlign w:val="center"/>
          </w:tcPr>
          <w:p>
            <w:pPr>
              <w:spacing w:line="276" w:lineRule="auto" w:before="0" w:after="0"/>
            </w:pPr>
            <w:r/>
            <w:r>
              <w:rPr>
                <w:rFonts w:ascii="Figtree" w:hAnsi="Figtree"/>
                <w:b/>
                <w:i w:val="0"/>
                <w:sz w:val="20"/>
              </w:rPr>
              <w:t>Fast</w:t>
            </w:r>
          </w:p>
        </w:tc>
        <w:tc>
          <w:tcPr>
            <w:tcW w:type="dxa" w:w="1949"/>
            <w:vAlign w:val="center"/>
          </w:tcPr>
          <w:p>
            <w:pPr>
              <w:spacing w:line="276" w:lineRule="auto" w:before="0" w:after="0"/>
            </w:pPr>
            <w:r/>
            <w:r>
              <w:rPr>
                <w:rFonts w:ascii="Figtree" w:hAnsi="Figtree"/>
                <w:b/>
                <w:i w:val="0"/>
                <w:sz w:val="20"/>
              </w:rPr>
              <w:t>Moderate</w:t>
            </w:r>
          </w:p>
        </w:tc>
      </w:tr>
      <w:tr>
        <w:trPr>
          <w:trHeight w:val="425" w:hRule="atLeast"/>
        </w:trPr>
        <w:tc>
          <w:tcPr>
            <w:tcW w:type="dxa" w:w="1949"/>
            <w:vAlign w:val="center"/>
          </w:tcPr>
          <w:p>
            <w:pPr>
              <w:spacing w:line="276" w:lineRule="auto" w:before="0" w:after="0"/>
            </w:pPr>
            <w:r/>
            <w:r>
              <w:rPr>
                <w:rFonts w:ascii="Figtree" w:hAnsi="Figtree"/>
                <w:b w:val="0"/>
                <w:i w:val="0"/>
                <w:sz w:val="20"/>
              </w:rPr>
              <w:t>On-Premises</w:t>
            </w:r>
          </w:p>
        </w:tc>
        <w:tc>
          <w:tcPr>
            <w:tcW w:type="dxa" w:w="1949"/>
            <w:vAlign w:val="center"/>
          </w:tcPr>
          <w:p>
            <w:pPr>
              <w:spacing w:line="276" w:lineRule="auto" w:before="0" w:after="0"/>
            </w:pPr>
            <w:r/>
            <w:r>
              <w:rPr>
                <w:rFonts w:ascii="Figtree" w:hAnsi="Figtree"/>
                <w:b w:val="0"/>
                <w:i w:val="0"/>
                <w:sz w:val="20"/>
              </w:rPr>
              <w:t>FAB</w:t>
            </w:r>
          </w:p>
        </w:tc>
        <w:tc>
          <w:tcPr>
            <w:tcW w:type="dxa" w:w="1949"/>
            <w:vAlign w:val="center"/>
          </w:tcPr>
          <w:p>
            <w:pPr>
              <w:spacing w:line="276" w:lineRule="auto" w:before="0" w:after="0"/>
            </w:pPr>
            <w:r/>
            <w:r>
              <w:rPr>
                <w:rFonts w:ascii="Figtree" w:hAnsi="Figtree"/>
                <w:b w:val="0"/>
                <w:i w:val="0"/>
                <w:sz w:val="20"/>
              </w:rPr>
              <w:t>FAB DC</w:t>
            </w:r>
          </w:p>
        </w:tc>
        <w:tc>
          <w:tcPr>
            <w:tcW w:type="dxa" w:w="1949"/>
            <w:vAlign w:val="center"/>
          </w:tcPr>
          <w:p>
            <w:pPr>
              <w:spacing w:line="276" w:lineRule="auto" w:before="0" w:after="0"/>
            </w:pPr>
            <w:r/>
            <w:r>
              <w:rPr>
                <w:rFonts w:ascii="Figtree" w:hAnsi="Figtree"/>
                <w:b w:val="0"/>
                <w:i w:val="0"/>
                <w:sz w:val="20"/>
              </w:rPr>
              <w:t>Slowest</w:t>
            </w:r>
          </w:p>
        </w:tc>
        <w:tc>
          <w:tcPr>
            <w:tcW w:type="dxa" w:w="1949"/>
            <w:vAlign w:val="center"/>
          </w:tcPr>
          <w:p>
            <w:pPr>
              <w:spacing w:line="276" w:lineRule="auto" w:before="0" w:after="0"/>
            </w:pPr>
            <w:r/>
            <w:r>
              <w:rPr>
                <w:rFonts w:ascii="Figtree" w:hAnsi="Figtree"/>
                <w:b w:val="0"/>
                <w:i w:val="0"/>
                <w:sz w:val="20"/>
              </w:rPr>
              <w:t>Highest</w:t>
            </w:r>
          </w:p>
        </w:tc>
      </w:tr>
      <w:tr>
        <w:trPr>
          <w:trHeight w:val="425" w:hRule="atLeast"/>
        </w:trPr>
        <w:tc>
          <w:tcPr>
            <w:tcW w:type="dxa" w:w="1949"/>
            <w:vAlign w:val="center"/>
          </w:tcPr>
          <w:p>
            <w:pPr>
              <w:spacing w:line="276" w:lineRule="auto" w:before="0" w:after="0"/>
            </w:pPr>
            <w:r/>
            <w:r>
              <w:rPr>
                <w:rFonts w:ascii="Figtree" w:hAnsi="Figtree"/>
                <w:b w:val="0"/>
                <w:i w:val="0"/>
                <w:sz w:val="20"/>
              </w:rPr>
              <w:t>Hybrid</w:t>
            </w:r>
          </w:p>
        </w:tc>
        <w:tc>
          <w:tcPr>
            <w:tcW w:type="dxa" w:w="1949"/>
            <w:vAlign w:val="center"/>
          </w:tcPr>
          <w:p>
            <w:pPr>
              <w:spacing w:line="276" w:lineRule="auto" w:before="0" w:after="0"/>
            </w:pPr>
            <w:r/>
            <w:r>
              <w:rPr>
                <w:rFonts w:ascii="Figtree" w:hAnsi="Figtree"/>
                <w:b w:val="0"/>
                <w:i w:val="0"/>
                <w:sz w:val="20"/>
              </w:rPr>
              <w:t>Shared</w:t>
            </w:r>
          </w:p>
        </w:tc>
        <w:tc>
          <w:tcPr>
            <w:tcW w:type="dxa" w:w="1949"/>
            <w:vAlign w:val="center"/>
          </w:tcPr>
          <w:p>
            <w:pPr>
              <w:spacing w:line="276" w:lineRule="auto" w:before="0" w:after="0"/>
            </w:pPr>
            <w:r/>
            <w:r>
              <w:rPr>
                <w:rFonts w:ascii="Figtree" w:hAnsi="Figtree"/>
                <w:b w:val="0"/>
                <w:i w:val="0"/>
                <w:sz w:val="20"/>
              </w:rPr>
              <w:t>Mixed</w:t>
            </w:r>
          </w:p>
        </w:tc>
        <w:tc>
          <w:tcPr>
            <w:tcW w:type="dxa" w:w="1949"/>
            <w:vAlign w:val="center"/>
          </w:tcPr>
          <w:p>
            <w:pPr>
              <w:spacing w:line="276" w:lineRule="auto" w:before="0" w:after="0"/>
            </w:pPr>
            <w:r/>
            <w:r>
              <w:rPr>
                <w:rFonts w:ascii="Figtree" w:hAnsi="Figtree"/>
                <w:b w:val="0"/>
                <w:i w:val="0"/>
                <w:sz w:val="20"/>
              </w:rPr>
              <w:t>Moderate</w:t>
            </w:r>
          </w:p>
        </w:tc>
        <w:tc>
          <w:tcPr>
            <w:tcW w:type="dxa" w:w="1949"/>
            <w:vAlign w:val="center"/>
          </w:tcPr>
          <w:p>
            <w:pPr>
              <w:spacing w:line="276" w:lineRule="auto" w:before="0" w:after="0"/>
            </w:pPr>
            <w:r/>
            <w:r>
              <w:rPr>
                <w:rFonts w:ascii="Figtree" w:hAnsi="Figtree"/>
                <w:b w:val="0"/>
                <w:i w:val="0"/>
                <w:sz w:val="20"/>
              </w:rPr>
              <w:t>Moderate</w:t>
            </w:r>
          </w:p>
        </w:tc>
      </w:tr>
    </w:tbl>
    <w:p>
      <w:pPr>
        <w:spacing w:before="0" w:after="0" w:line="120" w:lineRule="exact"/>
      </w:pPr>
    </w:p>
    <w:p>
      <w:pPr>
        <w:pStyle w:val="H3"/>
        <w:numPr>
          <w:ilvl w:val="2"/>
          <w:numId w:val="1"/>
        </w:numPr>
      </w:pPr>
      <w:r>
        <w:t>Cost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44"/>
        <w:gridCol w:w="2876"/>
        <w:gridCol w:w="365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Type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Responsibility</w:t>
            </w:r>
          </w:p>
        </w:tc>
      </w:tr>
      <w:tr>
        <w:trPr>
          <w:trHeight w:val="425" w:hRule="atLeast"/>
        </w:trPr>
        <w:tc>
          <w:tcPr>
            <w:tcW w:type="dxa" w:w="3249"/>
            <w:vAlign w:val="center"/>
          </w:tcPr>
          <w:p>
            <w:pPr>
              <w:spacing w:line="276" w:lineRule="auto" w:before="0" w:after="0"/>
            </w:pPr>
            <w:r/>
            <w:r>
              <w:rPr>
                <w:rFonts w:ascii="Figtree" w:hAnsi="Figtree"/>
                <w:b w:val="0"/>
                <w:i w:val="0"/>
                <w:sz w:val="20"/>
              </w:rPr>
              <w:t>Platform license</w:t>
            </w:r>
          </w:p>
        </w:tc>
        <w:tc>
          <w:tcPr>
            <w:tcW w:type="dxa" w:w="3249"/>
            <w:vAlign w:val="center"/>
          </w:tcPr>
          <w:p>
            <w:pPr>
              <w:spacing w:line="276" w:lineRule="auto" w:before="0" w:after="0"/>
            </w:pPr>
            <w:r/>
            <w:r>
              <w:rPr>
                <w:rFonts w:ascii="Figtree" w:hAnsi="Figtree"/>
                <w:b w:val="0"/>
                <w:i w:val="0"/>
                <w:sz w:val="20"/>
              </w:rPr>
              <w:t>Recurring (annual)</w:t>
            </w:r>
          </w:p>
        </w:tc>
        <w:tc>
          <w:tcPr>
            <w:tcW w:type="dxa" w:w="3249"/>
            <w:vAlign w:val="center"/>
          </w:tcPr>
          <w:p>
            <w:pPr>
              <w:spacing w:line="276" w:lineRule="auto" w:before="0" w:after="0"/>
            </w:pPr>
            <w:r/>
            <w:r>
              <w:rPr>
                <w:rFonts w:ascii="Figtree" w:hAnsi="Figtree"/>
                <w:b w:val="0"/>
                <w:i w:val="0"/>
                <w:sz w:val="20"/>
              </w:rPr>
              <w:t>SettleMint</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services</w:t>
            </w:r>
          </w:p>
        </w:tc>
        <w:tc>
          <w:tcPr>
            <w:tcW w:type="dxa" w:w="3249"/>
            <w:vAlign w:val="center"/>
          </w:tcPr>
          <w:p>
            <w:pPr>
              <w:spacing w:line="276" w:lineRule="auto" w:before="0" w:after="0"/>
            </w:pPr>
            <w:r/>
            <w:r>
              <w:rPr>
                <w:rFonts w:ascii="Figtree" w:hAnsi="Figtree"/>
                <w:b w:val="0"/>
                <w:i w:val="0"/>
                <w:sz w:val="20"/>
              </w:rPr>
              <w:t>One-time (milestone-based)</w:t>
            </w:r>
          </w:p>
        </w:tc>
        <w:tc>
          <w:tcPr>
            <w:tcW w:type="dxa" w:w="3249"/>
            <w:vAlign w:val="center"/>
          </w:tcPr>
          <w:p>
            <w:pPr>
              <w:spacing w:line="276" w:lineRule="auto" w:before="0" w:after="0"/>
            </w:pPr>
            <w:r/>
            <w:r>
              <w:rPr>
                <w:rFonts w:ascii="Figtree" w:hAnsi="Figtree"/>
                <w:b w:val="0"/>
                <w:i w:val="0"/>
                <w:sz w:val="20"/>
              </w:rPr>
              <w:t>SettleMint</w:t>
            </w:r>
          </w:p>
        </w:tc>
      </w:tr>
      <w:tr>
        <w:trPr>
          <w:trHeight w:val="425" w:hRule="atLeast"/>
        </w:trPr>
        <w:tc>
          <w:tcPr>
            <w:tcW w:type="dxa" w:w="3249"/>
            <w:vAlign w:val="center"/>
          </w:tcPr>
          <w:p>
            <w:pPr>
              <w:spacing w:line="276" w:lineRule="auto" w:before="0" w:after="0"/>
            </w:pPr>
            <w:r/>
            <w:r>
              <w:rPr>
                <w:rFonts w:ascii="Figtree" w:hAnsi="Figtree"/>
                <w:b w:val="0"/>
                <w:i w:val="0"/>
                <w:sz w:val="20"/>
              </w:rPr>
              <w:t>Premium support</w:t>
            </w:r>
          </w:p>
        </w:tc>
        <w:tc>
          <w:tcPr>
            <w:tcW w:type="dxa" w:w="3249"/>
            <w:vAlign w:val="center"/>
          </w:tcPr>
          <w:p>
            <w:pPr>
              <w:spacing w:line="276" w:lineRule="auto" w:before="0" w:after="0"/>
            </w:pPr>
            <w:r/>
            <w:r>
              <w:rPr>
                <w:rFonts w:ascii="Figtree" w:hAnsi="Figtree"/>
                <w:b w:val="0"/>
                <w:i w:val="0"/>
                <w:sz w:val="20"/>
              </w:rPr>
              <w:t>Recurring (annual)</w:t>
            </w:r>
          </w:p>
        </w:tc>
        <w:tc>
          <w:tcPr>
            <w:tcW w:type="dxa" w:w="3249"/>
            <w:vAlign w:val="center"/>
          </w:tcPr>
          <w:p>
            <w:pPr>
              <w:spacing w:line="276" w:lineRule="auto" w:before="0" w:after="0"/>
            </w:pPr>
            <w:r/>
            <w:r>
              <w:rPr>
                <w:rFonts w:ascii="Figtree" w:hAnsi="Figtree"/>
                <w:b w:val="0"/>
                <w:i w:val="0"/>
                <w:sz w:val="20"/>
              </w:rPr>
              <w:t>SettleMint</w:t>
            </w:r>
          </w:p>
        </w:tc>
      </w:tr>
      <w:tr>
        <w:trPr>
          <w:trHeight w:val="425" w:hRule="atLeast"/>
        </w:trPr>
        <w:tc>
          <w:tcPr>
            <w:tcW w:type="dxa" w:w="3249"/>
            <w:vAlign w:val="center"/>
          </w:tcPr>
          <w:p>
            <w:pPr>
              <w:spacing w:line="276" w:lineRule="auto" w:before="0" w:after="0"/>
            </w:pPr>
            <w:r/>
            <w:r>
              <w:rPr>
                <w:rFonts w:ascii="Figtree" w:hAnsi="Figtree"/>
                <w:b w:val="0"/>
                <w:i w:val="0"/>
                <w:sz w:val="20"/>
              </w:rPr>
              <w:t>Cloud infrastructure</w:t>
            </w:r>
          </w:p>
        </w:tc>
        <w:tc>
          <w:tcPr>
            <w:tcW w:type="dxa" w:w="3249"/>
            <w:vAlign w:val="center"/>
          </w:tcPr>
          <w:p>
            <w:pPr>
              <w:spacing w:line="276" w:lineRule="auto" w:before="0" w:after="0"/>
            </w:pPr>
            <w:r/>
            <w:r>
              <w:rPr>
                <w:rFonts w:ascii="Figtree" w:hAnsi="Figtree"/>
                <w:b w:val="0"/>
                <w:i w:val="0"/>
                <w:sz w:val="20"/>
              </w:rPr>
              <w:t>Recurring (monthly)</w:t>
            </w:r>
          </w:p>
        </w:tc>
        <w:tc>
          <w:tcPr>
            <w:tcW w:type="dxa" w:w="3249"/>
            <w:vAlign w:val="center"/>
          </w:tcPr>
          <w:p>
            <w:pPr>
              <w:spacing w:line="276" w:lineRule="auto" w:before="0" w:after="0"/>
            </w:pPr>
            <w:r/>
            <w:r>
              <w:rPr>
                <w:rFonts w:ascii="Figtree" w:hAnsi="Figtree"/>
                <w:b w:val="0"/>
                <w:i w:val="0"/>
                <w:sz w:val="20"/>
              </w:rPr>
              <w:t>FAB</w:t>
            </w:r>
          </w:p>
        </w:tc>
      </w:tr>
      <w:tr>
        <w:trPr>
          <w:trHeight w:val="425" w:hRule="atLeast"/>
        </w:trPr>
        <w:tc>
          <w:tcPr>
            <w:tcW w:type="dxa" w:w="3249"/>
            <w:vAlign w:val="center"/>
          </w:tcPr>
          <w:p>
            <w:pPr>
              <w:spacing w:line="276" w:lineRule="auto" w:before="0" w:after="0"/>
            </w:pPr>
            <w:r/>
            <w:r>
              <w:rPr>
                <w:rFonts w:ascii="Figtree" w:hAnsi="Figtree"/>
                <w:b w:val="0"/>
                <w:i w:val="0"/>
                <w:sz w:val="20"/>
              </w:rPr>
              <w:t>Custody provider fees</w:t>
            </w:r>
          </w:p>
        </w:tc>
        <w:tc>
          <w:tcPr>
            <w:tcW w:type="dxa" w:w="3249"/>
            <w:vAlign w:val="center"/>
          </w:tcPr>
          <w:p>
            <w:pPr>
              <w:spacing w:line="276" w:lineRule="auto" w:before="0" w:after="0"/>
            </w:pPr>
            <w:r/>
            <w:r>
              <w:rPr>
                <w:rFonts w:ascii="Figtree" w:hAnsi="Figtree"/>
                <w:b w:val="0"/>
                <w:i w:val="0"/>
                <w:sz w:val="20"/>
              </w:rPr>
              <w:t>Recurring</w:t>
            </w:r>
          </w:p>
        </w:tc>
        <w:tc>
          <w:tcPr>
            <w:tcW w:type="dxa" w:w="3249"/>
            <w:vAlign w:val="center"/>
          </w:tcPr>
          <w:p>
            <w:pPr>
              <w:spacing w:line="276" w:lineRule="auto" w:before="0" w:after="0"/>
            </w:pPr>
            <w:r/>
            <w:r>
              <w:rPr>
                <w:rFonts w:ascii="Figtree" w:hAnsi="Figtree"/>
                <w:b w:val="0"/>
                <w:i w:val="0"/>
                <w:sz w:val="20"/>
              </w:rPr>
              <w:t>FAB (direct with DFNS/Fireblocks)</w:t>
            </w:r>
          </w:p>
        </w:tc>
      </w:tr>
    </w:tbl>
    <w:p>
      <w:pPr>
        <w:spacing w:before="0" w:after="0" w:line="120" w:lineRule="exact"/>
      </w:pPr>
    </w:p>
    <w:p>
      <w:r>
        <w:br w:type="page"/>
      </w:r>
    </w:p>
    <w:p>
      <w:pPr>
        <w:pStyle w:val="H2"/>
        <w:numPr>
          <w:ilvl w:val="1"/>
          <w:numId w:val="1"/>
        </w:numPr>
      </w:pPr>
      <w:r>
        <w:t>Support and SLA Framework</w:t>
      </w:r>
    </w:p>
    <w:p>
      <w:pPr>
        <w:pStyle w:val="H3"/>
        <w:numPr>
          <w:ilvl w:val="2"/>
          <w:numId w:val="1"/>
        </w:numPr>
      </w:pPr>
      <w:r>
        <w:t>Recommended: Premium Support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665"/>
        <w:gridCol w:w="440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Aspect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Premium</w:t>
            </w:r>
          </w:p>
        </w:tc>
      </w:tr>
      <w:tr>
        <w:trPr>
          <w:trHeight w:val="425" w:hRule="atLeast"/>
        </w:trPr>
        <w:tc>
          <w:tcPr>
            <w:tcW w:type="dxa" w:w="4873"/>
            <w:vAlign w:val="center"/>
          </w:tcPr>
          <w:p>
            <w:pPr>
              <w:spacing w:line="276" w:lineRule="auto" w:before="0" w:after="0"/>
            </w:pPr>
            <w:r/>
            <w:r>
              <w:rPr>
                <w:rFonts w:ascii="Figtree" w:hAnsi="Figtree"/>
                <w:b w:val="0"/>
                <w:i w:val="0"/>
                <w:sz w:val="20"/>
              </w:rPr>
              <w:t>Coverage</w:t>
            </w:r>
          </w:p>
        </w:tc>
        <w:tc>
          <w:tcPr>
            <w:tcW w:type="dxa" w:w="4873"/>
            <w:vAlign w:val="center"/>
          </w:tcPr>
          <w:p>
            <w:pPr>
              <w:spacing w:line="276" w:lineRule="auto" w:before="0" w:after="0"/>
            </w:pPr>
            <w:r/>
            <w:r>
              <w:rPr>
                <w:rFonts w:ascii="Figtree" w:hAnsi="Figtree"/>
                <w:b w:val="0"/>
                <w:i w:val="0"/>
                <w:sz w:val="20"/>
              </w:rPr>
              <w:t>16x5</w:t>
            </w:r>
          </w:p>
        </w:tc>
      </w:tr>
      <w:tr>
        <w:trPr>
          <w:trHeight w:val="425" w:hRule="atLeast"/>
        </w:trPr>
        <w:tc>
          <w:tcPr>
            <w:tcW w:type="dxa" w:w="4873"/>
            <w:vAlign w:val="center"/>
          </w:tcPr>
          <w:p>
            <w:pPr>
              <w:spacing w:line="276" w:lineRule="auto" w:before="0" w:after="0"/>
            </w:pPr>
            <w:r/>
            <w:r>
              <w:rPr>
                <w:rFonts w:ascii="Figtree" w:hAnsi="Figtree"/>
                <w:b w:val="0"/>
                <w:i w:val="0"/>
                <w:sz w:val="20"/>
              </w:rPr>
              <w:t>P1 response</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P2 response</w:t>
            </w:r>
          </w:p>
        </w:tc>
        <w:tc>
          <w:tcPr>
            <w:tcW w:type="dxa" w:w="4873"/>
            <w:vAlign w:val="center"/>
          </w:tcPr>
          <w:p>
            <w:pPr>
              <w:spacing w:line="276" w:lineRule="auto" w:before="0" w:after="0"/>
            </w:pPr>
            <w:r/>
            <w:r>
              <w:rPr>
                <w:rFonts w:ascii="Figtree" w:hAnsi="Figtree"/>
                <w:b w:val="0"/>
                <w:i w:val="0"/>
                <w:sz w:val="20"/>
              </w:rPr>
              <w:t>4 hours</w:t>
            </w:r>
          </w:p>
        </w:tc>
      </w:tr>
      <w:tr>
        <w:trPr>
          <w:trHeight w:val="425" w:hRule="atLeast"/>
        </w:trPr>
        <w:tc>
          <w:tcPr>
            <w:tcW w:type="dxa" w:w="4873"/>
            <w:vAlign w:val="center"/>
          </w:tcPr>
          <w:p>
            <w:pPr>
              <w:spacing w:line="276" w:lineRule="auto" w:before="0" w:after="0"/>
            </w:pPr>
            <w:r/>
            <w:r>
              <w:rPr>
                <w:rFonts w:ascii="Figtree" w:hAnsi="Figtree"/>
                <w:b w:val="0"/>
                <w:i w:val="0"/>
                <w:sz w:val="20"/>
              </w:rPr>
              <w:t>Dedicated engineer</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Business reviews</w:t>
            </w:r>
          </w:p>
        </w:tc>
        <w:tc>
          <w:tcPr>
            <w:tcW w:type="dxa" w:w="4873"/>
            <w:vAlign w:val="center"/>
          </w:tcPr>
          <w:p>
            <w:pPr>
              <w:spacing w:line="276" w:lineRule="auto" w:before="0" w:after="0"/>
            </w:pPr>
            <w:r/>
            <w:r>
              <w:rPr>
                <w:rFonts w:ascii="Figtree" w:hAnsi="Figtree"/>
                <w:b w:val="0"/>
                <w:i w:val="0"/>
                <w:sz w:val="20"/>
              </w:rPr>
              <w:t>Quarterly</w:t>
            </w:r>
          </w:p>
        </w:tc>
      </w:tr>
      <w:tr>
        <w:trPr>
          <w:trHeight w:val="425" w:hRule="atLeast"/>
        </w:trPr>
        <w:tc>
          <w:tcPr>
            <w:tcW w:type="dxa" w:w="4873"/>
            <w:vAlign w:val="center"/>
          </w:tcPr>
          <w:p>
            <w:pPr>
              <w:spacing w:line="276" w:lineRule="auto" w:before="0" w:after="0"/>
            </w:pPr>
            <w:r/>
            <w:r>
              <w:rPr>
                <w:rFonts w:ascii="Figtree" w:hAnsi="Figtree"/>
                <w:b w:val="0"/>
                <w:i w:val="0"/>
                <w:sz w:val="20"/>
              </w:rPr>
              <w:t>Annual fee</w:t>
            </w:r>
          </w:p>
        </w:tc>
        <w:tc>
          <w:tcPr>
            <w:tcW w:type="dxa" w:w="4873"/>
            <w:vAlign w:val="center"/>
          </w:tcPr>
          <w:p>
            <w:pPr>
              <w:spacing w:line="276" w:lineRule="auto" w:before="0" w:after="0"/>
            </w:pPr>
            <w:r/>
            <w:r>
              <w:rPr>
                <w:rFonts w:ascii="Figtree" w:hAnsi="Figtree"/>
                <w:b w:val="0"/>
                <w:i w:val="0"/>
                <w:sz w:val="20"/>
              </w:rPr>
              <w:t>[CLIENT-SPECIFIC]</w:t>
            </w:r>
          </w:p>
        </w:tc>
      </w:tr>
    </w:tbl>
    <w:p>
      <w:pPr>
        <w:spacing w:before="0" w:after="0" w:line="120" w:lineRule="exact"/>
      </w:pPr>
    </w:p>
    <w:p>
      <w:pPr>
        <w:pStyle w:val="H3"/>
        <w:numPr>
          <w:ilvl w:val="2"/>
          <w:numId w:val="1"/>
        </w:numPr>
      </w:pPr>
      <w:r>
        <w:t>Severity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44"/>
        <w:gridCol w:w="2688"/>
        <w:gridCol w:w="2520"/>
        <w:gridCol w:w="252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Resolution</w:t>
            </w:r>
          </w:p>
        </w:tc>
      </w:tr>
      <w:tr>
        <w:trPr>
          <w:trHeight w:val="425" w:hRule="atLeast"/>
        </w:trPr>
        <w:tc>
          <w:tcPr>
            <w:tcW w:type="dxa" w:w="2436"/>
            <w:vAlign w:val="center"/>
          </w:tcPr>
          <w:p>
            <w:pPr>
              <w:spacing w:line="276" w:lineRule="auto" w:before="0" w:after="0"/>
            </w:pPr>
            <w:r/>
            <w:r>
              <w:rPr>
                <w:rFonts w:ascii="Figtree" w:hAnsi="Figtree"/>
                <w:b w:val="0"/>
                <w:i w:val="0"/>
                <w:sz w:val="20"/>
              </w:rPr>
              <w:t>P1</w:t>
            </w:r>
          </w:p>
        </w:tc>
        <w:tc>
          <w:tcPr>
            <w:tcW w:type="dxa" w:w="2436"/>
            <w:vAlign w:val="center"/>
          </w:tcPr>
          <w:p>
            <w:pPr>
              <w:spacing w:line="276" w:lineRule="auto" w:before="0" w:after="0"/>
            </w:pPr>
            <w:r/>
            <w:r>
              <w:rPr>
                <w:rFonts w:ascii="Figtree" w:hAnsi="Figtree"/>
                <w:b w:val="0"/>
                <w:i w:val="0"/>
                <w:sz w:val="20"/>
              </w:rPr>
              <w:t>Production down</w:t>
            </w:r>
          </w:p>
        </w:tc>
        <w:tc>
          <w:tcPr>
            <w:tcW w:type="dxa" w:w="2436"/>
            <w:vAlign w:val="center"/>
          </w:tcPr>
          <w:p>
            <w:pPr>
              <w:spacing w:line="276" w:lineRule="auto" w:before="0" w:after="0"/>
            </w:pPr>
            <w:r/>
            <w:r>
              <w:rPr>
                <w:rFonts w:ascii="Figtree" w:hAnsi="Figtree"/>
                <w:b w:val="0"/>
                <w:i w:val="0"/>
                <w:sz w:val="20"/>
              </w:rPr>
              <w:t>2 hours</w:t>
            </w:r>
          </w:p>
        </w:tc>
        <w:tc>
          <w:tcPr>
            <w:tcW w:type="dxa" w:w="2436"/>
            <w:vAlign w:val="center"/>
          </w:tcPr>
          <w:p>
            <w:pPr>
              <w:spacing w:line="276" w:lineRule="auto" w:before="0" w:after="0"/>
            </w:pPr>
            <w:r/>
            <w:r>
              <w:rPr>
                <w:rFonts w:ascii="Figtree" w:hAnsi="Figtree"/>
                <w:b w:val="0"/>
                <w:i w:val="0"/>
                <w:sz w:val="20"/>
              </w:rPr>
              <w:t>4 hours</w:t>
            </w:r>
          </w:p>
        </w:tc>
      </w:tr>
      <w:tr>
        <w:trPr>
          <w:trHeight w:val="425" w:hRule="atLeast"/>
        </w:trPr>
        <w:tc>
          <w:tcPr>
            <w:tcW w:type="dxa" w:w="2436"/>
            <w:vAlign w:val="center"/>
          </w:tcPr>
          <w:p>
            <w:pPr>
              <w:spacing w:line="276" w:lineRule="auto" w:before="0" w:after="0"/>
            </w:pPr>
            <w:r/>
            <w:r>
              <w:rPr>
                <w:rFonts w:ascii="Figtree" w:hAnsi="Figtree"/>
                <w:b w:val="0"/>
                <w:i w:val="0"/>
                <w:sz w:val="20"/>
              </w:rPr>
              <w:t>P2</w:t>
            </w:r>
          </w:p>
        </w:tc>
        <w:tc>
          <w:tcPr>
            <w:tcW w:type="dxa" w:w="2436"/>
            <w:vAlign w:val="center"/>
          </w:tcPr>
          <w:p>
            <w:pPr>
              <w:spacing w:line="276" w:lineRule="auto" w:before="0" w:after="0"/>
            </w:pPr>
            <w:r/>
            <w:r>
              <w:rPr>
                <w:rFonts w:ascii="Figtree" w:hAnsi="Figtree"/>
                <w:b w:val="0"/>
                <w:i w:val="0"/>
                <w:sz w:val="20"/>
              </w:rPr>
              <w:t>Major impairment</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8 hours</w:t>
            </w:r>
          </w:p>
        </w:tc>
      </w:tr>
      <w:tr>
        <w:trPr>
          <w:trHeight w:val="425" w:hRule="atLeast"/>
        </w:trPr>
        <w:tc>
          <w:tcPr>
            <w:tcW w:type="dxa" w:w="2436"/>
            <w:vAlign w:val="center"/>
          </w:tcPr>
          <w:p>
            <w:pPr>
              <w:spacing w:line="276" w:lineRule="auto" w:before="0" w:after="0"/>
            </w:pPr>
            <w:r/>
            <w:r>
              <w:rPr>
                <w:rFonts w:ascii="Figtree" w:hAnsi="Figtree"/>
                <w:b w:val="0"/>
                <w:i w:val="0"/>
                <w:sz w:val="20"/>
              </w:rPr>
              <w:t>P3</w:t>
            </w:r>
          </w:p>
        </w:tc>
        <w:tc>
          <w:tcPr>
            <w:tcW w:type="dxa" w:w="2436"/>
            <w:vAlign w:val="center"/>
          </w:tcPr>
          <w:p>
            <w:pPr>
              <w:spacing w:line="276" w:lineRule="auto" w:before="0" w:after="0"/>
            </w:pPr>
            <w:r/>
            <w:r>
              <w:rPr>
                <w:rFonts w:ascii="Figtree" w:hAnsi="Figtree"/>
                <w:b w:val="0"/>
                <w:i w:val="0"/>
                <w:sz w:val="20"/>
              </w:rPr>
              <w:t>Non-critical</w:t>
            </w:r>
          </w:p>
        </w:tc>
        <w:tc>
          <w:tcPr>
            <w:tcW w:type="dxa" w:w="2436"/>
            <w:vAlign w:val="center"/>
          </w:tcPr>
          <w:p>
            <w:pPr>
              <w:spacing w:line="276" w:lineRule="auto" w:before="0" w:after="0"/>
            </w:pPr>
            <w:r/>
            <w:r>
              <w:rPr>
                <w:rFonts w:ascii="Figtree" w:hAnsi="Figtree"/>
                <w:b w:val="0"/>
                <w:i w:val="0"/>
                <w:sz w:val="20"/>
              </w:rPr>
              <w:t>1 business day</w:t>
            </w:r>
          </w:p>
        </w:tc>
        <w:tc>
          <w:tcPr>
            <w:tcW w:type="dxa" w:w="2436"/>
            <w:vAlign w:val="center"/>
          </w:tcPr>
          <w:p>
            <w:pPr>
              <w:spacing w:line="276" w:lineRule="auto" w:before="0" w:after="0"/>
            </w:pPr>
            <w:r/>
            <w:r>
              <w:rPr>
                <w:rFonts w:ascii="Figtree" w:hAnsi="Figtree"/>
                <w:b w:val="0"/>
                <w:i w:val="0"/>
                <w:sz w:val="20"/>
              </w:rPr>
              <w:t>5 business days</w:t>
            </w:r>
          </w:p>
        </w:tc>
      </w:tr>
      <w:tr>
        <w:trPr>
          <w:trHeight w:val="425" w:hRule="atLeast"/>
        </w:trPr>
        <w:tc>
          <w:tcPr>
            <w:tcW w:type="dxa" w:w="2436"/>
            <w:vAlign w:val="center"/>
          </w:tcPr>
          <w:p>
            <w:pPr>
              <w:spacing w:line="276" w:lineRule="auto" w:before="0" w:after="0"/>
            </w:pPr>
            <w:r/>
            <w:r>
              <w:rPr>
                <w:rFonts w:ascii="Figtree" w:hAnsi="Figtree"/>
                <w:b w:val="0"/>
                <w:i w:val="0"/>
                <w:sz w:val="20"/>
              </w:rPr>
              <w:t>P4</w:t>
            </w:r>
          </w:p>
        </w:tc>
        <w:tc>
          <w:tcPr>
            <w:tcW w:type="dxa" w:w="2436"/>
            <w:vAlign w:val="center"/>
          </w:tcPr>
          <w:p>
            <w:pPr>
              <w:spacing w:line="276" w:lineRule="auto" w:before="0" w:after="0"/>
            </w:pPr>
            <w:r/>
            <w:r>
              <w:rPr>
                <w:rFonts w:ascii="Figtree" w:hAnsi="Figtree"/>
                <w:b w:val="0"/>
                <w:i w:val="0"/>
                <w:sz w:val="20"/>
              </w:rPr>
              <w:t>Enhancement</w:t>
            </w:r>
          </w:p>
        </w:tc>
        <w:tc>
          <w:tcPr>
            <w:tcW w:type="dxa" w:w="2436"/>
            <w:vAlign w:val="center"/>
          </w:tcPr>
          <w:p>
            <w:pPr>
              <w:spacing w:line="276" w:lineRule="auto" w:before="0" w:after="0"/>
            </w:pPr>
            <w:r/>
            <w:r>
              <w:rPr>
                <w:rFonts w:ascii="Figtree" w:hAnsi="Figtree"/>
                <w:b w:val="0"/>
                <w:i w:val="0"/>
                <w:sz w:val="20"/>
              </w:rPr>
              <w:t>3 business days</w:t>
            </w:r>
          </w:p>
        </w:tc>
        <w:tc>
          <w:tcPr>
            <w:tcW w:type="dxa" w:w="2436"/>
            <w:vAlign w:val="center"/>
          </w:tcPr>
          <w:p>
            <w:pPr>
              <w:spacing w:line="276" w:lineRule="auto" w:before="0" w:after="0"/>
            </w:pPr>
            <w:r/>
            <w:r>
              <w:rPr>
                <w:rFonts w:ascii="Figtree" w:hAnsi="Figtree"/>
                <w:b w:val="0"/>
                <w:i w:val="0"/>
                <w:sz w:val="20"/>
              </w:rPr>
              <w:t>Next release</w:t>
            </w:r>
          </w:p>
        </w:tc>
      </w:tr>
    </w:tbl>
    <w:p>
      <w:pPr>
        <w:spacing w:before="0" w:after="0" w:line="120" w:lineRule="exact"/>
      </w:pPr>
    </w:p>
    <w:p>
      <w:r>
        <w:br w:type="page"/>
      </w:r>
    </w:p>
    <w:p>
      <w:pPr>
        <w:pStyle w:val="H2"/>
        <w:numPr>
          <w:ilvl w:val="1"/>
          <w:numId w:val="1"/>
        </w:numPr>
      </w:pPr>
      <w:r>
        <w:t>Implementation Investment</w:t>
      </w:r>
    </w:p>
    <w:p>
      <w:pPr>
        <w:pStyle w:val="H3"/>
        <w:numPr>
          <w:ilvl w:val="2"/>
          <w:numId w:val="1"/>
        </w:numPr>
      </w:pPr>
      <w:r>
        <w:t>Pricing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24"/>
        <w:gridCol w:w="980"/>
        <w:gridCol w:w="4249"/>
        <w:gridCol w:w="171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Scope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Pricing</w:t>
            </w:r>
          </w:p>
        </w:tc>
      </w:tr>
      <w:tr>
        <w:trPr>
          <w:trHeight w:val="425" w:hRule="atLeast"/>
        </w:trPr>
        <w:tc>
          <w:tcPr>
            <w:tcW w:type="dxa" w:w="2436"/>
            <w:vAlign w:val="center"/>
          </w:tcPr>
          <w:p>
            <w:pPr>
              <w:spacing w:line="276" w:lineRule="auto" w:before="0" w:after="0"/>
            </w:pPr>
            <w:r/>
            <w:r>
              <w:rPr>
                <w:rFonts w:ascii="Figtree" w:hAnsi="Figtree"/>
                <w:b w:val="0"/>
                <w:i w:val="0"/>
                <w:sz w:val="20"/>
              </w:rPr>
              <w:t>Discovery &amp; Requirements</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Requirements, regulatory mapping, architecture</w:t>
            </w:r>
          </w:p>
        </w:tc>
        <w:tc>
          <w:tcPr>
            <w:tcW w:type="dxa" w:w="2436"/>
            <w:vAlign w:val="center"/>
          </w:tcPr>
          <w:p>
            <w:pPr>
              <w:spacing w:line="276" w:lineRule="auto" w:before="0" w:after="0"/>
            </w:pPr>
            <w:r/>
            <w:r>
              <w:rPr>
                <w:rFonts w:ascii="Figtree" w:hAnsi="Figtree"/>
                <w:b w:val="0"/>
                <w:i w:val="0"/>
                <w:sz w:val="20"/>
              </w:rPr>
              <w:t>Fixed fee</w:t>
            </w:r>
          </w:p>
        </w:tc>
      </w:tr>
      <w:tr>
        <w:trPr>
          <w:trHeight w:val="425" w:hRule="atLeast"/>
        </w:trPr>
        <w:tc>
          <w:tcPr>
            <w:tcW w:type="dxa" w:w="2436"/>
            <w:vAlign w:val="center"/>
          </w:tcPr>
          <w:p>
            <w:pPr>
              <w:spacing w:line="276" w:lineRule="auto" w:before="0" w:after="0"/>
            </w:pPr>
            <w:r/>
            <w:r>
              <w:rPr>
                <w:rFonts w:ascii="Figtree" w:hAnsi="Figtree"/>
                <w:b w:val="0"/>
                <w:i w:val="0"/>
                <w:sz w:val="20"/>
              </w:rPr>
              <w:t>Foundation &amp; Setup</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Environments, network, identity, custody integration</w:t>
            </w:r>
          </w:p>
        </w:tc>
        <w:tc>
          <w:tcPr>
            <w:tcW w:type="dxa" w:w="2436"/>
            <w:vAlign w:val="center"/>
          </w:tcPr>
          <w:p>
            <w:pPr>
              <w:spacing w:line="276" w:lineRule="auto" w:before="0" w:after="0"/>
            </w:pPr>
            <w:r/>
            <w:r>
              <w:rPr>
                <w:rFonts w:ascii="Figtree" w:hAnsi="Figtree"/>
                <w:b w:val="0"/>
                <w:i w:val="0"/>
                <w:sz w:val="20"/>
              </w:rPr>
              <w:t>Fixed fee</w:t>
            </w:r>
          </w:p>
        </w:tc>
      </w:tr>
      <w:tr>
        <w:trPr>
          <w:trHeight w:val="425" w:hRule="atLeast"/>
        </w:trPr>
        <w:tc>
          <w:tcPr>
            <w:tcW w:type="dxa" w:w="2436"/>
            <w:vAlign w:val="center"/>
          </w:tcPr>
          <w:p>
            <w:pPr>
              <w:spacing w:line="276" w:lineRule="auto" w:before="0" w:after="0"/>
            </w:pPr>
            <w:r/>
            <w:r>
              <w:rPr>
                <w:rFonts w:ascii="Figtree" w:hAnsi="Figtree"/>
                <w:b w:val="0"/>
                <w:i w:val="0"/>
                <w:sz w:val="20"/>
              </w:rPr>
              <w:t>Configuration &amp; Compliance</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Asset config, compliance, workflows</w:t>
            </w:r>
          </w:p>
        </w:tc>
        <w:tc>
          <w:tcPr>
            <w:tcW w:type="dxa" w:w="2436"/>
            <w:vAlign w:val="center"/>
          </w:tcPr>
          <w:p>
            <w:pPr>
              <w:spacing w:line="276" w:lineRule="auto" w:before="0" w:after="0"/>
            </w:pPr>
            <w:r/>
            <w:r>
              <w:rPr>
                <w:rFonts w:ascii="Figtree" w:hAnsi="Figtree"/>
                <w:b w:val="0"/>
                <w:i w:val="0"/>
                <w:sz w:val="20"/>
              </w:rPr>
              <w:t>Fixed fee</w:t>
            </w:r>
          </w:p>
        </w:tc>
      </w:tr>
      <w:tr>
        <w:trPr>
          <w:trHeight w:val="425" w:hRule="atLeast"/>
        </w:trPr>
        <w:tc>
          <w:tcPr>
            <w:tcW w:type="dxa" w:w="2436"/>
            <w:vAlign w:val="center"/>
          </w:tcPr>
          <w:p>
            <w:pPr>
              <w:spacing w:line="276" w:lineRule="auto" w:before="0" w:after="0"/>
            </w:pPr>
            <w:r/>
            <w:r>
              <w:rPr>
                <w:rFonts w:ascii="Figtree" w:hAnsi="Figtree"/>
                <w:b w:val="0"/>
                <w:i w:val="0"/>
                <w:sz w:val="20"/>
              </w:rPr>
              <w:t>Integration &amp; Testing</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Enterprise integration, security/UAT/performance</w:t>
            </w:r>
          </w:p>
        </w:tc>
        <w:tc>
          <w:tcPr>
            <w:tcW w:type="dxa" w:w="2436"/>
            <w:vAlign w:val="center"/>
          </w:tcPr>
          <w:p>
            <w:pPr>
              <w:spacing w:line="276" w:lineRule="auto" w:before="0" w:after="0"/>
            </w:pPr>
            <w:r/>
            <w:r>
              <w:rPr>
                <w:rFonts w:ascii="Figtree" w:hAnsi="Figtree"/>
                <w:b w:val="0"/>
                <w:i w:val="0"/>
                <w:sz w:val="20"/>
              </w:rPr>
              <w:t>Fixed fee</w:t>
            </w:r>
          </w:p>
        </w:tc>
      </w:tr>
      <w:tr>
        <w:trPr>
          <w:trHeight w:val="425" w:hRule="atLeast"/>
        </w:trPr>
        <w:tc>
          <w:tcPr>
            <w:tcW w:type="dxa" w:w="2436"/>
            <w:vAlign w:val="center"/>
          </w:tcPr>
          <w:p>
            <w:pPr>
              <w:spacing w:line="276" w:lineRule="auto" w:before="0" w:after="0"/>
            </w:pPr>
            <w:r/>
            <w:r>
              <w:rPr>
                <w:rFonts w:ascii="Figtree" w:hAnsi="Figtree"/>
                <w:b w:val="0"/>
                <w:i w:val="0"/>
                <w:sz w:val="20"/>
              </w:rPr>
              <w:t>Go-Live &amp; Hypercare</w:t>
            </w:r>
          </w:p>
        </w:tc>
        <w:tc>
          <w:tcPr>
            <w:tcW w:type="dxa" w:w="2436"/>
            <w:vAlign w:val="center"/>
          </w:tcPr>
          <w:p>
            <w:pPr>
              <w:spacing w:line="276" w:lineRule="auto" w:before="0" w:after="0"/>
            </w:pPr>
            <w:r/>
            <w:r>
              <w:rPr>
                <w:rFonts w:ascii="Figtree" w:hAnsi="Figtree"/>
                <w:b w:val="0"/>
                <w:i w:val="0"/>
                <w:sz w:val="20"/>
              </w:rPr>
              <w:t>6 weeks</w:t>
            </w:r>
          </w:p>
        </w:tc>
        <w:tc>
          <w:tcPr>
            <w:tcW w:type="dxa" w:w="2436"/>
            <w:vAlign w:val="center"/>
          </w:tcPr>
          <w:p>
            <w:pPr>
              <w:spacing w:line="276" w:lineRule="auto" w:before="0" w:after="0"/>
            </w:pPr>
            <w:r/>
            <w:r>
              <w:rPr>
                <w:rFonts w:ascii="Figtree" w:hAnsi="Figtree"/>
                <w:b w:val="0"/>
                <w:i w:val="0"/>
                <w:sz w:val="20"/>
              </w:rPr>
              <w:t>Deployment, knowledge transfer, hypercare</w:t>
            </w:r>
          </w:p>
        </w:tc>
        <w:tc>
          <w:tcPr>
            <w:tcW w:type="dxa" w:w="2436"/>
            <w:vAlign w:val="center"/>
          </w:tcPr>
          <w:p>
            <w:pPr>
              <w:spacing w:line="276" w:lineRule="auto" w:before="0" w:after="0"/>
            </w:pPr>
            <w:r/>
            <w:r>
              <w:rPr>
                <w:rFonts w:ascii="Figtree" w:hAnsi="Figtree"/>
                <w:b w:val="0"/>
                <w:i w:val="0"/>
                <w:sz w:val="20"/>
              </w:rPr>
              <w:t>Fixed fee</w:t>
            </w:r>
          </w:p>
        </w:tc>
      </w:tr>
      <w:tr>
        <w:trPr>
          <w:trHeight w:val="425" w:hRule="atLeast"/>
        </w:trPr>
        <w:tc>
          <w:tcPr>
            <w:tcW w:type="dxa" w:w="2436"/>
            <w:vAlign w:val="center"/>
          </w:tcPr>
          <w:p>
            <w:pPr>
              <w:spacing w:line="276" w:lineRule="auto" w:before="0" w:after="0"/>
            </w:pPr>
            <w:r/>
            <w:r>
              <w:rPr>
                <w:rFonts w:ascii="Figtree" w:hAnsi="Figtree"/>
                <w:b/>
                <w:i w:val="0"/>
                <w:sz w:val="20"/>
              </w:rPr>
              <w:t>Total</w:t>
            </w:r>
          </w:p>
        </w:tc>
        <w:tc>
          <w:tcPr>
            <w:tcW w:type="dxa" w:w="2436"/>
            <w:vAlign w:val="center"/>
          </w:tcPr>
          <w:p>
            <w:pPr>
              <w:spacing w:line="276" w:lineRule="auto" w:before="0" w:after="0"/>
            </w:pPr>
            <w:r/>
            <w:r>
              <w:rPr>
                <w:rFonts w:ascii="Figtree" w:hAnsi="Figtree"/>
                <w:b/>
                <w:i w:val="0"/>
                <w:sz w:val="20"/>
              </w:rPr>
              <w:t>19 weeks</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i w:val="0"/>
                <w:sz w:val="20"/>
              </w:rPr>
              <w:t>[CLIENT-SPECIFIC]</w:t>
            </w:r>
          </w:p>
        </w:tc>
      </w:tr>
    </w:tbl>
    <w:p>
      <w:pPr>
        <w:spacing w:before="0" w:after="0" w:line="120" w:lineRule="exact"/>
      </w:pPr>
    </w:p>
    <w:p>
      <w:pPr>
        <w:pStyle w:val="H3"/>
        <w:numPr>
          <w:ilvl w:val="2"/>
          <w:numId w:val="1"/>
        </w:numPr>
      </w:pPr>
      <w:r>
        <w:t>Client Effort Assumptions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536"/>
        <w:gridCol w:w="2815"/>
        <w:gridCol w:w="172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Activity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Effort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When</w:t>
            </w:r>
          </w:p>
        </w:tc>
      </w:tr>
      <w:tr>
        <w:trPr>
          <w:trHeight w:val="425" w:hRule="atLeast"/>
        </w:trPr>
        <w:tc>
          <w:tcPr>
            <w:tcW w:type="dxa" w:w="3249"/>
            <w:vAlign w:val="center"/>
          </w:tcPr>
          <w:p>
            <w:pPr>
              <w:spacing w:line="276" w:lineRule="auto" w:before="0" w:after="0"/>
            </w:pPr>
            <w:r/>
            <w:r>
              <w:rPr>
                <w:rFonts w:ascii="Figtree" w:hAnsi="Figtree"/>
                <w:b w:val="0"/>
                <w:i w:val="0"/>
                <w:sz w:val="20"/>
              </w:rPr>
              <w:t>Stakeholder interviews</w:t>
            </w:r>
          </w:p>
        </w:tc>
        <w:tc>
          <w:tcPr>
            <w:tcW w:type="dxa" w:w="3249"/>
            <w:vAlign w:val="center"/>
          </w:tcPr>
          <w:p>
            <w:pPr>
              <w:spacing w:line="276" w:lineRule="auto" w:before="0" w:after="0"/>
            </w:pPr>
            <w:r/>
            <w:r>
              <w:rPr>
                <w:rFonts w:ascii="Figtree" w:hAnsi="Figtree"/>
                <w:b w:val="0"/>
                <w:i w:val="0"/>
                <w:sz w:val="20"/>
              </w:rPr>
              <w:t>20 person-days</w:t>
            </w:r>
          </w:p>
        </w:tc>
        <w:tc>
          <w:tcPr>
            <w:tcW w:type="dxa" w:w="3249"/>
            <w:vAlign w:val="center"/>
          </w:tcPr>
          <w:p>
            <w:pPr>
              <w:spacing w:line="276" w:lineRule="auto" w:before="0" w:after="0"/>
            </w:pPr>
            <w:r/>
            <w:r>
              <w:rPr>
                <w:rFonts w:ascii="Figtree" w:hAnsi="Figtree"/>
                <w:b w:val="0"/>
                <w:i w:val="0"/>
                <w:sz w:val="20"/>
              </w:rPr>
              <w:t>Weeks 1-2</w:t>
            </w:r>
          </w:p>
        </w:tc>
      </w:tr>
      <w:tr>
        <w:trPr>
          <w:trHeight w:val="425" w:hRule="atLeast"/>
        </w:trPr>
        <w:tc>
          <w:tcPr>
            <w:tcW w:type="dxa" w:w="3249"/>
            <w:vAlign w:val="center"/>
          </w:tcPr>
          <w:p>
            <w:pPr>
              <w:spacing w:line="276" w:lineRule="auto" w:before="0" w:after="0"/>
            </w:pPr>
            <w:r/>
            <w:r>
              <w:rPr>
                <w:rFonts w:ascii="Figtree" w:hAnsi="Figtree"/>
                <w:b w:val="0"/>
                <w:i w:val="0"/>
                <w:sz w:val="20"/>
              </w:rPr>
              <w:t>Custody policy workshops</w:t>
            </w:r>
          </w:p>
        </w:tc>
        <w:tc>
          <w:tcPr>
            <w:tcW w:type="dxa" w:w="3249"/>
            <w:vAlign w:val="center"/>
          </w:tcPr>
          <w:p>
            <w:pPr>
              <w:spacing w:line="276" w:lineRule="auto" w:before="0" w:after="0"/>
            </w:pPr>
            <w:r/>
            <w:r>
              <w:rPr>
                <w:rFonts w:ascii="Figtree" w:hAnsi="Figtree"/>
                <w:b w:val="0"/>
                <w:i w:val="0"/>
                <w:sz w:val="20"/>
              </w:rPr>
              <w:t>15 person-days</w:t>
            </w:r>
          </w:p>
        </w:tc>
        <w:tc>
          <w:tcPr>
            <w:tcW w:type="dxa" w:w="3249"/>
            <w:vAlign w:val="center"/>
          </w:tcPr>
          <w:p>
            <w:pPr>
              <w:spacing w:line="276" w:lineRule="auto" w:before="0" w:after="0"/>
            </w:pPr>
            <w:r/>
            <w:r>
              <w:rPr>
                <w:rFonts w:ascii="Figtree" w:hAnsi="Figtree"/>
                <w:b w:val="0"/>
                <w:i w:val="0"/>
                <w:sz w:val="20"/>
              </w:rPr>
              <w:t>Weeks 3-5</w:t>
            </w:r>
          </w:p>
        </w:tc>
      </w:tr>
      <w:tr>
        <w:trPr>
          <w:trHeight w:val="425" w:hRule="atLeast"/>
        </w:trPr>
        <w:tc>
          <w:tcPr>
            <w:tcW w:type="dxa" w:w="3249"/>
            <w:vAlign w:val="center"/>
          </w:tcPr>
          <w:p>
            <w:pPr>
              <w:spacing w:line="276" w:lineRule="auto" w:before="0" w:after="0"/>
            </w:pPr>
            <w:r/>
            <w:r>
              <w:rPr>
                <w:rFonts w:ascii="Figtree" w:hAnsi="Figtree"/>
                <w:b w:val="0"/>
                <w:i w:val="0"/>
                <w:sz w:val="20"/>
              </w:rPr>
              <w:t>Core banking API provisioning</w:t>
            </w:r>
          </w:p>
        </w:tc>
        <w:tc>
          <w:tcPr>
            <w:tcW w:type="dxa" w:w="3249"/>
            <w:vAlign w:val="center"/>
          </w:tcPr>
          <w:p>
            <w:pPr>
              <w:spacing w:line="276" w:lineRule="auto" w:before="0" w:after="0"/>
            </w:pPr>
            <w:r/>
            <w:r>
              <w:rPr>
                <w:rFonts w:ascii="Figtree" w:hAnsi="Figtree"/>
                <w:b w:val="0"/>
                <w:i w:val="0"/>
                <w:sz w:val="20"/>
              </w:rPr>
              <w:t>15 person-days</w:t>
            </w:r>
          </w:p>
        </w:tc>
        <w:tc>
          <w:tcPr>
            <w:tcW w:type="dxa" w:w="3249"/>
            <w:vAlign w:val="center"/>
          </w:tcPr>
          <w:p>
            <w:pPr>
              <w:spacing w:line="276" w:lineRule="auto" w:before="0" w:after="0"/>
            </w:pPr>
            <w:r/>
            <w:r>
              <w:rPr>
                <w:rFonts w:ascii="Figtree" w:hAnsi="Figtree"/>
                <w:b w:val="0"/>
                <w:i w:val="0"/>
                <w:sz w:val="20"/>
              </w:rPr>
              <w:t>Weeks 3-9</w:t>
            </w:r>
          </w:p>
        </w:tc>
      </w:tr>
      <w:tr>
        <w:trPr>
          <w:trHeight w:val="425" w:hRule="atLeast"/>
        </w:trPr>
        <w:tc>
          <w:tcPr>
            <w:tcW w:type="dxa" w:w="3249"/>
            <w:vAlign w:val="center"/>
          </w:tcPr>
          <w:p>
            <w:pPr>
              <w:spacing w:line="276" w:lineRule="auto" w:before="0" w:after="0"/>
            </w:pPr>
            <w:r/>
            <w:r>
              <w:rPr>
                <w:rFonts w:ascii="Figtree" w:hAnsi="Figtree"/>
                <w:b w:val="0"/>
                <w:i w:val="0"/>
                <w:sz w:val="20"/>
              </w:rPr>
              <w:t>UAT execution</w:t>
            </w:r>
          </w:p>
        </w:tc>
        <w:tc>
          <w:tcPr>
            <w:tcW w:type="dxa" w:w="3249"/>
            <w:vAlign w:val="center"/>
          </w:tcPr>
          <w:p>
            <w:pPr>
              <w:spacing w:line="276" w:lineRule="auto" w:before="0" w:after="0"/>
            </w:pPr>
            <w:r/>
            <w:r>
              <w:rPr>
                <w:rFonts w:ascii="Figtree" w:hAnsi="Figtree"/>
                <w:b w:val="0"/>
                <w:i w:val="0"/>
                <w:sz w:val="20"/>
              </w:rPr>
              <w:t>20 person-days</w:t>
            </w:r>
          </w:p>
        </w:tc>
        <w:tc>
          <w:tcPr>
            <w:tcW w:type="dxa" w:w="3249"/>
            <w:vAlign w:val="center"/>
          </w:tcPr>
          <w:p>
            <w:pPr>
              <w:spacing w:line="276" w:lineRule="auto" w:before="0" w:after="0"/>
            </w:pPr>
            <w:r/>
            <w:r>
              <w:rPr>
                <w:rFonts w:ascii="Figtree" w:hAnsi="Figtree"/>
                <w:b w:val="0"/>
                <w:i w:val="0"/>
                <w:sz w:val="20"/>
              </w:rPr>
              <w:t>Weeks 10-13</w:t>
            </w:r>
          </w:p>
        </w:tc>
      </w:tr>
      <w:tr>
        <w:trPr>
          <w:trHeight w:val="425" w:hRule="atLeast"/>
        </w:trPr>
        <w:tc>
          <w:tcPr>
            <w:tcW w:type="dxa" w:w="3249"/>
            <w:vAlign w:val="center"/>
          </w:tcPr>
          <w:p>
            <w:pPr>
              <w:spacing w:line="276" w:lineRule="auto" w:before="0" w:after="0"/>
            </w:pPr>
            <w:r/>
            <w:r>
              <w:rPr>
                <w:rFonts w:ascii="Figtree" w:hAnsi="Figtree"/>
                <w:b w:val="0"/>
                <w:i w:val="0"/>
                <w:sz w:val="20"/>
              </w:rPr>
              <w:t>Operations readiness</w:t>
            </w:r>
          </w:p>
        </w:tc>
        <w:tc>
          <w:tcPr>
            <w:tcW w:type="dxa" w:w="3249"/>
            <w:vAlign w:val="center"/>
          </w:tcPr>
          <w:p>
            <w:pPr>
              <w:spacing w:line="276" w:lineRule="auto" w:before="0" w:after="0"/>
            </w:pPr>
            <w:r/>
            <w:r>
              <w:rPr>
                <w:rFonts w:ascii="Figtree" w:hAnsi="Figtree"/>
                <w:b w:val="0"/>
                <w:i w:val="0"/>
                <w:sz w:val="20"/>
              </w:rPr>
              <w:t>10 person-days</w:t>
            </w:r>
          </w:p>
        </w:tc>
        <w:tc>
          <w:tcPr>
            <w:tcW w:type="dxa" w:w="3249"/>
            <w:vAlign w:val="center"/>
          </w:tcPr>
          <w:p>
            <w:pPr>
              <w:spacing w:line="276" w:lineRule="auto" w:before="0" w:after="0"/>
            </w:pPr>
            <w:r/>
            <w:r>
              <w:rPr>
                <w:rFonts w:ascii="Figtree" w:hAnsi="Figtree"/>
                <w:b w:val="0"/>
                <w:i w:val="0"/>
                <w:sz w:val="20"/>
              </w:rPr>
              <w:t>Weeks 14-19</w:t>
            </w:r>
          </w:p>
        </w:tc>
      </w:tr>
      <w:tr>
        <w:trPr>
          <w:trHeight w:val="425" w:hRule="atLeast"/>
        </w:trPr>
        <w:tc>
          <w:tcPr>
            <w:tcW w:type="dxa" w:w="3249"/>
            <w:vAlign w:val="center"/>
          </w:tcPr>
          <w:p>
            <w:pPr>
              <w:spacing w:line="276" w:lineRule="auto" w:before="0" w:after="0"/>
            </w:pPr>
            <w:r/>
            <w:r>
              <w:rPr>
                <w:rFonts w:ascii="Figtree" w:hAnsi="Figtree"/>
                <w:b/>
                <w:i w:val="0"/>
                <w:sz w:val="20"/>
              </w:rPr>
              <w:t>Total</w:t>
            </w:r>
          </w:p>
        </w:tc>
        <w:tc>
          <w:tcPr>
            <w:tcW w:type="dxa" w:w="3249"/>
            <w:vAlign w:val="center"/>
          </w:tcPr>
          <w:p>
            <w:pPr>
              <w:spacing w:line="276" w:lineRule="auto" w:before="0" w:after="0"/>
            </w:pPr>
            <w:r/>
            <w:r>
              <w:rPr>
                <w:rFonts w:ascii="Figtree" w:hAnsi="Figtree"/>
                <w:b/>
                <w:i w:val="0"/>
                <w:sz w:val="20"/>
              </w:rPr>
              <w:t>80 person-days</w:t>
            </w:r>
          </w:p>
        </w:tc>
        <w:tc>
          <w:tcPr>
            <w:tcW w:type="dxa" w:w="3249"/>
            <w:vAlign w:val="center"/>
          </w:tcPr>
          <w:p>
            <w:pPr>
              <w:spacing w:line="276" w:lineRule="auto" w:before="0" w:after="0"/>
            </w:pPr>
            <w:r/>
          </w:p>
        </w:tc>
      </w:tr>
    </w:tbl>
    <w:p>
      <w:pPr>
        <w:spacing w:before="0" w:after="0" w:line="120" w:lineRule="exact"/>
      </w:pPr>
    </w:p>
    <w:p>
      <w:r>
        <w:br w:type="page"/>
      </w:r>
    </w:p>
    <w:p>
      <w:pPr>
        <w:pStyle w:val="H2"/>
        <w:numPr>
          <w:ilvl w:val="1"/>
          <w:numId w:val="1"/>
        </w:numPr>
      </w:pPr>
      <w:r>
        <w:t>Total Cost of Ownership</w:t>
      </w:r>
    </w:p>
    <w:p>
      <w:pPr>
        <w:pStyle w:val="H3"/>
        <w:numPr>
          <w:ilvl w:val="2"/>
          <w:numId w:val="1"/>
        </w:numPr>
      </w:pPr>
      <w:r>
        <w:t>Three-Year TCO</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51"/>
        <w:gridCol w:w="1905"/>
        <w:gridCol w:w="1905"/>
        <w:gridCol w:w="1905"/>
        <w:gridCol w:w="1905"/>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Total</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license</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val="0"/>
                <w:i w:val="0"/>
                <w:sz w:val="20"/>
              </w:rPr>
              <w:t>Premium support</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r>
              <w:rPr>
                <w:rFonts w:ascii="Figtree" w:hAnsi="Figtree"/>
                <w:b/>
                <w:i w:val="0"/>
                <w:sz w:val="20"/>
              </w:rPr>
              <w:t>[CLIENT-SPECIFIC]</w:t>
            </w:r>
          </w:p>
        </w:tc>
        <w:tc>
          <w:tcPr>
            <w:tcW w:type="dxa" w:w="1949"/>
            <w:vAlign w:val="center"/>
          </w:tcPr>
          <w:p>
            <w:pPr>
              <w:spacing w:line="276" w:lineRule="auto" w:before="0" w:after="0"/>
            </w:pPr>
            <w:r/>
            <w:r>
              <w:rPr>
                <w:rFonts w:ascii="Figtree" w:hAnsi="Figtree"/>
                <w:b/>
                <w:i w:val="0"/>
                <w:sz w:val="20"/>
              </w:rPr>
              <w:t>[CLIENT-SPECIFIC]</w:t>
            </w:r>
          </w:p>
        </w:tc>
        <w:tc>
          <w:tcPr>
            <w:tcW w:type="dxa" w:w="1949"/>
            <w:vAlign w:val="center"/>
          </w:tcPr>
          <w:p>
            <w:pPr>
              <w:spacing w:line="276" w:lineRule="auto" w:before="0" w:after="0"/>
            </w:pPr>
            <w:r/>
            <w:r>
              <w:rPr>
                <w:rFonts w:ascii="Figtree" w:hAnsi="Figtree"/>
                <w:b/>
                <w:i w:val="0"/>
                <w:sz w:val="20"/>
              </w:rPr>
              <w:t>[CLIENT-SPECIFIC]</w:t>
            </w:r>
          </w:p>
        </w:tc>
        <w:tc>
          <w:tcPr>
            <w:tcW w:type="dxa" w:w="1949"/>
            <w:vAlign w:val="center"/>
          </w:tcPr>
          <w:p>
            <w:pPr>
              <w:spacing w:line="276" w:lineRule="auto" w:before="0" w:after="0"/>
            </w:pPr>
            <w:r/>
            <w:r>
              <w:rPr>
                <w:rFonts w:ascii="Figtree" w:hAnsi="Figtree"/>
                <w:b/>
                <w:i w:val="0"/>
                <w:sz w:val="20"/>
              </w:rPr>
              <w:t>[CLIENT-SPECIFIC]</w:t>
            </w:r>
          </w:p>
        </w:tc>
      </w:tr>
    </w:tbl>
    <w:p>
      <w:pPr>
        <w:spacing w:before="0" w:after="0" w:line="120" w:lineRule="exact"/>
      </w:pPr>
    </w:p>
    <w:p>
      <w:pPr>
        <w:pStyle w:val="H3"/>
        <w:numPr>
          <w:ilvl w:val="2"/>
          <w:numId w:val="1"/>
        </w:numPr>
      </w:pPr>
      <w:r>
        <w:t>Exclusions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248"/>
        <w:gridCol w:w="282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Exclusion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Responsibility</w:t>
            </w:r>
          </w:p>
        </w:tc>
      </w:tr>
      <w:tr>
        <w:trPr>
          <w:trHeight w:val="425" w:hRule="atLeast"/>
        </w:trPr>
        <w:tc>
          <w:tcPr>
            <w:tcW w:type="dxa" w:w="4873"/>
            <w:vAlign w:val="center"/>
          </w:tcPr>
          <w:p>
            <w:pPr>
              <w:spacing w:line="276" w:lineRule="auto" w:before="0" w:after="0"/>
            </w:pPr>
            <w:r/>
            <w:r>
              <w:rPr>
                <w:rFonts w:ascii="Figtree" w:hAnsi="Figtree"/>
                <w:b w:val="0"/>
                <w:i w:val="0"/>
                <w:sz w:val="20"/>
              </w:rPr>
              <w:t>Cloud infrastructure costs</w:t>
            </w:r>
          </w:p>
        </w:tc>
        <w:tc>
          <w:tcPr>
            <w:tcW w:type="dxa" w:w="4873"/>
            <w:vAlign w:val="center"/>
          </w:tcPr>
          <w:p>
            <w:pPr>
              <w:spacing w:line="276" w:lineRule="auto" w:before="0" w:after="0"/>
            </w:pPr>
            <w:r/>
            <w:r>
              <w:rPr>
                <w:rFonts w:ascii="Figtree" w:hAnsi="Figtree"/>
                <w:b w:val="0"/>
                <w:i w:val="0"/>
                <w:sz w:val="20"/>
              </w:rPr>
              <w:t>FAB</w:t>
            </w:r>
          </w:p>
        </w:tc>
      </w:tr>
      <w:tr>
        <w:trPr>
          <w:trHeight w:val="425" w:hRule="atLeast"/>
        </w:trPr>
        <w:tc>
          <w:tcPr>
            <w:tcW w:type="dxa" w:w="4873"/>
            <w:vAlign w:val="center"/>
          </w:tcPr>
          <w:p>
            <w:pPr>
              <w:spacing w:line="276" w:lineRule="auto" w:before="0" w:after="0"/>
            </w:pPr>
            <w:r/>
            <w:r>
              <w:rPr>
                <w:rFonts w:ascii="Figtree" w:hAnsi="Figtree"/>
                <w:b w:val="0"/>
                <w:i w:val="0"/>
                <w:sz w:val="20"/>
              </w:rPr>
              <w:t>Custody provider fees (DFNS/Fireblocks)</w:t>
            </w:r>
          </w:p>
        </w:tc>
        <w:tc>
          <w:tcPr>
            <w:tcW w:type="dxa" w:w="4873"/>
            <w:vAlign w:val="center"/>
          </w:tcPr>
          <w:p>
            <w:pPr>
              <w:spacing w:line="276" w:lineRule="auto" w:before="0" w:after="0"/>
            </w:pPr>
            <w:r/>
            <w:r>
              <w:rPr>
                <w:rFonts w:ascii="Figtree" w:hAnsi="Figtree"/>
                <w:b w:val="0"/>
                <w:i w:val="0"/>
                <w:sz w:val="20"/>
              </w:rPr>
              <w:t>FAB (direct)</w:t>
            </w:r>
          </w:p>
        </w:tc>
      </w:tr>
      <w:tr>
        <w:trPr>
          <w:trHeight w:val="425" w:hRule="atLeast"/>
        </w:trPr>
        <w:tc>
          <w:tcPr>
            <w:tcW w:type="dxa" w:w="4873"/>
            <w:vAlign w:val="center"/>
          </w:tcPr>
          <w:p>
            <w:pPr>
              <w:spacing w:line="276" w:lineRule="auto" w:before="0" w:after="0"/>
            </w:pPr>
            <w:r/>
            <w:r>
              <w:rPr>
                <w:rFonts w:ascii="Figtree" w:hAnsi="Figtree"/>
                <w:b w:val="0"/>
                <w:i w:val="0"/>
                <w:sz w:val="20"/>
              </w:rPr>
              <w:t>Core banking integration development</w:t>
            </w:r>
          </w:p>
        </w:tc>
        <w:tc>
          <w:tcPr>
            <w:tcW w:type="dxa" w:w="4873"/>
            <w:vAlign w:val="center"/>
          </w:tcPr>
          <w:p>
            <w:pPr>
              <w:spacing w:line="276" w:lineRule="auto" w:before="0" w:after="0"/>
            </w:pPr>
            <w:r/>
            <w:r>
              <w:rPr>
                <w:rFonts w:ascii="Figtree" w:hAnsi="Figtree"/>
                <w:b w:val="0"/>
                <w:i w:val="0"/>
                <w:sz w:val="20"/>
              </w:rPr>
              <w:t>FAB</w:t>
            </w:r>
          </w:p>
        </w:tc>
      </w:tr>
      <w:tr>
        <w:trPr>
          <w:trHeight w:val="425" w:hRule="atLeast"/>
        </w:trPr>
        <w:tc>
          <w:tcPr>
            <w:tcW w:type="dxa" w:w="4873"/>
            <w:vAlign w:val="center"/>
          </w:tcPr>
          <w:p>
            <w:pPr>
              <w:spacing w:line="276" w:lineRule="auto" w:before="0" w:after="0"/>
            </w:pPr>
            <w:r/>
            <w:r>
              <w:rPr>
                <w:rFonts w:ascii="Figtree" w:hAnsi="Figtree"/>
                <w:b w:val="0"/>
                <w:i w:val="0"/>
                <w:sz w:val="20"/>
              </w:rPr>
              <w:t>Regulatory filing fees</w:t>
            </w:r>
          </w:p>
        </w:tc>
        <w:tc>
          <w:tcPr>
            <w:tcW w:type="dxa" w:w="4873"/>
            <w:vAlign w:val="center"/>
          </w:tcPr>
          <w:p>
            <w:pPr>
              <w:spacing w:line="276" w:lineRule="auto" w:before="0" w:after="0"/>
            </w:pPr>
            <w:r/>
            <w:r>
              <w:rPr>
                <w:rFonts w:ascii="Figtree" w:hAnsi="Figtree"/>
                <w:b w:val="0"/>
                <w:i w:val="0"/>
                <w:sz w:val="20"/>
              </w:rPr>
              <w:t>FAB</w:t>
            </w:r>
          </w:p>
        </w:tc>
      </w:tr>
      <w:tr>
        <w:trPr>
          <w:trHeight w:val="425" w:hRule="atLeast"/>
        </w:trPr>
        <w:tc>
          <w:tcPr>
            <w:tcW w:type="dxa" w:w="4873"/>
            <w:vAlign w:val="center"/>
          </w:tcPr>
          <w:p>
            <w:pPr>
              <w:spacing w:line="276" w:lineRule="auto" w:before="0" w:after="0"/>
            </w:pPr>
            <w:r/>
            <w:r>
              <w:rPr>
                <w:rFonts w:ascii="Figtree" w:hAnsi="Figtree"/>
                <w:b w:val="0"/>
                <w:i w:val="0"/>
                <w:sz w:val="20"/>
              </w:rPr>
              <w:t>Custom reporting dashboards beyond standard</w:t>
            </w:r>
          </w:p>
        </w:tc>
        <w:tc>
          <w:tcPr>
            <w:tcW w:type="dxa" w:w="4873"/>
            <w:vAlign w:val="center"/>
          </w:tcPr>
          <w:p>
            <w:pPr>
              <w:spacing w:line="276" w:lineRule="auto" w:before="0" w:after="0"/>
            </w:pPr>
            <w:r/>
            <w:r>
              <w:rPr>
                <w:rFonts w:ascii="Figtree" w:hAnsi="Figtree"/>
                <w:b w:val="0"/>
                <w:i w:val="0"/>
                <w:sz w:val="20"/>
              </w:rPr>
              <w:t>Additional scope</w:t>
            </w:r>
          </w:p>
        </w:tc>
      </w:tr>
    </w:tbl>
    <w:p>
      <w:pPr>
        <w:spacing w:before="0" w:after="0" w:line="120" w:lineRule="exact"/>
      </w:pPr>
    </w:p>
    <w:p>
      <w:r>
        <w:br w:type="page"/>
      </w:r>
    </w:p>
    <w:p>
      <w:pPr>
        <w:pStyle w:val="H2"/>
        <w:numPr>
          <w:ilvl w:val="1"/>
          <w:numId w:val="1"/>
        </w:numPr>
      </w:pPr>
      <w:r>
        <w:t>Commercial Terms</w:t>
      </w:r>
    </w:p>
    <w:p>
      <w:pPr>
        <w:pStyle w:val="H3"/>
        <w:numPr>
          <w:ilvl w:val="2"/>
          <w:numId w:val="1"/>
        </w:numPr>
      </w:pPr>
      <w:r>
        <w:t>Contract Components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89"/>
        <w:gridCol w:w="548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Scope</w:t>
            </w:r>
          </w:p>
        </w:tc>
      </w:tr>
      <w:tr>
        <w:trPr>
          <w:trHeight w:val="425" w:hRule="atLeast"/>
        </w:trPr>
        <w:tc>
          <w:tcPr>
            <w:tcW w:type="dxa" w:w="4873"/>
            <w:vAlign w:val="center"/>
          </w:tcPr>
          <w:p>
            <w:pPr>
              <w:spacing w:line="276" w:lineRule="auto" w:before="0" w:after="0"/>
            </w:pPr>
            <w:r/>
            <w:r>
              <w:rPr>
                <w:rFonts w:ascii="Figtree" w:hAnsi="Figtree"/>
                <w:b w:val="0"/>
                <w:i w:val="0"/>
                <w:sz w:val="20"/>
              </w:rPr>
              <w:t>Platform License Agreement</w:t>
            </w:r>
          </w:p>
        </w:tc>
        <w:tc>
          <w:tcPr>
            <w:tcW w:type="dxa" w:w="4873"/>
            <w:vAlign w:val="center"/>
          </w:tcPr>
          <w:p>
            <w:pPr>
              <w:spacing w:line="276" w:lineRule="auto" w:before="0" w:after="0"/>
            </w:pPr>
            <w:r/>
            <w:r>
              <w:rPr>
                <w:rFonts w:ascii="Figtree" w:hAnsi="Figtree"/>
                <w:b w:val="0"/>
                <w:i w:val="0"/>
                <w:sz w:val="20"/>
              </w:rPr>
              <w:t>Annual subscription, renewal, updates</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Services Agreement</w:t>
            </w:r>
          </w:p>
        </w:tc>
        <w:tc>
          <w:tcPr>
            <w:tcW w:type="dxa" w:w="4873"/>
            <w:vAlign w:val="center"/>
          </w:tcPr>
          <w:p>
            <w:pPr>
              <w:spacing w:line="276" w:lineRule="auto" w:before="0" w:after="0"/>
            </w:pPr>
            <w:r/>
            <w:r>
              <w:rPr>
                <w:rFonts w:ascii="Figtree" w:hAnsi="Figtree"/>
                <w:b w:val="0"/>
                <w:i w:val="0"/>
                <w:sz w:val="20"/>
              </w:rPr>
              <w:t>Fixed scope, milestones, acceptance, change control</w:t>
            </w:r>
          </w:p>
        </w:tc>
      </w:tr>
      <w:tr>
        <w:trPr>
          <w:trHeight w:val="425" w:hRule="atLeast"/>
        </w:trPr>
        <w:tc>
          <w:tcPr>
            <w:tcW w:type="dxa" w:w="4873"/>
            <w:vAlign w:val="center"/>
          </w:tcPr>
          <w:p>
            <w:pPr>
              <w:spacing w:line="276" w:lineRule="auto" w:before="0" w:after="0"/>
            </w:pPr>
            <w:r/>
            <w:r>
              <w:rPr>
                <w:rFonts w:ascii="Figtree" w:hAnsi="Figtree"/>
                <w:b w:val="0"/>
                <w:i w:val="0"/>
                <w:sz w:val="20"/>
              </w:rPr>
              <w:t>Support Services Agreement</w:t>
            </w:r>
          </w:p>
        </w:tc>
        <w:tc>
          <w:tcPr>
            <w:tcW w:type="dxa" w:w="4873"/>
            <w:vAlign w:val="center"/>
          </w:tcPr>
          <w:p>
            <w:pPr>
              <w:spacing w:line="276" w:lineRule="auto" w:before="0" w:after="0"/>
            </w:pPr>
            <w:r/>
            <w:r>
              <w:rPr>
                <w:rFonts w:ascii="Figtree" w:hAnsi="Figtree"/>
                <w:b w:val="0"/>
                <w:i w:val="0"/>
                <w:sz w:val="20"/>
              </w:rPr>
              <w:t>SLA commitments, escalation, coverage</w:t>
            </w:r>
          </w:p>
        </w:tc>
      </w:tr>
      <w:tr>
        <w:trPr>
          <w:trHeight w:val="425" w:hRule="atLeast"/>
        </w:trPr>
        <w:tc>
          <w:tcPr>
            <w:tcW w:type="dxa" w:w="4873"/>
            <w:vAlign w:val="center"/>
          </w:tcPr>
          <w:p>
            <w:pPr>
              <w:spacing w:line="276" w:lineRule="auto" w:before="0" w:after="0"/>
            </w:pPr>
            <w:r/>
            <w:r>
              <w:rPr>
                <w:rFonts w:ascii="Figtree" w:hAnsi="Figtree"/>
                <w:b w:val="0"/>
                <w:i w:val="0"/>
                <w:sz w:val="20"/>
              </w:rPr>
              <w:t>Data Processing Agreement</w:t>
            </w:r>
          </w:p>
        </w:tc>
        <w:tc>
          <w:tcPr>
            <w:tcW w:type="dxa" w:w="4873"/>
            <w:vAlign w:val="center"/>
          </w:tcPr>
          <w:p>
            <w:pPr>
              <w:spacing w:line="276" w:lineRule="auto" w:before="0" w:after="0"/>
            </w:pPr>
            <w:r/>
            <w:r>
              <w:rPr>
                <w:rFonts w:ascii="Figtree" w:hAnsi="Figtree"/>
                <w:b w:val="0"/>
                <w:i w:val="0"/>
                <w:sz w:val="20"/>
              </w:rPr>
              <w:t>Data handling, UAE residency, retention</w:t>
            </w:r>
          </w:p>
        </w:tc>
      </w:tr>
      <w:tr>
        <w:trPr>
          <w:trHeight w:val="425" w:hRule="atLeast"/>
        </w:trPr>
        <w:tc>
          <w:tcPr>
            <w:tcW w:type="dxa" w:w="4873"/>
            <w:vAlign w:val="center"/>
          </w:tcPr>
          <w:p>
            <w:pPr>
              <w:spacing w:line="276" w:lineRule="auto" w:before="0" w:after="0"/>
            </w:pPr>
            <w:r/>
            <w:r>
              <w:rPr>
                <w:rFonts w:ascii="Figtree" w:hAnsi="Figtree"/>
                <w:b w:val="0"/>
                <w:i w:val="0"/>
                <w:sz w:val="20"/>
              </w:rPr>
              <w:t>Confidentiality Agreement</w:t>
            </w:r>
          </w:p>
        </w:tc>
        <w:tc>
          <w:tcPr>
            <w:tcW w:type="dxa" w:w="4873"/>
            <w:vAlign w:val="center"/>
          </w:tcPr>
          <w:p>
            <w:pPr>
              <w:spacing w:line="276" w:lineRule="auto" w:before="0" w:after="0"/>
            </w:pPr>
            <w:r/>
            <w:r>
              <w:rPr>
                <w:rFonts w:ascii="Figtree" w:hAnsi="Figtree"/>
                <w:b w:val="0"/>
                <w:i w:val="0"/>
                <w:sz w:val="20"/>
              </w:rPr>
              <w:t>Mutual NDA</w:t>
            </w:r>
          </w:p>
        </w:tc>
      </w:tr>
    </w:tbl>
    <w:p>
      <w:pPr>
        <w:spacing w:before="0" w:after="0" w:line="120" w:lineRule="exact"/>
      </w:pPr>
    </w:p>
    <w:p>
      <w:pPr>
        <w:pStyle w:val="H3"/>
        <w:numPr>
          <w:ilvl w:val="2"/>
          <w:numId w:val="1"/>
        </w:numPr>
      </w:pPr>
      <w:r>
        <w:t>Key Terms</w:t>
      </w:r>
    </w:p>
    <w:p>
      <w:pPr>
        <w:pStyle w:val="ListParagraph"/>
        <w:numPr>
          <w:ilvl w:val="0"/>
          <w:numId w:val="4"/>
        </w:numPr>
      </w:pPr>
      <w:r>
        <w:rPr>
          <w:rFonts w:ascii="Figtree" w:hAnsi="Figtree"/>
          <w:b/>
          <w:i w:val="0"/>
          <w:sz w:val="22"/>
        </w:rPr>
        <w:t>Payment:</w:t>
      </w:r>
      <w:r>
        <w:rPr>
          <w:rFonts w:ascii="Figtree" w:hAnsi="Figtree"/>
          <w:b w:val="0"/>
          <w:i w:val="0"/>
          <w:sz w:val="22"/>
        </w:rPr>
        <w:t xml:space="preserve"> Milestone-based (implementation); annual in advance (license, support)</w:t>
      </w:r>
    </w:p>
    <w:p>
      <w:pPr>
        <w:pStyle w:val="ListParagraph"/>
        <w:numPr>
          <w:ilvl w:val="0"/>
          <w:numId w:val="4"/>
        </w:numPr>
      </w:pPr>
      <w:r>
        <w:rPr>
          <w:rFonts w:ascii="Figtree" w:hAnsi="Figtree"/>
          <w:b/>
          <w:i w:val="0"/>
          <w:sz w:val="22"/>
        </w:rPr>
        <w:t>Term:</w:t>
      </w:r>
      <w:r>
        <w:rPr>
          <w:rFonts w:ascii="Figtree" w:hAnsi="Figtree"/>
          <w:b w:val="0"/>
          <w:i w:val="0"/>
          <w:sz w:val="22"/>
        </w:rPr>
        <w:t xml:space="preserve"> Initial three-year with annual renewal option</w:t>
      </w:r>
    </w:p>
    <w:p>
      <w:pPr>
        <w:pStyle w:val="ListParagraph"/>
        <w:numPr>
          <w:ilvl w:val="0"/>
          <w:numId w:val="4"/>
        </w:numPr>
      </w:pPr>
      <w:r>
        <w:rPr>
          <w:rFonts w:ascii="Figtree" w:hAnsi="Figtree"/>
          <w:b/>
          <w:i w:val="0"/>
          <w:sz w:val="22"/>
        </w:rPr>
        <w:t>Price escalation:</w:t>
      </w:r>
      <w:r>
        <w:rPr>
          <w:rFonts w:ascii="Figtree" w:hAnsi="Figtree"/>
          <w:b w:val="0"/>
          <w:i w:val="0"/>
          <w:sz w:val="22"/>
        </w:rPr>
        <w:t xml:space="preserve"> Capped at [CLIENT-SPECIFIC]% annually</w:t>
      </w:r>
    </w:p>
    <w:p>
      <w:pPr>
        <w:pStyle w:val="ListParagraph"/>
        <w:numPr>
          <w:ilvl w:val="0"/>
          <w:numId w:val="4"/>
        </w:numPr>
      </w:pPr>
      <w:r>
        <w:rPr>
          <w:rFonts w:ascii="Figtree" w:hAnsi="Figtree"/>
          <w:b/>
          <w:i w:val="0"/>
          <w:sz w:val="22"/>
        </w:rPr>
        <w:t>Exit support:</w:t>
      </w:r>
      <w:r>
        <w:rPr>
          <w:rFonts w:ascii="Figtree" w:hAnsi="Figtree"/>
          <w:b w:val="0"/>
          <w:i w:val="0"/>
          <w:sz w:val="22"/>
        </w:rPr>
        <w:t xml:space="preserve"> 90-day transition, data export, documentation handover</w:t>
      </w:r>
    </w:p>
    <w:p>
      <w:pPr>
        <w:pStyle w:val="ListParagraph"/>
        <w:numPr>
          <w:ilvl w:val="0"/>
          <w:numId w:val="4"/>
        </w:numPr>
      </w:pPr>
      <w:r>
        <w:rPr>
          <w:rFonts w:ascii="Figtree" w:hAnsi="Figtree"/>
          <w:b/>
          <w:i w:val="0"/>
          <w:sz w:val="22"/>
        </w:rPr>
        <w:t>Audit rights:</w:t>
      </w:r>
      <w:r>
        <w:rPr>
          <w:rFonts w:ascii="Figtree" w:hAnsi="Figtree"/>
          <w:b w:val="0"/>
          <w:i w:val="0"/>
          <w:sz w:val="22"/>
        </w:rPr>
        <w:t xml:space="preserve"> Annual audit of security, data handling, and service delivery</w:t>
      </w:r>
    </w:p>
    <w:p>
      <w:pPr>
        <w:pStyle w:val="ListParagraph"/>
        <w:numPr>
          <w:ilvl w:val="0"/>
          <w:numId w:val="4"/>
        </w:numPr>
      </w:pPr>
      <w:r>
        <w:rPr>
          <w:rFonts w:ascii="Figtree" w:hAnsi="Figtree"/>
          <w:b/>
          <w:i w:val="0"/>
          <w:sz w:val="22"/>
        </w:rPr>
        <w:t>Subcontracting:</w:t>
      </w:r>
      <w:r>
        <w:rPr>
          <w:rFonts w:ascii="Figtree" w:hAnsi="Figtree"/>
          <w:b w:val="0"/>
          <w:i w:val="0"/>
          <w:sz w:val="22"/>
        </w:rPr>
        <w:t xml:space="preserve"> Advance disclosure, FAB approval rights</w:t>
      </w:r>
    </w:p>
    <w:p>
      <w:r>
        <w:br w:type="page"/>
      </w:r>
    </w:p>
    <w:p>
      <w:pPr>
        <w:pStyle w:val="H2"/>
        <w:numPr>
          <w:ilvl w:val="1"/>
          <w:numId w:val="1"/>
        </w:numPr>
      </w:pPr>
      <w:r>
        <w:t>Reference Clients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74"/>
        <w:gridCol w:w="1577"/>
        <w:gridCol w:w="2366"/>
        <w:gridCol w:w="1380"/>
        <w:gridCol w:w="1972"/>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Geography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Scale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Relevance</w:t>
            </w:r>
          </w:p>
        </w:tc>
      </w:tr>
      <w:tr>
        <w:trPr>
          <w:trHeight w:val="425" w:hRule="atLeast"/>
        </w:trPr>
        <w:tc>
          <w:tcPr>
            <w:tcW w:type="dxa" w:w="1949"/>
            <w:vAlign w:val="center"/>
          </w:tcPr>
          <w:p>
            <w:pPr>
              <w:spacing w:line="276" w:lineRule="auto" w:before="0" w:after="0"/>
            </w:pPr>
            <w:r/>
            <w:r>
              <w:rPr>
                <w:rFonts w:ascii="Figtree" w:hAnsi="Figtree"/>
                <w:b w:val="0"/>
                <w:i w:val="0"/>
                <w:sz w:val="20"/>
              </w:rPr>
              <w:t>Standard Chartered</w:t>
            </w:r>
          </w:p>
        </w:tc>
        <w:tc>
          <w:tcPr>
            <w:tcW w:type="dxa" w:w="1949"/>
            <w:vAlign w:val="center"/>
          </w:tcPr>
          <w:p>
            <w:pPr>
              <w:spacing w:line="276" w:lineRule="auto" w:before="0" w:after="0"/>
            </w:pPr>
            <w:r/>
            <w:r>
              <w:rPr>
                <w:rFonts w:ascii="Figtree" w:hAnsi="Figtree"/>
                <w:b w:val="0"/>
                <w:i w:val="0"/>
                <w:sz w:val="20"/>
              </w:rPr>
              <w:t>Asia, Africa, ME</w:t>
            </w:r>
          </w:p>
        </w:tc>
        <w:tc>
          <w:tcPr>
            <w:tcW w:type="dxa" w:w="1949"/>
            <w:vAlign w:val="center"/>
          </w:tcPr>
          <w:p>
            <w:pPr>
              <w:spacing w:line="276" w:lineRule="auto" w:before="0" w:after="0"/>
            </w:pPr>
            <w:r/>
            <w:r>
              <w:rPr>
                <w:rFonts w:ascii="Figtree" w:hAnsi="Figtree"/>
                <w:b w:val="0"/>
                <w:i w:val="0"/>
                <w:sz w:val="20"/>
              </w:rPr>
              <w:t>Digital Virtual Exchange</w:t>
            </w:r>
          </w:p>
        </w:tc>
        <w:tc>
          <w:tcPr>
            <w:tcW w:type="dxa" w:w="1949"/>
            <w:vAlign w:val="center"/>
          </w:tcPr>
          <w:p>
            <w:pPr>
              <w:spacing w:line="276" w:lineRule="auto" w:before="0" w:after="0"/>
            </w:pPr>
            <w:r/>
            <w:r>
              <w:rPr>
                <w:rFonts w:ascii="Figtree" w:hAnsi="Figtree"/>
                <w:b w:val="0"/>
                <w:i w:val="0"/>
                <w:sz w:val="20"/>
              </w:rPr>
              <w:t>Institutional</w:t>
            </w:r>
          </w:p>
        </w:tc>
        <w:tc>
          <w:tcPr>
            <w:tcW w:type="dxa" w:w="1949"/>
            <w:vAlign w:val="center"/>
          </w:tcPr>
          <w:p>
            <w:pPr>
              <w:spacing w:line="276" w:lineRule="auto" w:before="0" w:after="0"/>
            </w:pPr>
            <w:r/>
            <w:r>
              <w:rPr>
                <w:rFonts w:ascii="Figtree" w:hAnsi="Figtree"/>
                <w:b w:val="0"/>
                <w:i w:val="0"/>
                <w:sz w:val="20"/>
              </w:rPr>
              <w:t>Multi-region custody</w:t>
            </w:r>
          </w:p>
        </w:tc>
      </w:tr>
      <w:tr>
        <w:trPr>
          <w:trHeight w:val="425" w:hRule="atLeast"/>
        </w:trPr>
        <w:tc>
          <w:tcPr>
            <w:tcW w:type="dxa" w:w="1949"/>
            <w:vAlign w:val="center"/>
          </w:tcPr>
          <w:p>
            <w:pPr>
              <w:spacing w:line="276" w:lineRule="auto" w:before="0" w:after="0"/>
            </w:pPr>
            <w:r/>
            <w:r>
              <w:rPr>
                <w:rFonts w:ascii="Figtree" w:hAnsi="Figtree"/>
                <w:b w:val="0"/>
                <w:i w:val="0"/>
                <w:sz w:val="20"/>
              </w:rPr>
              <w:t>ADI Finstreet</w:t>
            </w:r>
          </w:p>
        </w:tc>
        <w:tc>
          <w:tcPr>
            <w:tcW w:type="dxa" w:w="1949"/>
            <w:vAlign w:val="center"/>
          </w:tcPr>
          <w:p>
            <w:pPr>
              <w:spacing w:line="276" w:lineRule="auto" w:before="0" w:after="0"/>
            </w:pPr>
            <w:r/>
            <w:r>
              <w:rPr>
                <w:rFonts w:ascii="Figtree" w:hAnsi="Figtree"/>
                <w:b w:val="0"/>
                <w:i w:val="0"/>
                <w:sz w:val="20"/>
              </w:rPr>
              <w:t>Abu Dhabi</w:t>
            </w:r>
          </w:p>
        </w:tc>
        <w:tc>
          <w:tcPr>
            <w:tcW w:type="dxa" w:w="1949"/>
            <w:vAlign w:val="center"/>
          </w:tcPr>
          <w:p>
            <w:pPr>
              <w:spacing w:line="276" w:lineRule="auto" w:before="0" w:after="0"/>
            </w:pPr>
            <w:r/>
            <w:r>
              <w:rPr>
                <w:rFonts w:ascii="Figtree" w:hAnsi="Figtree"/>
                <w:b w:val="0"/>
                <w:i w:val="0"/>
                <w:sz w:val="20"/>
              </w:rPr>
              <w:t>Equity Tokenization</w:t>
            </w:r>
          </w:p>
        </w:tc>
        <w:tc>
          <w:tcPr>
            <w:tcW w:type="dxa" w:w="1949"/>
            <w:vAlign w:val="center"/>
          </w:tcPr>
          <w:p>
            <w:pPr>
              <w:spacing w:line="276" w:lineRule="auto" w:before="0" w:after="0"/>
            </w:pPr>
            <w:r/>
            <w:r>
              <w:rPr>
                <w:rFonts w:ascii="Figtree" w:hAnsi="Figtree"/>
                <w:b w:val="0"/>
                <w:i w:val="0"/>
                <w:sz w:val="20"/>
              </w:rPr>
              <w:t>Enterprise</w:t>
            </w:r>
          </w:p>
        </w:tc>
        <w:tc>
          <w:tcPr>
            <w:tcW w:type="dxa" w:w="1949"/>
            <w:vAlign w:val="center"/>
          </w:tcPr>
          <w:p>
            <w:pPr>
              <w:spacing w:line="276" w:lineRule="auto" w:before="0" w:after="0"/>
            </w:pPr>
            <w:r/>
            <w:r>
              <w:rPr>
                <w:rFonts w:ascii="Figtree" w:hAnsi="Figtree"/>
                <w:b w:val="0"/>
                <w:i w:val="0"/>
                <w:sz w:val="20"/>
              </w:rPr>
              <w:t>UAE custody, DFNS</w:t>
            </w:r>
          </w:p>
        </w:tc>
      </w:tr>
      <w:tr>
        <w:trPr>
          <w:trHeight w:val="425" w:hRule="atLeast"/>
        </w:trPr>
        <w:tc>
          <w:tcPr>
            <w:tcW w:type="dxa" w:w="1949"/>
            <w:vAlign w:val="center"/>
          </w:tcPr>
          <w:p>
            <w:pPr>
              <w:spacing w:line="276" w:lineRule="auto" w:before="0" w:after="0"/>
            </w:pPr>
            <w:r/>
            <w:r>
              <w:rPr>
                <w:rFonts w:ascii="Figtree" w:hAnsi="Figtree"/>
                <w:b w:val="0"/>
                <w:i w:val="0"/>
                <w:sz w:val="20"/>
              </w:rPr>
              <w:t>OCBC Bank</w:t>
            </w:r>
          </w:p>
        </w:tc>
        <w:tc>
          <w:tcPr>
            <w:tcW w:type="dxa" w:w="1949"/>
            <w:vAlign w:val="center"/>
          </w:tcPr>
          <w:p>
            <w:pPr>
              <w:spacing w:line="276" w:lineRule="auto" w:before="0" w:after="0"/>
            </w:pPr>
            <w:r/>
            <w:r>
              <w:rPr>
                <w:rFonts w:ascii="Figtree" w:hAnsi="Figtree"/>
                <w:b w:val="0"/>
                <w:i w:val="0"/>
                <w:sz w:val="20"/>
              </w:rPr>
              <w:t>Singapore</w:t>
            </w:r>
          </w:p>
        </w:tc>
        <w:tc>
          <w:tcPr>
            <w:tcW w:type="dxa" w:w="1949"/>
            <w:vAlign w:val="center"/>
          </w:tcPr>
          <w:p>
            <w:pPr>
              <w:spacing w:line="276" w:lineRule="auto" w:before="0" w:after="0"/>
            </w:pPr>
            <w:r/>
            <w:r>
              <w:rPr>
                <w:rFonts w:ascii="Figtree" w:hAnsi="Figtree"/>
                <w:b w:val="0"/>
                <w:i w:val="0"/>
                <w:sz w:val="20"/>
              </w:rPr>
              <w:t>Security Token Engine</w:t>
            </w:r>
          </w:p>
        </w:tc>
        <w:tc>
          <w:tcPr>
            <w:tcW w:type="dxa" w:w="1949"/>
            <w:vAlign w:val="center"/>
          </w:tcPr>
          <w:p>
            <w:pPr>
              <w:spacing w:line="276" w:lineRule="auto" w:before="0" w:after="0"/>
            </w:pPr>
            <w:r/>
            <w:r>
              <w:rPr>
                <w:rFonts w:ascii="Figtree" w:hAnsi="Figtree"/>
                <w:b w:val="0"/>
                <w:i w:val="0"/>
                <w:sz w:val="20"/>
              </w:rPr>
              <w:t>Enterprise</w:t>
            </w:r>
          </w:p>
        </w:tc>
        <w:tc>
          <w:tcPr>
            <w:tcW w:type="dxa" w:w="1949"/>
            <w:vAlign w:val="center"/>
          </w:tcPr>
          <w:p>
            <w:pPr>
              <w:spacing w:line="276" w:lineRule="auto" w:before="0" w:after="0"/>
            </w:pPr>
            <w:r/>
            <w:r>
              <w:rPr>
                <w:rFonts w:ascii="Figtree" w:hAnsi="Figtree"/>
                <w:b w:val="0"/>
                <w:i w:val="0"/>
                <w:sz w:val="20"/>
              </w:rPr>
              <w:t>HNWI distribution</w:t>
            </w:r>
          </w:p>
        </w:tc>
      </w:tr>
      <w:tr>
        <w:trPr>
          <w:trHeight w:val="425" w:hRule="atLeast"/>
        </w:trPr>
        <w:tc>
          <w:tcPr>
            <w:tcW w:type="dxa" w:w="1949"/>
            <w:vAlign w:val="center"/>
          </w:tcPr>
          <w:p>
            <w:pPr>
              <w:spacing w:line="276" w:lineRule="auto" w:before="0" w:after="0"/>
            </w:pPr>
            <w:r/>
            <w:r>
              <w:rPr>
                <w:rFonts w:ascii="Figtree" w:hAnsi="Figtree"/>
                <w:b w:val="0"/>
                <w:i w:val="0"/>
                <w:sz w:val="20"/>
              </w:rPr>
              <w:t>Commerzbank</w:t>
            </w:r>
          </w:p>
        </w:tc>
        <w:tc>
          <w:tcPr>
            <w:tcW w:type="dxa" w:w="1949"/>
            <w:vAlign w:val="center"/>
          </w:tcPr>
          <w:p>
            <w:pPr>
              <w:spacing w:line="276" w:lineRule="auto" w:before="0" w:after="0"/>
            </w:pPr>
            <w:r/>
            <w:r>
              <w:rPr>
                <w:rFonts w:ascii="Figtree" w:hAnsi="Figtree"/>
                <w:b w:val="0"/>
                <w:i w:val="0"/>
                <w:sz w:val="20"/>
              </w:rPr>
              <w:t>Germany</w:t>
            </w:r>
          </w:p>
        </w:tc>
        <w:tc>
          <w:tcPr>
            <w:tcW w:type="dxa" w:w="1949"/>
            <w:vAlign w:val="center"/>
          </w:tcPr>
          <w:p>
            <w:pPr>
              <w:spacing w:line="276" w:lineRule="auto" w:before="0" w:after="0"/>
            </w:pPr>
            <w:r/>
            <w:r>
              <w:rPr>
                <w:rFonts w:ascii="Figtree" w:hAnsi="Figtree"/>
                <w:b w:val="0"/>
                <w:i w:val="0"/>
                <w:sz w:val="20"/>
              </w:rPr>
              <w:t>Exchange-Traded Products</w:t>
            </w:r>
          </w:p>
        </w:tc>
        <w:tc>
          <w:tcPr>
            <w:tcW w:type="dxa" w:w="1949"/>
            <w:vAlign w:val="center"/>
          </w:tcPr>
          <w:p>
            <w:pPr>
              <w:spacing w:line="276" w:lineRule="auto" w:before="0" w:after="0"/>
            </w:pPr>
            <w:r/>
            <w:r>
              <w:rPr>
                <w:rFonts w:ascii="Figtree" w:hAnsi="Figtree"/>
                <w:b w:val="0"/>
                <w:i w:val="0"/>
                <w:sz w:val="20"/>
              </w:rPr>
              <w:t>Exchange-grade</w:t>
            </w:r>
          </w:p>
        </w:tc>
        <w:tc>
          <w:tcPr>
            <w:tcW w:type="dxa" w:w="1949"/>
            <w:vAlign w:val="center"/>
          </w:tcPr>
          <w:p>
            <w:pPr>
              <w:spacing w:line="276" w:lineRule="auto" w:before="0" w:after="0"/>
            </w:pPr>
            <w:r/>
            <w:r>
              <w:rPr>
                <w:rFonts w:ascii="Figtree" w:hAnsi="Figtree"/>
                <w:b w:val="0"/>
                <w:i w:val="0"/>
                <w:sz w:val="20"/>
              </w:rPr>
              <w:t>&lt;10s settlement</w:t>
            </w:r>
          </w:p>
        </w:tc>
      </w:tr>
      <w:tr>
        <w:trPr>
          <w:trHeight w:val="425" w:hRule="atLeast"/>
        </w:trPr>
        <w:tc>
          <w:tcPr>
            <w:tcW w:type="dxa" w:w="1949"/>
            <w:vAlign w:val="center"/>
          </w:tcPr>
          <w:p>
            <w:pPr>
              <w:spacing w:line="276" w:lineRule="auto" w:before="0" w:after="0"/>
            </w:pPr>
            <w:r/>
            <w:r>
              <w:rPr>
                <w:rFonts w:ascii="Figtree" w:hAnsi="Figtree"/>
                <w:b w:val="0"/>
                <w:i w:val="0"/>
                <w:sz w:val="20"/>
              </w:rPr>
              <w:t>Saudi Arabia RER</w:t>
            </w:r>
          </w:p>
        </w:tc>
        <w:tc>
          <w:tcPr>
            <w:tcW w:type="dxa" w:w="1949"/>
            <w:vAlign w:val="center"/>
          </w:tcPr>
          <w:p>
            <w:pPr>
              <w:spacing w:line="276" w:lineRule="auto" w:before="0" w:after="0"/>
            </w:pPr>
            <w:r/>
            <w:r>
              <w:rPr>
                <w:rFonts w:ascii="Figtree" w:hAnsi="Figtree"/>
                <w:b w:val="0"/>
                <w:i w:val="0"/>
                <w:sz w:val="20"/>
              </w:rPr>
              <w:t>KSA</w:t>
            </w:r>
          </w:p>
        </w:tc>
        <w:tc>
          <w:tcPr>
            <w:tcW w:type="dxa" w:w="1949"/>
            <w:vAlign w:val="center"/>
          </w:tcPr>
          <w:p>
            <w:pPr>
              <w:spacing w:line="276" w:lineRule="auto" w:before="0" w:after="0"/>
            </w:pPr>
            <w:r/>
            <w:r>
              <w:rPr>
                <w:rFonts w:ascii="Figtree" w:hAnsi="Figtree"/>
                <w:b w:val="0"/>
                <w:i w:val="0"/>
                <w:sz w:val="20"/>
              </w:rPr>
              <w:t>Real Estate Registry</w:t>
            </w:r>
          </w:p>
        </w:tc>
        <w:tc>
          <w:tcPr>
            <w:tcW w:type="dxa" w:w="1949"/>
            <w:vAlign w:val="center"/>
          </w:tcPr>
          <w:p>
            <w:pPr>
              <w:spacing w:line="276" w:lineRule="auto" w:before="0" w:after="0"/>
            </w:pPr>
            <w:r/>
            <w:r>
              <w:rPr>
                <w:rFonts w:ascii="Figtree" w:hAnsi="Figtree"/>
                <w:b w:val="0"/>
                <w:i w:val="0"/>
                <w:sz w:val="20"/>
              </w:rPr>
              <w:t>Sovereign</w:t>
            </w:r>
          </w:p>
        </w:tc>
        <w:tc>
          <w:tcPr>
            <w:tcW w:type="dxa" w:w="1949"/>
            <w:vAlign w:val="center"/>
          </w:tcPr>
          <w:p>
            <w:pPr>
              <w:spacing w:line="276" w:lineRule="auto" w:before="0" w:after="0"/>
            </w:pPr>
            <w:r/>
            <w:r>
              <w:rPr>
                <w:rFonts w:ascii="Figtree" w:hAnsi="Figtree"/>
                <w:b w:val="0"/>
                <w:i w:val="0"/>
                <w:sz w:val="20"/>
              </w:rPr>
              <w:t>Country-scale</w:t>
            </w:r>
          </w:p>
        </w:tc>
      </w:tr>
    </w:tbl>
    <w:p>
      <w:pPr>
        <w:spacing w:before="0" w:after="0" w:line="120" w:lineRule="exact"/>
      </w:pPr>
    </w:p>
    <w:p>
      <w:r>
        <w:br w:type="page"/>
      </w:r>
    </w:p>
    <w:p>
      <w:pPr>
        <w:pStyle w:val="H2"/>
        <w:numPr>
          <w:ilvl w:val="1"/>
          <w:numId w:val="1"/>
        </w:numPr>
      </w:pPr>
      <w:r>
        <w:t>Next Steps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678"/>
        <w:gridCol w:w="724"/>
        <w:gridCol w:w="848"/>
        <w:gridCol w:w="382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Step</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Owner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Target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Output</w:t>
            </w:r>
          </w:p>
        </w:tc>
      </w:tr>
      <w:tr>
        <w:trPr>
          <w:trHeight w:val="425" w:hRule="atLeast"/>
        </w:trPr>
        <w:tc>
          <w:tcPr>
            <w:tcW w:type="dxa" w:w="2436"/>
            <w:vAlign w:val="center"/>
          </w:tcPr>
          <w:p>
            <w:pPr>
              <w:spacing w:line="276" w:lineRule="auto" w:before="0" w:after="0"/>
            </w:pPr>
            <w:r/>
            <w:r>
              <w:rPr>
                <w:rFonts w:ascii="Figtree" w:hAnsi="Figtree"/>
                <w:b w:val="0"/>
                <w:i w:val="0"/>
                <w:sz w:val="20"/>
              </w:rPr>
              <w:t>Commercial discussion</w:t>
            </w:r>
          </w:p>
        </w:tc>
        <w:tc>
          <w:tcPr>
            <w:tcW w:type="dxa" w:w="2436"/>
            <w:vAlign w:val="center"/>
          </w:tcPr>
          <w:p>
            <w:pPr>
              <w:spacing w:line="276" w:lineRule="auto" w:before="0" w:after="0"/>
            </w:pPr>
            <w:r/>
            <w:r>
              <w:rPr>
                <w:rFonts w:ascii="Figtree" w:hAnsi="Figtree"/>
                <w:b w:val="0"/>
                <w:i w:val="0"/>
                <w:sz w:val="20"/>
              </w:rPr>
              <w:t>Joint</w:t>
            </w:r>
          </w:p>
        </w:tc>
        <w:tc>
          <w:tcPr>
            <w:tcW w:type="dxa" w:w="2436"/>
            <w:vAlign w:val="center"/>
          </w:tcPr>
          <w:p>
            <w:pPr>
              <w:spacing w:line="276" w:lineRule="auto" w:before="0" w:after="0"/>
            </w:pPr>
            <w:r/>
            <w:r>
              <w:rPr>
                <w:rFonts w:ascii="Figtree" w:hAnsi="Figtree"/>
                <w:b w:val="0"/>
                <w:i w:val="0"/>
                <w:sz w:val="20"/>
              </w:rPr>
              <w:t>Week 1</w:t>
            </w:r>
          </w:p>
        </w:tc>
        <w:tc>
          <w:tcPr>
            <w:tcW w:type="dxa" w:w="2436"/>
            <w:vAlign w:val="center"/>
          </w:tcPr>
          <w:p>
            <w:pPr>
              <w:spacing w:line="276" w:lineRule="auto" w:before="0" w:after="0"/>
            </w:pPr>
            <w:r/>
            <w:r>
              <w:rPr>
                <w:rFonts w:ascii="Figtree" w:hAnsi="Figtree"/>
                <w:b w:val="0"/>
                <w:i w:val="0"/>
                <w:sz w:val="20"/>
              </w:rPr>
              <w:t>Validated pricing</w:t>
            </w:r>
          </w:p>
        </w:tc>
      </w:tr>
      <w:tr>
        <w:trPr>
          <w:trHeight w:val="425" w:hRule="atLeast"/>
        </w:trPr>
        <w:tc>
          <w:tcPr>
            <w:tcW w:type="dxa" w:w="2436"/>
            <w:vAlign w:val="center"/>
          </w:tcPr>
          <w:p>
            <w:pPr>
              <w:spacing w:line="276" w:lineRule="auto" w:before="0" w:after="0"/>
            </w:pPr>
            <w:r/>
            <w:r>
              <w:rPr>
                <w:rFonts w:ascii="Figtree" w:hAnsi="Figtree"/>
                <w:b w:val="0"/>
                <w:i w:val="0"/>
                <w:sz w:val="20"/>
              </w:rPr>
              <w:t>Scoping workshop</w:t>
            </w:r>
          </w:p>
        </w:tc>
        <w:tc>
          <w:tcPr>
            <w:tcW w:type="dxa" w:w="2436"/>
            <w:vAlign w:val="center"/>
          </w:tcPr>
          <w:p>
            <w:pPr>
              <w:spacing w:line="276" w:lineRule="auto" w:before="0" w:after="0"/>
            </w:pPr>
            <w:r/>
            <w:r>
              <w:rPr>
                <w:rFonts w:ascii="Figtree" w:hAnsi="Figtree"/>
                <w:b w:val="0"/>
                <w:i w:val="0"/>
                <w:sz w:val="20"/>
              </w:rPr>
              <w:t>Joint</w:t>
            </w:r>
          </w:p>
        </w:tc>
        <w:tc>
          <w:tcPr>
            <w:tcW w:type="dxa" w:w="2436"/>
            <w:vAlign w:val="center"/>
          </w:tcPr>
          <w:p>
            <w:pPr>
              <w:spacing w:line="276" w:lineRule="auto" w:before="0" w:after="0"/>
            </w:pPr>
            <w:r/>
            <w:r>
              <w:rPr>
                <w:rFonts w:ascii="Figtree" w:hAnsi="Figtree"/>
                <w:b w:val="0"/>
                <w:i w:val="0"/>
                <w:sz w:val="20"/>
              </w:rPr>
              <w:t>Week 2</w:t>
            </w:r>
          </w:p>
        </w:tc>
        <w:tc>
          <w:tcPr>
            <w:tcW w:type="dxa" w:w="2436"/>
            <w:vAlign w:val="center"/>
          </w:tcPr>
          <w:p>
            <w:pPr>
              <w:spacing w:line="276" w:lineRule="auto" w:before="0" w:after="0"/>
            </w:pPr>
            <w:r/>
            <w:r>
              <w:rPr>
                <w:rFonts w:ascii="Figtree" w:hAnsi="Figtree"/>
                <w:b w:val="0"/>
                <w:i w:val="0"/>
                <w:sz w:val="20"/>
              </w:rPr>
              <w:t>Refined scope</w:t>
            </w:r>
          </w:p>
        </w:tc>
      </w:tr>
      <w:tr>
        <w:trPr>
          <w:trHeight w:val="425" w:hRule="atLeast"/>
        </w:trPr>
        <w:tc>
          <w:tcPr>
            <w:tcW w:type="dxa" w:w="2436"/>
            <w:vAlign w:val="center"/>
          </w:tcPr>
          <w:p>
            <w:pPr>
              <w:spacing w:line="276" w:lineRule="auto" w:before="0" w:after="0"/>
            </w:pPr>
            <w:r/>
            <w:r>
              <w:rPr>
                <w:rFonts w:ascii="Figtree" w:hAnsi="Figtree"/>
                <w:b w:val="0"/>
                <w:i w:val="0"/>
                <w:sz w:val="20"/>
              </w:rPr>
              <w:t>Custody provider selection</w:t>
            </w:r>
          </w:p>
        </w:tc>
        <w:tc>
          <w:tcPr>
            <w:tcW w:type="dxa" w:w="2436"/>
            <w:vAlign w:val="center"/>
          </w:tcPr>
          <w:p>
            <w:pPr>
              <w:spacing w:line="276" w:lineRule="auto" w:before="0" w:after="0"/>
            </w:pPr>
            <w:r/>
            <w:r>
              <w:rPr>
                <w:rFonts w:ascii="Figtree" w:hAnsi="Figtree"/>
                <w:b w:val="0"/>
                <w:i w:val="0"/>
                <w:sz w:val="20"/>
              </w:rPr>
              <w:t>FAB</w:t>
            </w:r>
          </w:p>
        </w:tc>
        <w:tc>
          <w:tcPr>
            <w:tcW w:type="dxa" w:w="2436"/>
            <w:vAlign w:val="center"/>
          </w:tcPr>
          <w:p>
            <w:pPr>
              <w:spacing w:line="276" w:lineRule="auto" w:before="0" w:after="0"/>
            </w:pPr>
            <w:r/>
            <w:r>
              <w:rPr>
                <w:rFonts w:ascii="Figtree" w:hAnsi="Figtree"/>
                <w:b w:val="0"/>
                <w:i w:val="0"/>
                <w:sz w:val="20"/>
              </w:rPr>
              <w:t>Week 3</w:t>
            </w:r>
          </w:p>
        </w:tc>
        <w:tc>
          <w:tcPr>
            <w:tcW w:type="dxa" w:w="2436"/>
            <w:vAlign w:val="center"/>
          </w:tcPr>
          <w:p>
            <w:pPr>
              <w:spacing w:line="276" w:lineRule="auto" w:before="0" w:after="0"/>
            </w:pPr>
            <w:r/>
            <w:r>
              <w:rPr>
                <w:rFonts w:ascii="Figtree" w:hAnsi="Figtree"/>
                <w:b w:val="0"/>
                <w:i w:val="0"/>
                <w:sz w:val="20"/>
              </w:rPr>
              <w:t>DFNS or Fireblocks decision</w:t>
            </w:r>
          </w:p>
        </w:tc>
      </w:tr>
      <w:tr>
        <w:trPr>
          <w:trHeight w:val="425" w:hRule="atLeast"/>
        </w:trPr>
        <w:tc>
          <w:tcPr>
            <w:tcW w:type="dxa" w:w="2436"/>
            <w:vAlign w:val="center"/>
          </w:tcPr>
          <w:p>
            <w:pPr>
              <w:spacing w:line="276" w:lineRule="auto" w:before="0" w:after="0"/>
            </w:pPr>
            <w:r/>
            <w:r>
              <w:rPr>
                <w:rFonts w:ascii="Figtree" w:hAnsi="Figtree"/>
                <w:b w:val="0"/>
                <w:i w:val="0"/>
                <w:sz w:val="20"/>
              </w:rPr>
              <w:t>Contract execution</w:t>
            </w:r>
          </w:p>
        </w:tc>
        <w:tc>
          <w:tcPr>
            <w:tcW w:type="dxa" w:w="2436"/>
            <w:vAlign w:val="center"/>
          </w:tcPr>
          <w:p>
            <w:pPr>
              <w:spacing w:line="276" w:lineRule="auto" w:before="0" w:after="0"/>
            </w:pPr>
            <w:r/>
            <w:r>
              <w:rPr>
                <w:rFonts w:ascii="Figtree" w:hAnsi="Figtree"/>
                <w:b w:val="0"/>
                <w:i w:val="0"/>
                <w:sz w:val="20"/>
              </w:rPr>
              <w:t>Joint</w:t>
            </w:r>
          </w:p>
        </w:tc>
        <w:tc>
          <w:tcPr>
            <w:tcW w:type="dxa" w:w="2436"/>
            <w:vAlign w:val="center"/>
          </w:tcPr>
          <w:p>
            <w:pPr>
              <w:spacing w:line="276" w:lineRule="auto" w:before="0" w:after="0"/>
            </w:pPr>
            <w:r/>
            <w:r>
              <w:rPr>
                <w:rFonts w:ascii="Figtree" w:hAnsi="Figtree"/>
                <w:b w:val="0"/>
                <w:i w:val="0"/>
                <w:sz w:val="20"/>
              </w:rPr>
              <w:t>Week 4</w:t>
            </w:r>
          </w:p>
        </w:tc>
        <w:tc>
          <w:tcPr>
            <w:tcW w:type="dxa" w:w="2436"/>
            <w:vAlign w:val="center"/>
          </w:tcPr>
          <w:p>
            <w:pPr>
              <w:spacing w:line="276" w:lineRule="auto" w:before="0" w:after="0"/>
            </w:pPr>
            <w:r/>
            <w:r>
              <w:rPr>
                <w:rFonts w:ascii="Figtree" w:hAnsi="Figtree"/>
                <w:b w:val="0"/>
                <w:i w:val="0"/>
                <w:sz w:val="20"/>
              </w:rPr>
              <w:t>Signed agreements</w:t>
            </w:r>
          </w:p>
        </w:tc>
      </w:tr>
      <w:tr>
        <w:trPr>
          <w:trHeight w:val="425" w:hRule="atLeast"/>
        </w:trPr>
        <w:tc>
          <w:tcPr>
            <w:tcW w:type="dxa" w:w="2436"/>
            <w:vAlign w:val="center"/>
          </w:tcPr>
          <w:p>
            <w:pPr>
              <w:spacing w:line="276" w:lineRule="auto" w:before="0" w:after="0"/>
            </w:pPr>
            <w:r/>
            <w:r>
              <w:rPr>
                <w:rFonts w:ascii="Figtree" w:hAnsi="Figtree"/>
                <w:b w:val="0"/>
                <w:i w:val="0"/>
                <w:sz w:val="20"/>
              </w:rPr>
              <w:t>Phase 1 kickoff</w:t>
            </w:r>
          </w:p>
        </w:tc>
        <w:tc>
          <w:tcPr>
            <w:tcW w:type="dxa" w:w="2436"/>
            <w:vAlign w:val="center"/>
          </w:tcPr>
          <w:p>
            <w:pPr>
              <w:spacing w:line="276" w:lineRule="auto" w:before="0" w:after="0"/>
            </w:pPr>
            <w:r/>
            <w:r>
              <w:rPr>
                <w:rFonts w:ascii="Figtree" w:hAnsi="Figtree"/>
                <w:b w:val="0"/>
                <w:i w:val="0"/>
                <w:sz w:val="20"/>
              </w:rPr>
              <w:t>Joint</w:t>
            </w:r>
          </w:p>
        </w:tc>
        <w:tc>
          <w:tcPr>
            <w:tcW w:type="dxa" w:w="2436"/>
            <w:vAlign w:val="center"/>
          </w:tcPr>
          <w:p>
            <w:pPr>
              <w:spacing w:line="276" w:lineRule="auto" w:before="0" w:after="0"/>
            </w:pPr>
            <w:r/>
            <w:r>
              <w:rPr>
                <w:rFonts w:ascii="Figtree" w:hAnsi="Figtree"/>
                <w:b w:val="0"/>
                <w:i w:val="0"/>
                <w:sz w:val="20"/>
              </w:rPr>
              <w:t>Week 5</w:t>
            </w:r>
          </w:p>
        </w:tc>
        <w:tc>
          <w:tcPr>
            <w:tcW w:type="dxa" w:w="2436"/>
            <w:vAlign w:val="center"/>
          </w:tcPr>
          <w:p>
            <w:pPr>
              <w:spacing w:line="276" w:lineRule="auto" w:before="0" w:after="0"/>
            </w:pPr>
            <w:r/>
            <w:r>
              <w:rPr>
                <w:rFonts w:ascii="Figtree" w:hAnsi="Figtree"/>
                <w:b w:val="0"/>
                <w:i w:val="0"/>
                <w:sz w:val="20"/>
              </w:rPr>
              <w:t>Mobilization</w:t>
            </w:r>
          </w:p>
        </w:tc>
      </w:tr>
    </w:tbl>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