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Executive Summary</w:t>
          </w:r>
          <w:r>
            <w:tab/>
          </w:r>
          <w:r>
            <w:t xml:space="preserve">4</w:t>
          </w:r>
        </w:p>
        <w:p>
          <w:pPr>
            <w:pStyle w:val="TOC2"/>
            <w:tabs>
              <w:tab w:val="right" w:leader="dot" w:pos="9072"/>
            </w:tabs>
          </w:pPr>
          <w:r>
            <w:t xml:space="preserve">About SettleMint</w:t>
          </w:r>
          <w:r>
            <w:tab/>
          </w:r>
          <w:r>
            <w:t xml:space="preserve">5</w:t>
          </w:r>
        </w:p>
        <w:p>
          <w:pPr>
            <w:pStyle w:val="TOC3"/>
            <w:tabs>
              <w:tab w:val="right" w:leader="dot" w:pos="9072"/>
            </w:tabs>
          </w:pPr>
          <w:r>
            <w:t xml:space="preserve">Company Overview</w:t>
          </w:r>
          <w:r>
            <w:tab/>
          </w:r>
          <w:r>
            <w:t xml:space="preserve">6</w:t>
          </w:r>
        </w:p>
        <w:p>
          <w:pPr>
            <w:pStyle w:val="TOC3"/>
            <w:tabs>
              <w:tab w:val="right" w:leader="dot" w:pos="9072"/>
            </w:tabs>
          </w:pPr>
          <w:r>
            <w:t xml:space="preserve">Production Credentials</w:t>
          </w:r>
          <w:r>
            <w:tab/>
          </w:r>
          <w:r>
            <w:t xml:space="preserve">7</w:t>
          </w:r>
        </w:p>
        <w:p>
          <w:pPr>
            <w:pStyle w:val="TOC3"/>
            <w:tabs>
              <w:tab w:val="right" w:leader="dot" w:pos="9072"/>
            </w:tabs>
          </w:pPr>
          <w:r>
            <w:t xml:space="preserve">Relevance to First Abu Dhabi Bank</w:t>
          </w:r>
          <w:r>
            <w:tab/>
          </w:r>
          <w:r>
            <w:t xml:space="preserve">8</w:t>
          </w:r>
        </w:p>
        <w:p>
          <w:pPr>
            <w:pStyle w:val="TOC2"/>
            <w:tabs>
              <w:tab w:val="right" w:leader="dot" w:pos="9072"/>
            </w:tabs>
          </w:pPr>
          <w:r>
            <w:t xml:space="preserve">About DALP</w:t>
          </w:r>
          <w:r>
            <w:tab/>
          </w:r>
          <w:r>
            <w:t xml:space="preserve">9</w:t>
          </w:r>
        </w:p>
        <w:p>
          <w:pPr>
            <w:pStyle w:val="TOC3"/>
            <w:tabs>
              <w:tab w:val="right" w:leader="dot" w:pos="9072"/>
            </w:tabs>
          </w:pPr>
          <w:r>
            <w:t xml:space="preserve">Platform Overview</w:t>
          </w:r>
          <w:r>
            <w:tab/>
          </w:r>
          <w:r>
            <w:t xml:space="preserve">10</w:t>
          </w:r>
        </w:p>
        <w:p>
          <w:pPr>
            <w:pStyle w:val="TOC3"/>
            <w:tabs>
              <w:tab w:val="right" w:leader="dot" w:pos="9072"/>
            </w:tabs>
          </w:pPr>
          <w:r>
            <w:t xml:space="preserve">Core Lifecycle Pillars</w:t>
          </w:r>
          <w:r>
            <w:tab/>
          </w:r>
          <w:r>
            <w:t xml:space="preserve">11</w:t>
          </w:r>
        </w:p>
        <w:p>
          <w:pPr>
            <w:pStyle w:val="TOC3"/>
            <w:tabs>
              <w:tab w:val="right" w:leader="dot" w:pos="9072"/>
            </w:tabs>
          </w:pPr>
          <w:r>
            <w:t xml:space="preserve">Key Guardian Custody Architecture</w:t>
          </w:r>
          <w:r>
            <w:tab/>
          </w:r>
          <w:r>
            <w:t xml:space="preserve">12</w:t>
          </w:r>
        </w:p>
        <w:p>
          <w:pPr>
            <w:pStyle w:val="TOC2"/>
            <w:tabs>
              <w:tab w:val="right" w:leader="dot" w:pos="9072"/>
            </w:tabs>
          </w:pPr>
          <w:r>
            <w:t xml:space="preserve">Understanding FAB's Programme Objectives</w:t>
          </w:r>
          <w:r>
            <w:tab/>
          </w:r>
          <w:r>
            <w:t xml:space="preserve">13</w:t>
          </w:r>
        </w:p>
        <w:p>
          <w:pPr>
            <w:pStyle w:val="TOC3"/>
            <w:tabs>
              <w:tab w:val="right" w:leader="dot" w:pos="9072"/>
            </w:tabs>
          </w:pPr>
          <w:r>
            <w:t xml:space="preserve">Client Context</w:t>
          </w:r>
          <w:r>
            <w:tab/>
          </w:r>
          <w:r>
            <w:t xml:space="preserve">14</w:t>
          </w:r>
        </w:p>
        <w:p>
          <w:pPr>
            <w:pStyle w:val="TOC3"/>
            <w:tabs>
              <w:tab w:val="right" w:leader="dot" w:pos="9072"/>
            </w:tabs>
          </w:pPr>
          <w:r>
            <w:t xml:space="preserve">Regulatory Context: UAE</w:t>
          </w:r>
          <w:r>
            <w:tab/>
          </w:r>
          <w:r>
            <w:t xml:space="preserve">15</w:t>
          </w:r>
        </w:p>
        <w:p>
          <w:pPr>
            <w:pStyle w:val="TOC2"/>
            <w:tabs>
              <w:tab w:val="right" w:leader="dot" w:pos="9072"/>
            </w:tabs>
          </w:pPr>
          <w:r>
            <w:t xml:space="preserve">Customer References</w:t>
          </w:r>
          <w:r>
            <w:tab/>
          </w:r>
          <w:r>
            <w:t xml:space="preserve">16</w:t>
          </w:r>
        </w:p>
        <w:p>
          <w:pPr>
            <w:pStyle w:val="TOC3"/>
            <w:tabs>
              <w:tab w:val="right" w:leader="dot" w:pos="9072"/>
            </w:tabs>
          </w:pPr>
          <w:r>
            <w:t xml:space="preserve">Reference Fit for Custody</w:t>
          </w:r>
          <w:r>
            <w:tab/>
          </w:r>
          <w:r>
            <w:t xml:space="preserve">17</w:t>
          </w:r>
        </w:p>
        <w:p>
          <w:pPr>
            <w:pStyle w:val="TOC3"/>
            <w:tabs>
              <w:tab w:val="right" w:leader="dot" w:pos="9072"/>
            </w:tabs>
          </w:pPr>
          <w:r>
            <w:t xml:space="preserve">Expanded Reference: ADI Finstreet — Abu Dhabi</w:t>
          </w:r>
          <w:r>
            <w:tab/>
          </w:r>
          <w:r>
            <w:t xml:space="preserve">18</w:t>
          </w:r>
        </w:p>
        <w:p>
          <w:pPr>
            <w:pStyle w:val="TOC3"/>
            <w:tabs>
              <w:tab w:val="right" w:leader="dot" w:pos="9072"/>
            </w:tabs>
          </w:pPr>
          <w:r>
            <w:t xml:space="preserve">Expanded Reference: OCBC Bank — Security Token Engine</w:t>
          </w:r>
          <w:r>
            <w:tab/>
          </w:r>
          <w:r>
            <w:t xml:space="preserve">19</w:t>
          </w:r>
        </w:p>
        <w:p>
          <w:pPr>
            <w:pStyle w:val="TOC2"/>
            <w:tabs>
              <w:tab w:val="right" w:leader="dot" w:pos="9072"/>
            </w:tabs>
          </w:pPr>
          <w:r>
            <w:t xml:space="preserve">Proposed Solution and Functional Capabilities</w:t>
          </w:r>
          <w:r>
            <w:tab/>
          </w:r>
          <w:r>
            <w:t xml:space="preserve">20</w:t>
          </w:r>
        </w:p>
        <w:p>
          <w:pPr>
            <w:pStyle w:val="TOC3"/>
            <w:tabs>
              <w:tab w:val="right" w:leader="dot" w:pos="9072"/>
            </w:tabs>
          </w:pPr>
          <w:r>
            <w:t xml:space="preserve">Solution Overview</w:t>
          </w:r>
          <w:r>
            <w:tab/>
          </w:r>
          <w:r>
            <w:t xml:space="preserve">21</w:t>
          </w:r>
        </w:p>
        <w:p>
          <w:pPr>
            <w:pStyle w:val="TOC3"/>
            <w:tabs>
              <w:tab w:val="right" w:leader="dot" w:pos="9072"/>
            </w:tabs>
          </w:pPr>
          <w:r>
            <w:t xml:space="preserve">Custody Operations Architecture</w:t>
          </w:r>
          <w:r>
            <w:tab/>
          </w:r>
          <w:r>
            <w:t xml:space="preserve">22</w:t>
          </w:r>
        </w:p>
        <w:p>
          <w:pPr>
            <w:pStyle w:val="TOC3"/>
            <w:tabs>
              <w:tab w:val="right" w:leader="dot" w:pos="9072"/>
            </w:tabs>
          </w:pPr>
          <w:r>
            <w:t xml:space="preserve">Identity and Eligibility for Private Banking</w:t>
          </w:r>
          <w:r>
            <w:tab/>
          </w:r>
          <w:r>
            <w:t xml:space="preserve">23</w:t>
          </w:r>
        </w:p>
        <w:p>
          <w:pPr>
            <w:pStyle w:val="TOC3"/>
            <w:tabs>
              <w:tab w:val="right" w:leader="dot" w:pos="9072"/>
            </w:tabs>
          </w:pPr>
          <w:r>
            <w:t xml:space="preserve">Asset Classes for Distribution</w:t>
          </w:r>
          <w:r>
            <w:tab/>
          </w:r>
          <w:r>
            <w:t xml:space="preserve">24</w:t>
          </w:r>
        </w:p>
        <w:p>
          <w:pPr>
            <w:pStyle w:val="TOC3"/>
            <w:tabs>
              <w:tab w:val="right" w:leader="dot" w:pos="9072"/>
            </w:tabs>
          </w:pPr>
          <w:r>
            <w:t xml:space="preserve">Functional Fit Matrix</w:t>
          </w:r>
          <w:r>
            <w:tab/>
          </w:r>
          <w:r>
            <w:t xml:space="preserve">25</w:t>
          </w:r>
        </w:p>
        <w:p>
          <w:pPr>
            <w:pStyle w:val="TOC2"/>
            <w:tabs>
              <w:tab w:val="right" w:leader="dot" w:pos="9072"/>
            </w:tabs>
          </w:pPr>
          <w:r>
            <w:t xml:space="preserve">Technical Architecture</w:t>
          </w:r>
          <w:r>
            <w:tab/>
          </w:r>
          <w:r>
            <w:t xml:space="preserve">26</w:t>
          </w:r>
        </w:p>
        <w:p>
          <w:pPr>
            <w:pStyle w:val="TOC3"/>
            <w:tabs>
              <w:tab w:val="right" w:leader="dot" w:pos="9072"/>
            </w:tabs>
          </w:pPr>
          <w:r>
            <w:t xml:space="preserve">Layered Architecture</w:t>
          </w:r>
          <w:r>
            <w:tab/>
          </w:r>
          <w:r>
            <w:t xml:space="preserve">27</w:t>
          </w:r>
        </w:p>
        <w:p>
          <w:pPr>
            <w:pStyle w:val="TOC3"/>
            <w:tabs>
              <w:tab w:val="right" w:leader="dot" w:pos="9072"/>
            </w:tabs>
          </w:pPr>
          <w:r>
            <w:t xml:space="preserve">Data Architecture</w:t>
          </w:r>
          <w:r>
            <w:tab/>
          </w:r>
          <w:r>
            <w:t xml:space="preserve">28</w:t>
          </w:r>
        </w:p>
        <w:p>
          <w:pPr>
            <w:pStyle w:val="TOC3"/>
            <w:tabs>
              <w:tab w:val="right" w:leader="dot" w:pos="9072"/>
            </w:tabs>
          </w:pPr>
          <w:r>
            <w:t xml:space="preserve">Network Configuration</w:t>
          </w:r>
          <w:r>
            <w:tab/>
          </w:r>
          <w:r>
            <w:t xml:space="preserve">29</w:t>
          </w:r>
        </w:p>
        <w:p>
          <w:pPr>
            <w:pStyle w:val="TOC2"/>
            <w:tabs>
              <w:tab w:val="right" w:leader="dot" w:pos="9072"/>
            </w:tabs>
          </w:pPr>
          <w:r>
            <w:t xml:space="preserve">Security, Resilience, and Operational Assurance</w:t>
          </w:r>
          <w:r>
            <w:tab/>
          </w:r>
          <w:r>
            <w:t xml:space="preserve">30</w:t>
          </w:r>
        </w:p>
        <w:p>
          <w:pPr>
            <w:pStyle w:val="TOC3"/>
            <w:tabs>
              <w:tab w:val="right" w:leader="dot" w:pos="9072"/>
            </w:tabs>
          </w:pPr>
          <w:r>
            <w:t xml:space="preserve">Defense-in-Depth Security Model</w:t>
          </w:r>
          <w:r>
            <w:tab/>
          </w:r>
          <w:r>
            <w:t xml:space="preserve">31</w:t>
          </w:r>
        </w:p>
        <w:p>
          <w:pPr>
            <w:pStyle w:val="TOC3"/>
            <w:tabs>
              <w:tab w:val="right" w:leader="dot" w:pos="9072"/>
            </w:tabs>
          </w:pPr>
          <w:r>
            <w:t xml:space="preserve">Wallet Verification Detail</w:t>
          </w:r>
          <w:r>
            <w:tab/>
          </w:r>
          <w:r>
            <w:t xml:space="preserve">32</w:t>
          </w:r>
        </w:p>
        <w:p>
          <w:pPr>
            <w:pStyle w:val="TOC3"/>
            <w:tabs>
              <w:tab w:val="right" w:leader="dot" w:pos="9072"/>
            </w:tabs>
          </w:pPr>
          <w:r>
            <w:t xml:space="preserve">Certifications</w:t>
          </w:r>
          <w:r>
            <w:tab/>
          </w:r>
          <w:r>
            <w:t xml:space="preserve">33</w:t>
          </w:r>
        </w:p>
        <w:p>
          <w:pPr>
            <w:pStyle w:val="TOC2"/>
            <w:tabs>
              <w:tab w:val="right" w:leader="dot" w:pos="9072"/>
            </w:tabs>
          </w:pPr>
          <w:r>
            <w:t xml:space="preserve">Implementation Approach and Delivery Phases</w:t>
          </w:r>
          <w:r>
            <w:tab/>
          </w:r>
          <w:r>
            <w:t xml:space="preserve">34</w:t>
          </w:r>
        </w:p>
        <w:p>
          <w:pPr>
            <w:pStyle w:val="TOC3"/>
            <w:tabs>
              <w:tab w:val="right" w:leader="dot" w:pos="9072"/>
            </w:tabs>
          </w:pPr>
          <w:r>
            <w:t xml:space="preserve">19-Week Implementation Timeline</w:t>
          </w:r>
          <w:r>
            <w:tab/>
          </w:r>
          <w:r>
            <w:t xml:space="preserve">35</w:t>
          </w:r>
        </w:p>
        <w:p>
          <w:pPr>
            <w:pStyle w:val="TOC3"/>
            <w:tabs>
              <w:tab w:val="right" w:leader="dot" w:pos="9072"/>
            </w:tabs>
          </w:pPr>
          <w:r>
            <w:t xml:space="preserve">Resource Model</w:t>
          </w:r>
          <w:r>
            <w:tab/>
          </w:r>
          <w:r>
            <w:t xml:space="preserve">36</w:t>
          </w:r>
        </w:p>
        <w:p>
          <w:pPr>
            <w:pStyle w:val="TOC2"/>
            <w:tabs>
              <w:tab w:val="right" w:leader="dot" w:pos="9072"/>
            </w:tabs>
          </w:pPr>
          <w:r>
            <w:t xml:space="preserve">Deployment Model</w:t>
          </w:r>
          <w:r>
            <w:tab/>
          </w:r>
          <w:r>
            <w:t xml:space="preserve">37</w:t>
          </w:r>
        </w:p>
        <w:p>
          <w:pPr>
            <w:pStyle w:val="TOC3"/>
            <w:tabs>
              <w:tab w:val="right" w:leader="dot" w:pos="9072"/>
            </w:tabs>
          </w:pPr>
          <w:r>
            <w:t xml:space="preserve">Recommended: Dedicated Cloud (UAE-Resident)</w:t>
          </w:r>
          <w:r>
            <w:tab/>
          </w:r>
          <w:r>
            <w:t xml:space="preserve">38</w:t>
          </w:r>
        </w:p>
        <w:p>
          <w:pPr>
            <w:pStyle w:val="TOC2"/>
            <w:tabs>
              <w:tab w:val="right" w:leader="dot" w:pos="9072"/>
            </w:tabs>
          </w:pPr>
          <w:r>
            <w:t xml:space="preserve">Support and SLA</w:t>
          </w:r>
          <w:r>
            <w:tab/>
          </w:r>
          <w:r>
            <w:t xml:space="preserve">39</w:t>
          </w:r>
        </w:p>
        <w:p>
          <w:pPr>
            <w:pStyle w:val="TOC3"/>
            <w:tabs>
              <w:tab w:val="right" w:leader="dot" w:pos="9072"/>
            </w:tabs>
          </w:pPr>
          <w:r>
            <w:t xml:space="preserve">Recommended: Premium Support</w:t>
          </w:r>
          <w:r>
            <w:tab/>
          </w:r>
          <w:r>
            <w:t xml:space="preserve">40</w:t>
          </w:r>
        </w:p>
        <w:p>
          <w:pPr>
            <w:pStyle w:val="TOC2"/>
            <w:tabs>
              <w:tab w:val="right" w:leader="dot" w:pos="9072"/>
            </w:tabs>
          </w:pPr>
          <w:r>
            <w:t xml:space="preserve">Risk Management</w:t>
          </w:r>
          <w:r>
            <w:tab/>
          </w:r>
          <w:r>
            <w:t xml:space="preserve">41</w:t>
          </w:r>
        </w:p>
        <w:p>
          <w:pPr>
            <w:pStyle w:val="TOC2"/>
            <w:tabs>
              <w:tab w:val="right" w:leader="dot" w:pos="9072"/>
            </w:tabs>
          </w:pPr>
          <w:r>
            <w:t xml:space="preserve">Current Coverage, Dependencies, and Qualified Gaps</w:t>
          </w:r>
          <w:r>
            <w:tab/>
          </w:r>
          <w:r>
            <w:t xml:space="preserve">42</w:t>
          </w:r>
        </w:p>
        <w:p>
          <w:pPr>
            <w:pStyle w:val="TOC2"/>
            <w:tabs>
              <w:tab w:val="right" w:leader="dot" w:pos="9072"/>
            </w:tabs>
          </w:pPr>
          <w:r>
            <w:t xml:space="preserve">Compliance Matrix</w:t>
          </w:r>
          <w:r>
            <w:tab/>
          </w:r>
          <w:r>
            <w:t xml:space="preserve">43</w:t>
          </w:r>
        </w:p>
        <w:p>
          <w:pPr>
            <w:pStyle w:val="TOC2"/>
            <w:tabs>
              <w:tab w:val="right" w:leader="dot" w:pos="9072"/>
            </w:tabs>
          </w:pPr>
          <w:r>
            <w:t xml:space="preserve">Appendices</w:t>
          </w:r>
          <w:r>
            <w:tab/>
          </w:r>
          <w:r>
            <w:t xml:space="preserve">44</w:t>
          </w:r>
        </w:p>
        <w:p>
          <w:pPr>
            <w:pStyle w:val="TOC3"/>
            <w:tabs>
              <w:tab w:val="right" w:leader="dot" w:pos="9072"/>
            </w:tabs>
          </w:pPr>
          <w:r>
            <w:t xml:space="preserve">Glossary</w:t>
          </w:r>
          <w:r>
            <w:tab/>
          </w:r>
          <w:r>
            <w:t xml:space="preserve">45</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05"/>
        <w:gridCol w:w="736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Field</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Value</w:t>
            </w:r>
          </w:p>
        </w:tc>
      </w:tr>
      <w:tr>
        <w:trPr>
          <w:trHeight w:val="425" w:hRule="atLeast"/>
        </w:trPr>
        <w:tc>
          <w:tcPr>
            <w:tcW w:type="dxa" w:w="4873"/>
            <w:vAlign w:val="center"/>
          </w:tcPr>
          <w:p>
            <w:pPr>
              <w:spacing w:line="276" w:lineRule="auto" w:before="0" w:after="0"/>
            </w:pPr>
            <w:r/>
            <w:r>
              <w:rPr>
                <w:rFonts w:ascii="Figtree" w:hAnsi="Figtree"/>
                <w:b w:val="0"/>
                <w:i w:val="0"/>
                <w:sz w:val="20"/>
              </w:rPr>
              <w:t>Proposal title</w:t>
            </w:r>
          </w:p>
        </w:tc>
        <w:tc>
          <w:tcPr>
            <w:tcW w:type="dxa" w:w="4873"/>
            <w:vAlign w:val="center"/>
          </w:tcPr>
          <w:p>
            <w:pPr>
              <w:spacing w:line="276" w:lineRule="auto" w:before="0" w:after="0"/>
            </w:pPr>
            <w:r/>
            <w:r>
              <w:rPr>
                <w:rFonts w:ascii="Figtree" w:hAnsi="Figtree"/>
                <w:b w:val="0"/>
                <w:i w:val="0"/>
                <w:sz w:val="20"/>
              </w:rPr>
              <w:t>Technical Proposal — Digital Asset Custody for Institutional and Private Banking Distribution</w:t>
            </w:r>
          </w:p>
        </w:tc>
      </w:tr>
      <w:tr>
        <w:trPr>
          <w:trHeight w:val="425" w:hRule="atLeast"/>
        </w:trPr>
        <w:tc>
          <w:tcPr>
            <w:tcW w:type="dxa" w:w="4873"/>
            <w:vAlign w:val="center"/>
          </w:tcPr>
          <w:p>
            <w:pPr>
              <w:spacing w:line="276" w:lineRule="auto" w:before="0" w:after="0"/>
            </w:pPr>
            <w:r/>
            <w:r>
              <w:rPr>
                <w:rFonts w:ascii="Figtree" w:hAnsi="Figtree"/>
                <w:b w:val="0"/>
                <w:i w:val="0"/>
                <w:sz w:val="20"/>
              </w:rPr>
              <w:t>Client</w:t>
            </w:r>
          </w:p>
        </w:tc>
        <w:tc>
          <w:tcPr>
            <w:tcW w:type="dxa" w:w="4873"/>
            <w:vAlign w:val="center"/>
          </w:tcPr>
          <w:p>
            <w:pPr>
              <w:spacing w:line="276" w:lineRule="auto" w:before="0" w:after="0"/>
            </w:pPr>
            <w:r/>
            <w:r>
              <w:rPr>
                <w:rFonts w:ascii="Figtree" w:hAnsi="Figtree"/>
                <w:b w:val="0"/>
                <w:i w:val="0"/>
                <w:sz w:val="20"/>
              </w:rPr>
              <w:t>First Abu Dhabi Bank</w:t>
            </w:r>
          </w:p>
        </w:tc>
      </w:tr>
      <w:tr>
        <w:trPr>
          <w:trHeight w:val="425" w:hRule="atLeast"/>
        </w:trPr>
        <w:tc>
          <w:tcPr>
            <w:tcW w:type="dxa" w:w="4873"/>
            <w:vAlign w:val="center"/>
          </w:tcPr>
          <w:p>
            <w:pPr>
              <w:spacing w:line="276" w:lineRule="auto" w:before="0" w:after="0"/>
            </w:pPr>
            <w:r/>
            <w:r>
              <w:rPr>
                <w:rFonts w:ascii="Figtree" w:hAnsi="Figtree"/>
                <w:b w:val="0"/>
                <w:i w:val="0"/>
                <w:sz w:val="20"/>
              </w:rPr>
              <w:t>Submitted by</w:t>
            </w:r>
          </w:p>
        </w:tc>
        <w:tc>
          <w:tcPr>
            <w:tcW w:type="dxa" w:w="4873"/>
            <w:vAlign w:val="center"/>
          </w:tcPr>
          <w:p>
            <w:pPr>
              <w:spacing w:line="276" w:lineRule="auto" w:before="0" w:after="0"/>
            </w:pPr>
            <w:r/>
            <w:r>
              <w:rPr>
                <w:rFonts w:ascii="Figtree" w:hAnsi="Figtree"/>
                <w:b w:val="0"/>
                <w:i w:val="0"/>
                <w:sz w:val="20"/>
              </w:rPr>
              <w:t>SettleMint NV</w:t>
            </w:r>
          </w:p>
        </w:tc>
      </w:tr>
      <w:tr>
        <w:trPr>
          <w:trHeight w:val="425" w:hRule="atLeast"/>
        </w:trPr>
        <w:tc>
          <w:tcPr>
            <w:tcW w:type="dxa" w:w="4873"/>
            <w:vAlign w:val="center"/>
          </w:tcPr>
          <w:p>
            <w:pPr>
              <w:spacing w:line="276" w:lineRule="auto" w:before="0" w:after="0"/>
            </w:pPr>
            <w:r/>
            <w:r>
              <w:rPr>
                <w:rFonts w:ascii="Figtree" w:hAnsi="Figtree"/>
                <w:b w:val="0"/>
                <w:i w:val="0"/>
                <w:sz w:val="20"/>
              </w:rPr>
              <w:t>Date</w:t>
            </w:r>
          </w:p>
        </w:tc>
        <w:tc>
          <w:tcPr>
            <w:tcW w:type="dxa" w:w="4873"/>
            <w:vAlign w:val="center"/>
          </w:tcPr>
          <w:p>
            <w:pPr>
              <w:spacing w:line="276" w:lineRule="auto" w:before="0" w:after="0"/>
            </w:pPr>
            <w:r/>
            <w:r>
              <w:rPr>
                <w:rFonts w:ascii="Figtree" w:hAnsi="Figtree"/>
                <w:b w:val="0"/>
                <w:i w:val="0"/>
                <w:sz w:val="20"/>
              </w:rPr>
              <w:t>March 2026</w:t>
            </w:r>
          </w:p>
        </w:tc>
      </w:tr>
      <w:tr>
        <w:trPr>
          <w:trHeight w:val="425" w:hRule="atLeast"/>
        </w:trPr>
        <w:tc>
          <w:tcPr>
            <w:tcW w:type="dxa" w:w="4873"/>
            <w:vAlign w:val="center"/>
          </w:tcPr>
          <w:p>
            <w:pPr>
              <w:spacing w:line="276" w:lineRule="auto" w:before="0" w:after="0"/>
            </w:pPr>
            <w:r/>
            <w:r>
              <w:rPr>
                <w:rFonts w:ascii="Figtree" w:hAnsi="Figtree"/>
                <w:b w:val="0"/>
                <w:i w:val="0"/>
                <w:sz w:val="20"/>
              </w:rPr>
              <w:t>Version</w:t>
            </w:r>
          </w:p>
        </w:tc>
        <w:tc>
          <w:tcPr>
            <w:tcW w:type="dxa" w:w="4873"/>
            <w:vAlign w:val="center"/>
          </w:tcPr>
          <w:p>
            <w:pPr>
              <w:spacing w:line="276" w:lineRule="auto" w:before="0" w:after="0"/>
            </w:pPr>
            <w:r/>
            <w:r>
              <w:rPr>
                <w:rFonts w:ascii="Figtree" w:hAnsi="Figtree"/>
                <w:b w:val="0"/>
                <w:i w:val="0"/>
                <w:sz w:val="20"/>
              </w:rPr>
              <w:t>v1.0</w:t>
            </w:r>
          </w:p>
        </w:tc>
      </w:tr>
      <w:tr>
        <w:trPr>
          <w:trHeight w:val="425" w:hRule="atLeast"/>
        </w:trPr>
        <w:tc>
          <w:tcPr>
            <w:tcW w:type="dxa" w:w="4873"/>
            <w:vAlign w:val="center"/>
          </w:tcPr>
          <w:p>
            <w:pPr>
              <w:spacing w:line="276" w:lineRule="auto" w:before="0" w:after="0"/>
            </w:pPr>
            <w:r/>
            <w:r>
              <w:rPr>
                <w:rFonts w:ascii="Figtree" w:hAnsi="Figtree"/>
                <w:b w:val="0"/>
                <w:i w:val="0"/>
                <w:sz w:val="20"/>
              </w:rPr>
              <w:t>Confidentiality</w:t>
            </w:r>
          </w:p>
        </w:tc>
        <w:tc>
          <w:tcPr>
            <w:tcW w:type="dxa" w:w="4873"/>
            <w:vAlign w:val="center"/>
          </w:tcPr>
          <w:p>
            <w:pPr>
              <w:spacing w:line="276" w:lineRule="auto" w:before="0" w:after="0"/>
            </w:pPr>
            <w:r/>
            <w:r>
              <w:rPr>
                <w:rFonts w:ascii="Figtree" w:hAnsi="Figtree"/>
                <w:b w:val="0"/>
                <w:i w:val="0"/>
                <w:sz w:val="20"/>
              </w:rPr>
              <w:t>Restricted</w:t>
            </w:r>
          </w:p>
        </w:tc>
      </w:tr>
      <w:tr>
        <w:trPr>
          <w:trHeight w:val="425" w:hRule="atLeast"/>
        </w:trPr>
        <w:tc>
          <w:tcPr>
            <w:tcW w:type="dxa" w:w="4873"/>
            <w:vAlign w:val="center"/>
          </w:tcPr>
          <w:p>
            <w:pPr>
              <w:spacing w:line="276" w:lineRule="auto" w:before="0" w:after="0"/>
            </w:pPr>
            <w:r/>
            <w:r>
              <w:rPr>
                <w:rFonts w:ascii="Figtree" w:hAnsi="Figtree"/>
                <w:b w:val="0"/>
                <w:i w:val="0"/>
                <w:sz w:val="20"/>
              </w:rPr>
              <w:t>RFP Reference</w:t>
            </w:r>
          </w:p>
        </w:tc>
        <w:tc>
          <w:tcPr>
            <w:tcW w:type="dxa" w:w="4873"/>
            <w:vAlign w:val="center"/>
          </w:tcPr>
          <w:p>
            <w:pPr>
              <w:spacing w:line="276" w:lineRule="auto" w:before="0" w:after="0"/>
            </w:pPr>
            <w:r/>
            <w:r>
              <w:rPr>
                <w:rFonts w:ascii="Figtree" w:hAnsi="Figtree"/>
                <w:b w:val="0"/>
                <w:i w:val="0"/>
                <w:sz w:val="20"/>
              </w:rPr>
              <w:t>FIRST-ABU-DHABI-BANK-RFP-DIGITAL-ASSET-CUSTODY-202603</w:t>
            </w:r>
          </w:p>
        </w:tc>
      </w:tr>
      <w:tr>
        <w:trPr>
          <w:trHeight w:val="425" w:hRule="atLeast"/>
        </w:trPr>
        <w:tc>
          <w:tcPr>
            <w:tcW w:type="dxa" w:w="4873"/>
            <w:vAlign w:val="center"/>
          </w:tcPr>
          <w:p>
            <w:pPr>
              <w:spacing w:line="276" w:lineRule="auto" w:before="0" w:after="0"/>
            </w:pPr>
            <w:r/>
            <w:r>
              <w:rPr>
                <w:rFonts w:ascii="Figtree" w:hAnsi="Figtree"/>
                <w:b w:val="0"/>
                <w:i w:val="0"/>
                <w:sz w:val="20"/>
              </w:rPr>
              <w:t>Primary contact</w:t>
            </w:r>
          </w:p>
        </w:tc>
        <w:tc>
          <w:tcPr>
            <w:tcW w:type="dxa" w:w="4873"/>
            <w:vAlign w:val="center"/>
          </w:tcPr>
          <w:p>
            <w:pPr>
              <w:spacing w:line="276" w:lineRule="auto" w:before="0" w:after="0"/>
            </w:pPr>
            <w:r/>
            <w:r>
              <w:rPr>
                <w:rFonts w:ascii="Figtree" w:hAnsi="Figtree"/>
                <w:b w:val="0"/>
                <w:i w:val="0"/>
                <w:sz w:val="20"/>
              </w:rPr>
              <w:t>Adam Popat, CEO</w:t>
            </w:r>
          </w:p>
        </w:tc>
      </w:tr>
    </w:tbl>
    <w:p>
      <w:pPr>
        <w:spacing w:before="0" w:after="0" w:line="120" w:lineRule="exact"/>
      </w:pPr>
    </w:p>
    <w:p>
      <w:r>
        <w:br w:type="page"/>
      </w:r>
    </w:p>
    <w:p>
      <w:pPr>
        <w:pStyle w:val="H2"/>
        <w:numPr>
          <w:ilvl w:val="1"/>
          <w:numId w:val="1"/>
        </w:numPr>
      </w:pPr>
      <w:r>
        <w:t>Table of Contents</w:t>
      </w:r>
    </w:p>
    <w:p>
      <w:pPr>
        <w:pStyle w:val="ListParagraph"/>
        <w:numPr>
          <w:ilvl w:val="0"/>
          <w:numId w:val="4"/>
        </w:numPr>
      </w:pPr>
      <w:r>
        <w:rPr>
          <w:rFonts w:ascii="Figtree" w:hAnsi="Figtree"/>
          <w:b w:val="0"/>
          <w:i w:val="0"/>
          <w:sz w:val="22"/>
        </w:rPr>
        <w:t>Executive Summary</w:t>
      </w:r>
    </w:p>
    <w:p>
      <w:pPr>
        <w:pStyle w:val="ListParagraph"/>
        <w:numPr>
          <w:ilvl w:val="0"/>
          <w:numId w:val="4"/>
        </w:numPr>
      </w:pPr>
      <w:r>
        <w:rPr>
          <w:rFonts w:ascii="Figtree" w:hAnsi="Figtree"/>
          <w:b w:val="0"/>
          <w:i w:val="0"/>
          <w:sz w:val="22"/>
        </w:rPr>
        <w:t>About SettleMint</w:t>
      </w:r>
    </w:p>
    <w:p>
      <w:pPr>
        <w:pStyle w:val="ListParagraph"/>
        <w:numPr>
          <w:ilvl w:val="0"/>
          <w:numId w:val="4"/>
        </w:numPr>
      </w:pPr>
      <w:r>
        <w:rPr>
          <w:rFonts w:ascii="Figtree" w:hAnsi="Figtree"/>
          <w:b w:val="0"/>
          <w:i w:val="0"/>
          <w:sz w:val="22"/>
        </w:rPr>
        <w:t>About DALP</w:t>
      </w:r>
    </w:p>
    <w:p>
      <w:pPr>
        <w:pStyle w:val="ListParagraph"/>
        <w:numPr>
          <w:ilvl w:val="0"/>
          <w:numId w:val="4"/>
        </w:numPr>
      </w:pPr>
      <w:r>
        <w:rPr>
          <w:rFonts w:ascii="Figtree" w:hAnsi="Figtree"/>
          <w:b w:val="0"/>
          <w:i w:val="0"/>
          <w:sz w:val="22"/>
        </w:rPr>
        <w:t>Understanding FAB's Programme Objectives</w:t>
      </w:r>
    </w:p>
    <w:p>
      <w:pPr>
        <w:pStyle w:val="ListParagraph"/>
        <w:numPr>
          <w:ilvl w:val="0"/>
          <w:numId w:val="4"/>
        </w:numPr>
      </w:pPr>
      <w:r>
        <w:rPr>
          <w:rFonts w:ascii="Figtree" w:hAnsi="Figtree"/>
          <w:b w:val="0"/>
          <w:i w:val="0"/>
          <w:sz w:val="22"/>
        </w:rPr>
        <w:t>Customer References</w:t>
      </w:r>
    </w:p>
    <w:p>
      <w:pPr>
        <w:pStyle w:val="ListParagraph"/>
        <w:numPr>
          <w:ilvl w:val="0"/>
          <w:numId w:val="4"/>
        </w:numPr>
      </w:pPr>
      <w:r>
        <w:rPr>
          <w:rFonts w:ascii="Figtree" w:hAnsi="Figtree"/>
          <w:b w:val="0"/>
          <w:i w:val="0"/>
          <w:sz w:val="22"/>
        </w:rPr>
        <w:t>Proposed Solution and Functional Capabilities</w:t>
      </w:r>
    </w:p>
    <w:p>
      <w:pPr>
        <w:pStyle w:val="ListParagraph"/>
        <w:numPr>
          <w:ilvl w:val="0"/>
          <w:numId w:val="4"/>
        </w:numPr>
      </w:pPr>
      <w:r>
        <w:rPr>
          <w:rFonts w:ascii="Figtree" w:hAnsi="Figtree"/>
          <w:b w:val="0"/>
          <w:i w:val="0"/>
          <w:sz w:val="22"/>
        </w:rPr>
        <w:t>Technical Architecture</w:t>
      </w:r>
    </w:p>
    <w:p>
      <w:pPr>
        <w:pStyle w:val="ListParagraph"/>
        <w:numPr>
          <w:ilvl w:val="0"/>
          <w:numId w:val="4"/>
        </w:numPr>
      </w:pPr>
      <w:r>
        <w:rPr>
          <w:rFonts w:ascii="Figtree" w:hAnsi="Figtree"/>
          <w:b w:val="0"/>
          <w:i w:val="0"/>
          <w:sz w:val="22"/>
        </w:rPr>
        <w:t>Smart Contract Architecture for Custody Operations</w:t>
      </w:r>
    </w:p>
    <w:p>
      <w:pPr>
        <w:pStyle w:val="ListParagraph"/>
        <w:numPr>
          <w:ilvl w:val="0"/>
          <w:numId w:val="4"/>
        </w:numPr>
      </w:pPr>
      <w:r>
        <w:rPr>
          <w:rFonts w:ascii="Figtree" w:hAnsi="Figtree"/>
          <w:b w:val="0"/>
          <w:i w:val="0"/>
          <w:sz w:val="22"/>
        </w:rPr>
        <w:t>Identity, Compliance, and Regulatory Controls</w:t>
      </w:r>
    </w:p>
    <w:p>
      <w:pPr>
        <w:pStyle w:val="ListParagraph"/>
        <w:numPr>
          <w:ilvl w:val="0"/>
          <w:numId w:val="4"/>
        </w:numPr>
      </w:pPr>
      <w:r>
        <w:rPr>
          <w:rFonts w:ascii="Figtree" w:hAnsi="Figtree"/>
          <w:b w:val="0"/>
          <w:i w:val="0"/>
          <w:sz w:val="22"/>
        </w:rPr>
        <w:t>Key Management and Custody Architecture</w:t>
      </w:r>
    </w:p>
    <w:p>
      <w:pPr>
        <w:pStyle w:val="ListParagraph"/>
        <w:numPr>
          <w:ilvl w:val="0"/>
          <w:numId w:val="4"/>
        </w:numPr>
      </w:pPr>
      <w:r>
        <w:rPr>
          <w:rFonts w:ascii="Figtree" w:hAnsi="Figtree"/>
          <w:b w:val="0"/>
          <w:i w:val="0"/>
          <w:sz w:val="22"/>
        </w:rPr>
        <w:t>Settlement, Servicing, and Lifecycle Management</w:t>
      </w:r>
    </w:p>
    <w:p>
      <w:pPr>
        <w:pStyle w:val="ListParagraph"/>
        <w:numPr>
          <w:ilvl w:val="0"/>
          <w:numId w:val="4"/>
        </w:numPr>
      </w:pPr>
      <w:r>
        <w:rPr>
          <w:rFonts w:ascii="Figtree" w:hAnsi="Figtree"/>
          <w:b w:val="0"/>
          <w:i w:val="0"/>
          <w:sz w:val="22"/>
        </w:rPr>
        <w:t>Integration Architecture</w:t>
      </w:r>
    </w:p>
    <w:p>
      <w:pPr>
        <w:pStyle w:val="ListParagraph"/>
        <w:numPr>
          <w:ilvl w:val="0"/>
          <w:numId w:val="4"/>
        </w:numPr>
      </w:pPr>
      <w:r>
        <w:rPr>
          <w:rFonts w:ascii="Figtree" w:hAnsi="Figtree"/>
          <w:b w:val="0"/>
          <w:i w:val="0"/>
          <w:sz w:val="22"/>
        </w:rPr>
        <w:t>Security, Resilience, and Operational Assurance</w:t>
      </w:r>
    </w:p>
    <w:p>
      <w:pPr>
        <w:pStyle w:val="ListParagraph"/>
        <w:numPr>
          <w:ilvl w:val="0"/>
          <w:numId w:val="4"/>
        </w:numPr>
      </w:pPr>
      <w:r>
        <w:rPr>
          <w:rFonts w:ascii="Figtree" w:hAnsi="Figtree"/>
          <w:b w:val="0"/>
          <w:i w:val="0"/>
          <w:sz w:val="22"/>
        </w:rPr>
        <w:t>Implementation Approach and Delivery Phases</w:t>
      </w:r>
    </w:p>
    <w:p>
      <w:pPr>
        <w:pStyle w:val="ListParagraph"/>
        <w:numPr>
          <w:ilvl w:val="0"/>
          <w:numId w:val="4"/>
        </w:numPr>
      </w:pPr>
      <w:r>
        <w:rPr>
          <w:rFonts w:ascii="Figtree" w:hAnsi="Figtree"/>
          <w:b w:val="0"/>
          <w:i w:val="0"/>
          <w:sz w:val="22"/>
        </w:rPr>
        <w:t>Deployment Model</w:t>
      </w:r>
    </w:p>
    <w:p>
      <w:pPr>
        <w:pStyle w:val="ListParagraph"/>
        <w:numPr>
          <w:ilvl w:val="0"/>
          <w:numId w:val="4"/>
        </w:numPr>
      </w:pPr>
      <w:r>
        <w:rPr>
          <w:rFonts w:ascii="Figtree" w:hAnsi="Figtree"/>
          <w:b w:val="0"/>
          <w:i w:val="0"/>
          <w:sz w:val="22"/>
        </w:rPr>
        <w:t>Training and Knowledge Transfer</w:t>
      </w:r>
    </w:p>
    <w:p>
      <w:pPr>
        <w:pStyle w:val="ListParagraph"/>
        <w:numPr>
          <w:ilvl w:val="0"/>
          <w:numId w:val="4"/>
        </w:numPr>
      </w:pPr>
      <w:r>
        <w:rPr>
          <w:rFonts w:ascii="Figtree" w:hAnsi="Figtree"/>
          <w:b w:val="0"/>
          <w:i w:val="0"/>
          <w:sz w:val="22"/>
        </w:rPr>
        <w:t>Support and SLA</w:t>
      </w:r>
    </w:p>
    <w:p>
      <w:pPr>
        <w:pStyle w:val="ListParagraph"/>
        <w:numPr>
          <w:ilvl w:val="0"/>
          <w:numId w:val="4"/>
        </w:numPr>
      </w:pPr>
      <w:r>
        <w:rPr>
          <w:rFonts w:ascii="Figtree" w:hAnsi="Figtree"/>
          <w:b w:val="0"/>
          <w:i w:val="0"/>
          <w:sz w:val="22"/>
        </w:rPr>
        <w:t>Risk Management</w:t>
      </w:r>
    </w:p>
    <w:p>
      <w:pPr>
        <w:pStyle w:val="ListParagraph"/>
        <w:numPr>
          <w:ilvl w:val="0"/>
          <w:numId w:val="4"/>
        </w:numPr>
      </w:pPr>
      <w:r>
        <w:rPr>
          <w:rFonts w:ascii="Figtree" w:hAnsi="Figtree"/>
          <w:b w:val="0"/>
          <w:i w:val="0"/>
          <w:sz w:val="22"/>
        </w:rPr>
        <w:t>Current Coverage, Dependencies, and Qualified Gaps</w:t>
      </w:r>
    </w:p>
    <w:p>
      <w:pPr>
        <w:pStyle w:val="ListParagraph"/>
        <w:numPr>
          <w:ilvl w:val="0"/>
          <w:numId w:val="4"/>
        </w:numPr>
      </w:pPr>
      <w:r>
        <w:rPr>
          <w:rFonts w:ascii="Figtree" w:hAnsi="Figtree"/>
          <w:b w:val="0"/>
          <w:i w:val="0"/>
          <w:sz w:val="22"/>
        </w:rPr>
        <w:t>Compliance Matrix</w:t>
      </w:r>
    </w:p>
    <w:p>
      <w:pPr>
        <w:pStyle w:val="ListParagraph"/>
        <w:numPr>
          <w:ilvl w:val="0"/>
          <w:numId w:val="4"/>
        </w:numPr>
      </w:pPr>
      <w:r>
        <w:rPr>
          <w:rFonts w:ascii="Figtree" w:hAnsi="Figtree"/>
          <w:b w:val="0"/>
          <w:i w:val="0"/>
          <w:sz w:val="22"/>
        </w:rPr>
        <w:t>Appendices</w:t>
      </w:r>
    </w:p>
    <w:p>
      <w:r>
        <w:br w:type="page"/>
      </w:r>
    </w:p>
    <w:p>
      <w:pPr>
        <w:pStyle w:val="H2"/>
        <w:numPr>
          <w:ilvl w:val="1"/>
          <w:numId w:val="1"/>
        </w:numPr>
      </w:pPr>
      <w:r>
        <w:t>Executive Summary</w:t>
      </w:r>
    </w:p>
    <w:p>
      <w:r>
        <w:rPr>
          <w:rFonts w:ascii="Figtree" w:hAnsi="Figtree"/>
          <w:b w:val="0"/>
          <w:i w:val="0"/>
          <w:sz w:val="22"/>
        </w:rPr>
        <w:t>First Abu Dhabi Bank has identified digital asset custody for institutional and private banking distribution as a business-critical capability requiring production-grade discipline. This is a procurement to determine whether the market can supply a dependable platform and implementation model for custody operations that meet the bank's control environment standards — business ownership, architecture standards, security review, legal interpretation, compliance sign-off, and internal audit expectations.</w:t>
      </w:r>
    </w:p>
    <w:p>
      <w:r>
        <w:rPr>
          <w:rFonts w:ascii="Figtree" w:hAnsi="Figtree"/>
          <w:b w:val="0"/>
          <w:i w:val="0"/>
          <w:sz w:val="22"/>
        </w:rPr>
        <w:t>SettleMint's Digital Asset Lifecycle Platform (DALP) addresses this requirement through a custody-centric deployment model. DALP provides production-ready infrastructure for managing the full digital asset lifecycle — design, issuance, compliance enforcement, custody integration, settlement, and servicing — with the Key Guardian custody architecture providing tiered key management, institutional custody provider integration (DFNS, Fireblocks), and maker-checker workflows for all custody operations.</w:t>
      </w:r>
    </w:p>
    <w:p>
      <w:r>
        <w:rPr>
          <w:rFonts w:ascii="Figtree" w:hAnsi="Figtree"/>
          <w:b/>
          <w:i w:val="0"/>
          <w:sz w:val="22"/>
        </w:rPr>
        <w:t>Why DALP fits First Abu Dhabi Bank's requirements:</w:t>
      </w:r>
    </w:p>
    <w:p>
      <w:pPr>
        <w:pStyle w:val="ListParagraph"/>
        <w:numPr>
          <w:ilvl w:val="0"/>
          <w:numId w:val="4"/>
        </w:numPr>
      </w:pPr>
      <w:r>
        <w:rPr>
          <w:rFonts w:ascii="Figtree" w:hAnsi="Figtree"/>
          <w:b/>
          <w:i w:val="0"/>
          <w:sz w:val="22"/>
        </w:rPr>
        <w:t>Institutional custody architecture.</w:t>
      </w:r>
      <w:r>
        <w:rPr>
          <w:rFonts w:ascii="Figtree" w:hAnsi="Figtree"/>
          <w:b w:val="0"/>
          <w:i w:val="0"/>
          <w:sz w:val="22"/>
        </w:rPr>
        <w:t xml:space="preserve"> Key Guardian provides defense-in-depth key management with four storage tiers: encrypted database (development), cloud secret manager (standard production), hardware security module (FIPS 140-2 Level 3 for regulated financial services), and third-party MPC custody (DFNS/Fireblocks for highest security). Maker-checker workflows, HSM integration, and wallet verification step-up authentication are native to the platform.</w:t>
      </w:r>
    </w:p>
    <w:p>
      <w:pPr>
        <w:pStyle w:val="ListParagraph"/>
        <w:numPr>
          <w:ilvl w:val="0"/>
          <w:numId w:val="4"/>
        </w:numPr>
      </w:pPr>
      <w:r>
        <w:rPr>
          <w:rFonts w:ascii="Figtree" w:hAnsi="Figtree"/>
          <w:b/>
          <w:i w:val="0"/>
          <w:sz w:val="22"/>
        </w:rPr>
        <w:t>Private banking distribution capability.</w:t>
      </w:r>
      <w:r>
        <w:rPr>
          <w:rFonts w:ascii="Figtree" w:hAnsi="Figtree"/>
          <w:b w:val="0"/>
          <w:i w:val="0"/>
          <w:sz w:val="22"/>
        </w:rPr>
        <w:t xml:space="preserve"> DALP's identity and compliance infrastructure supports the eligibility management required for private banking distribution — investor accreditation verification, jurisdiction restrictions, minimum investment enforcement, and suitability controls. The compliance engine enforces these rules at the smart contract level before any transfer executes, ensuring that custody operations are inseparable from compliance operations.</w:t>
      </w:r>
    </w:p>
    <w:p>
      <w:pPr>
        <w:pStyle w:val="ListParagraph"/>
        <w:numPr>
          <w:ilvl w:val="0"/>
          <w:numId w:val="4"/>
        </w:numPr>
      </w:pPr>
      <w:r>
        <w:rPr>
          <w:rFonts w:ascii="Figtree" w:hAnsi="Figtree"/>
          <w:b/>
          <w:i w:val="0"/>
          <w:sz w:val="22"/>
        </w:rPr>
        <w:t>Production-proven at institutional scale.</w:t>
      </w:r>
      <w:r>
        <w:rPr>
          <w:rFonts w:ascii="Figtree" w:hAnsi="Figtree"/>
          <w:b w:val="0"/>
          <w:i w:val="0"/>
          <w:sz w:val="22"/>
        </w:rPr>
        <w:t xml:space="preserve"> DALP processes digital assets across production deployments with regulated institutions including Standard Chartered Bank, Commerzbank (ETP issuance with settlement under 10 seconds and projected EUR 7M/year savings), OCBC Bank, State Bank of India, and the Islamic Development Bank. ADI Finstreet in Abu Dhabi uses DALP for tokenized equity issuance with institutional custody integration on ADI mainnet — directly demonstrating UAE market capability.</w:t>
      </w:r>
    </w:p>
    <w:p>
      <w:pPr>
        <w:pStyle w:val="ListParagraph"/>
        <w:numPr>
          <w:ilvl w:val="0"/>
          <w:numId w:val="4"/>
        </w:numPr>
      </w:pPr>
      <w:r>
        <w:rPr>
          <w:rFonts w:ascii="Figtree" w:hAnsi="Figtree"/>
          <w:b/>
          <w:i w:val="0"/>
          <w:sz w:val="22"/>
        </w:rPr>
        <w:t>Enterprise integration, not isolation.</w:t>
      </w:r>
      <w:r>
        <w:rPr>
          <w:rFonts w:ascii="Figtree" w:hAnsi="Figtree"/>
          <w:b w:val="0"/>
          <w:i w:val="0"/>
          <w:sz w:val="22"/>
        </w:rPr>
        <w:t xml:space="preserve"> DALP connects to FAB's existing identity services, core banking, wealth management platforms, sanctions screening, regulatory reporting, and observability infrastructure through REST API v2 (OpenAPI 3.1), GraphQL, webhooks, TypeScript SDK, and CLI (301 commands across 26 command groups).</w:t>
      </w:r>
    </w:p>
    <w:p>
      <w:pPr>
        <w:pStyle w:val="ListParagraph"/>
        <w:numPr>
          <w:ilvl w:val="0"/>
          <w:numId w:val="4"/>
        </w:numPr>
      </w:pPr>
      <w:r>
        <w:rPr>
          <w:rFonts w:ascii="Figtree" w:hAnsi="Figtree"/>
          <w:b/>
          <w:i w:val="0"/>
          <w:sz w:val="22"/>
        </w:rPr>
        <w:t>Control integrity from day one.</w:t>
      </w:r>
      <w:r>
        <w:rPr>
          <w:rFonts w:ascii="Figtree" w:hAnsi="Figtree"/>
          <w:b w:val="0"/>
          <w:i w:val="0"/>
          <w:sz w:val="22"/>
        </w:rPr>
        <w:t xml:space="preserve"> Every custody operation — key generation, signing, transfer authorization, settlement — produces a complete audit trail. Role-based access control with 26 distinct roles across four layers, wallet verification step-up authentication, and on-chain compliance enforcement ensure that no single-layer failure grants unauthorized access to digital assets.</w:t>
      </w:r>
    </w:p>
    <w:p>
      <w:r>
        <w:rPr>
          <w:rFonts w:ascii="Figtree" w:hAnsi="Figtree"/>
          <w:b w:val="0"/>
          <w:i w:val="0"/>
          <w:sz w:val="22"/>
        </w:rPr>
        <w:t>The proposed implementation follows SettleMint's phase-gated methodology: 19 weeks from kickoff to hypercare completion with five formal gate reviews. The custody infrastructure — including Key Guardian deployment, custody provider integration, and identity framework — is operational by Week 5, enabling configuration and testing to begin with production-grade key management from the outset.</w:t>
      </w:r>
    </w:p>
    <w:p>
      <w:pPr>
        <w:jc w:val="center"/>
      </w:pPr>
      <w:r>
        <w:drawing>
          <wp:inline xmlns:a="http://schemas.openxmlformats.org/drawingml/2006/main" xmlns:pic="http://schemas.openxmlformats.org/drawingml/2006/picture">
            <wp:extent cx="5486400" cy="2127380"/>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2127380"/>
                    </a:xfrm>
                    <a:prstGeom prst="rect"/>
                  </pic:spPr>
                </pic:pic>
              </a:graphicData>
            </a:graphic>
          </wp:inline>
        </w:drawing>
      </w:r>
    </w:p>
    <w:p>
      <w:r>
        <w:br w:type="page"/>
      </w:r>
    </w:p>
    <w:p>
      <w:pPr>
        <w:pStyle w:val="H2"/>
        <w:numPr>
          <w:ilvl w:val="1"/>
          <w:numId w:val="1"/>
        </w:numPr>
      </w:pPr>
      <w:r>
        <w:t>About SettleMint</w:t>
      </w:r>
    </w:p>
    <w:p>
      <w:pPr>
        <w:pStyle w:val="H3"/>
        <w:numPr>
          <w:ilvl w:val="2"/>
          <w:numId w:val="1"/>
        </w:numPr>
      </w:pPr>
      <w:r>
        <w:t>Company Overview</w:t>
      </w:r>
    </w:p>
    <w:p>
      <w:r>
        <w:rPr>
          <w:rFonts w:ascii="Figtree" w:hAnsi="Figtree"/>
          <w:b w:val="0"/>
          <w:i w:val="0"/>
          <w:sz w:val="22"/>
        </w:rPr>
        <w:t>SettleMint is the production-grade digital asset lifecycle management company for regulated financial markets and sovereign use cases. Founded in 2016 and headquartered in Leuven, Belgium, SettleMint has been building enterprise blockchain infrastructure for 10 years with 7+ years of continuous production deployments at regulated banks across Europe, the Middle East, and Asia-Pacific.</w:t>
      </w:r>
    </w:p>
    <w:p>
      <w:pPr>
        <w:pStyle w:val="H3"/>
        <w:numPr>
          <w:ilvl w:val="2"/>
          <w:numId w:val="1"/>
        </w:numPr>
      </w:pPr>
      <w:r>
        <w:t>Production Credentials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77"/>
        <w:gridCol w:w="629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Credential</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Evidence</w:t>
            </w:r>
          </w:p>
        </w:tc>
      </w:tr>
      <w:tr>
        <w:trPr>
          <w:trHeight w:val="425" w:hRule="atLeast"/>
        </w:trPr>
        <w:tc>
          <w:tcPr>
            <w:tcW w:type="dxa" w:w="4873"/>
            <w:vAlign w:val="center"/>
          </w:tcPr>
          <w:p>
            <w:pPr>
              <w:spacing w:line="276" w:lineRule="auto" w:before="0" w:after="0"/>
            </w:pPr>
            <w:r/>
            <w:r>
              <w:rPr>
                <w:rFonts w:ascii="Figtree" w:hAnsi="Figtree"/>
                <w:b w:val="0"/>
                <w:i w:val="0"/>
                <w:sz w:val="20"/>
              </w:rPr>
              <w:t>Continuous operation</w:t>
            </w:r>
          </w:p>
        </w:tc>
        <w:tc>
          <w:tcPr>
            <w:tcW w:type="dxa" w:w="4873"/>
            <w:vAlign w:val="center"/>
          </w:tcPr>
          <w:p>
            <w:pPr>
              <w:spacing w:line="276" w:lineRule="auto" w:before="0" w:after="0"/>
            </w:pPr>
            <w:r/>
            <w:r>
              <w:rPr>
                <w:rFonts w:ascii="Figtree" w:hAnsi="Figtree"/>
                <w:b w:val="0"/>
                <w:i w:val="0"/>
                <w:sz w:val="20"/>
              </w:rPr>
              <w:t>Since 2016, 10 years</w:t>
            </w:r>
          </w:p>
        </w:tc>
      </w:tr>
      <w:tr>
        <w:trPr>
          <w:trHeight w:val="425" w:hRule="atLeast"/>
        </w:trPr>
        <w:tc>
          <w:tcPr>
            <w:tcW w:type="dxa" w:w="4873"/>
            <w:vAlign w:val="center"/>
          </w:tcPr>
          <w:p>
            <w:pPr>
              <w:spacing w:line="276" w:lineRule="auto" w:before="0" w:after="0"/>
            </w:pPr>
            <w:r/>
            <w:r>
              <w:rPr>
                <w:rFonts w:ascii="Figtree" w:hAnsi="Figtree"/>
                <w:b w:val="0"/>
                <w:i w:val="0"/>
                <w:sz w:val="20"/>
              </w:rPr>
              <w:t>Production deployments</w:t>
            </w:r>
          </w:p>
        </w:tc>
        <w:tc>
          <w:tcPr>
            <w:tcW w:type="dxa" w:w="4873"/>
            <w:vAlign w:val="center"/>
          </w:tcPr>
          <w:p>
            <w:pPr>
              <w:spacing w:line="276" w:lineRule="auto" w:before="0" w:after="0"/>
            </w:pPr>
            <w:r/>
            <w:r>
              <w:rPr>
                <w:rFonts w:ascii="Figtree" w:hAnsi="Figtree"/>
                <w:b w:val="0"/>
                <w:i w:val="0"/>
                <w:sz w:val="20"/>
              </w:rPr>
              <w:t>14 institutional engagements, 7+ years continuous</w:t>
            </w:r>
          </w:p>
        </w:tc>
      </w:tr>
      <w:tr>
        <w:trPr>
          <w:trHeight w:val="425" w:hRule="atLeast"/>
        </w:trPr>
        <w:tc>
          <w:tcPr>
            <w:tcW w:type="dxa" w:w="4873"/>
            <w:vAlign w:val="center"/>
          </w:tcPr>
          <w:p>
            <w:pPr>
              <w:spacing w:line="276" w:lineRule="auto" w:before="0" w:after="0"/>
            </w:pPr>
            <w:r/>
            <w:r>
              <w:rPr>
                <w:rFonts w:ascii="Figtree" w:hAnsi="Figtree"/>
                <w:b w:val="0"/>
                <w:i w:val="0"/>
                <w:sz w:val="20"/>
              </w:rPr>
              <w:t>Asset classes in production</w:t>
            </w:r>
          </w:p>
        </w:tc>
        <w:tc>
          <w:tcPr>
            <w:tcW w:type="dxa" w:w="4873"/>
            <w:vAlign w:val="center"/>
          </w:tcPr>
          <w:p>
            <w:pPr>
              <w:spacing w:line="276" w:lineRule="auto" w:before="0" w:after="0"/>
            </w:pPr>
            <w:r/>
            <w:r>
              <w:rPr>
                <w:rFonts w:ascii="Figtree" w:hAnsi="Figtree"/>
                <w:b w:val="0"/>
                <w:i w:val="0"/>
                <w:sz w:val="20"/>
              </w:rPr>
              <w:t>Bonds, equities, deposits, stablecoins, real estate, funds, precious metals</w:t>
            </w:r>
          </w:p>
        </w:tc>
      </w:tr>
      <w:tr>
        <w:trPr>
          <w:trHeight w:val="425" w:hRule="atLeast"/>
        </w:trPr>
        <w:tc>
          <w:tcPr>
            <w:tcW w:type="dxa" w:w="4873"/>
            <w:vAlign w:val="center"/>
          </w:tcPr>
          <w:p>
            <w:pPr>
              <w:spacing w:line="276" w:lineRule="auto" w:before="0" w:after="0"/>
            </w:pPr>
            <w:r/>
            <w:r>
              <w:rPr>
                <w:rFonts w:ascii="Figtree" w:hAnsi="Figtree"/>
                <w:b w:val="0"/>
                <w:i w:val="0"/>
                <w:sz w:val="20"/>
              </w:rPr>
              <w:t>Geographic coverage</w:t>
            </w:r>
          </w:p>
        </w:tc>
        <w:tc>
          <w:tcPr>
            <w:tcW w:type="dxa" w:w="4873"/>
            <w:vAlign w:val="center"/>
          </w:tcPr>
          <w:p>
            <w:pPr>
              <w:spacing w:line="276" w:lineRule="auto" w:before="0" w:after="0"/>
            </w:pPr>
            <w:r/>
            <w:r>
              <w:rPr>
                <w:rFonts w:ascii="Figtree" w:hAnsi="Figtree"/>
                <w:b w:val="0"/>
                <w:i w:val="0"/>
                <w:sz w:val="20"/>
              </w:rPr>
              <w:t>Europe, Middle East, Asia-Pacific</w:t>
            </w:r>
          </w:p>
        </w:tc>
      </w:tr>
      <w:tr>
        <w:trPr>
          <w:trHeight w:val="425" w:hRule="atLeast"/>
        </w:trPr>
        <w:tc>
          <w:tcPr>
            <w:tcW w:type="dxa" w:w="4873"/>
            <w:vAlign w:val="center"/>
          </w:tcPr>
          <w:p>
            <w:pPr>
              <w:spacing w:line="276" w:lineRule="auto" w:before="0" w:after="0"/>
            </w:pPr>
            <w:r/>
            <w:r>
              <w:rPr>
                <w:rFonts w:ascii="Figtree" w:hAnsi="Figtree"/>
                <w:b w:val="0"/>
                <w:i w:val="0"/>
                <w:sz w:val="20"/>
              </w:rPr>
              <w:t>Certifications</w:t>
            </w:r>
          </w:p>
        </w:tc>
        <w:tc>
          <w:tcPr>
            <w:tcW w:type="dxa" w:w="4873"/>
            <w:vAlign w:val="center"/>
          </w:tcPr>
          <w:p>
            <w:pPr>
              <w:spacing w:line="276" w:lineRule="auto" w:before="0" w:after="0"/>
            </w:pPr>
            <w:r/>
            <w:r>
              <w:rPr>
                <w:rFonts w:ascii="Figtree" w:hAnsi="Figtree"/>
                <w:b w:val="0"/>
                <w:i w:val="0"/>
                <w:sz w:val="20"/>
              </w:rPr>
              <w:t>ISO 27001, SOC 2 Type II</w:t>
            </w:r>
          </w:p>
        </w:tc>
      </w:tr>
      <w:tr>
        <w:trPr>
          <w:trHeight w:val="425" w:hRule="atLeast"/>
        </w:trPr>
        <w:tc>
          <w:tcPr>
            <w:tcW w:type="dxa" w:w="4873"/>
            <w:vAlign w:val="center"/>
          </w:tcPr>
          <w:p>
            <w:pPr>
              <w:spacing w:line="276" w:lineRule="auto" w:before="0" w:after="0"/>
            </w:pPr>
            <w:r/>
            <w:r>
              <w:rPr>
                <w:rFonts w:ascii="Figtree" w:hAnsi="Figtree"/>
                <w:b w:val="0"/>
                <w:i w:val="0"/>
                <w:sz w:val="20"/>
              </w:rPr>
              <w:t>Custody integrations</w:t>
            </w:r>
          </w:p>
        </w:tc>
        <w:tc>
          <w:tcPr>
            <w:tcW w:type="dxa" w:w="4873"/>
            <w:vAlign w:val="center"/>
          </w:tcPr>
          <w:p>
            <w:pPr>
              <w:spacing w:line="276" w:lineRule="auto" w:before="0" w:after="0"/>
            </w:pPr>
            <w:r/>
            <w:r>
              <w:rPr>
                <w:rFonts w:ascii="Figtree" w:hAnsi="Figtree"/>
                <w:b w:val="0"/>
                <w:i w:val="0"/>
                <w:sz w:val="20"/>
              </w:rPr>
              <w:t>DFNS (threshold MPC), Fireblocks (MPC-CMP)</w:t>
            </w:r>
          </w:p>
        </w:tc>
      </w:tr>
      <w:tr>
        <w:trPr>
          <w:trHeight w:val="425" w:hRule="atLeast"/>
        </w:trPr>
        <w:tc>
          <w:tcPr>
            <w:tcW w:type="dxa" w:w="4873"/>
            <w:vAlign w:val="center"/>
          </w:tcPr>
          <w:p>
            <w:pPr>
              <w:spacing w:line="276" w:lineRule="auto" w:before="0" w:after="0"/>
            </w:pPr>
            <w:r/>
            <w:r>
              <w:rPr>
                <w:rFonts w:ascii="Figtree" w:hAnsi="Figtree"/>
                <w:b w:val="0"/>
                <w:i w:val="0"/>
                <w:sz w:val="20"/>
              </w:rPr>
              <w:t>UAE presence</w:t>
            </w:r>
          </w:p>
        </w:tc>
        <w:tc>
          <w:tcPr>
            <w:tcW w:type="dxa" w:w="4873"/>
            <w:vAlign w:val="center"/>
          </w:tcPr>
          <w:p>
            <w:pPr>
              <w:spacing w:line="276" w:lineRule="auto" w:before="0" w:after="0"/>
            </w:pPr>
            <w:r/>
            <w:r>
              <w:rPr>
                <w:rFonts w:ascii="Figtree" w:hAnsi="Figtree"/>
                <w:b w:val="0"/>
                <w:i w:val="0"/>
                <w:sz w:val="20"/>
              </w:rPr>
              <w:t>ADI Finstreet (Abu Dhabi), Saudi RER (KSA)</w:t>
            </w:r>
          </w:p>
        </w:tc>
      </w:tr>
    </w:tbl>
    <w:p>
      <w:pPr>
        <w:spacing w:before="0" w:after="0" w:line="120" w:lineRule="exact"/>
      </w:pPr>
    </w:p>
    <w:p>
      <w:pPr>
        <w:pStyle w:val="H3"/>
        <w:numPr>
          <w:ilvl w:val="2"/>
          <w:numId w:val="1"/>
        </w:numPr>
      </w:pPr>
      <w:r>
        <w:t>Relevance to First Abu Dhabi Bank</w:t>
      </w:r>
    </w:p>
    <w:p>
      <w:r>
        <w:rPr>
          <w:rFonts w:ascii="Figtree" w:hAnsi="Figtree"/>
          <w:b w:val="0"/>
          <w:i w:val="0"/>
          <w:sz w:val="22"/>
        </w:rPr>
        <w:t>SettleMint's credentials map directly to FAB's custody and private banking evaluation:</w:t>
      </w:r>
    </w:p>
    <w:p>
      <w:pPr>
        <w:pStyle w:val="ListParagraph"/>
        <w:numPr>
          <w:ilvl w:val="0"/>
          <w:numId w:val="4"/>
        </w:numPr>
      </w:pPr>
      <w:r>
        <w:rPr>
          <w:rFonts w:ascii="Figtree" w:hAnsi="Figtree"/>
          <w:b/>
          <w:i w:val="0"/>
          <w:sz w:val="22"/>
        </w:rPr>
        <w:t>Abu Dhabi market presence:</w:t>
      </w:r>
      <w:r>
        <w:rPr>
          <w:rFonts w:ascii="Figtree" w:hAnsi="Figtree"/>
          <w:b w:val="0"/>
          <w:i w:val="0"/>
          <w:sz w:val="22"/>
        </w:rPr>
        <w:t xml:space="preserve"> ADI Finstreet — tokenized equity issuance with institutional custody on ADI mainnet</w:t>
      </w:r>
    </w:p>
    <w:p>
      <w:pPr>
        <w:pStyle w:val="ListParagraph"/>
        <w:numPr>
          <w:ilvl w:val="0"/>
          <w:numId w:val="4"/>
        </w:numPr>
      </w:pPr>
      <w:r>
        <w:rPr>
          <w:rFonts w:ascii="Figtree" w:hAnsi="Figtree"/>
          <w:b/>
          <w:i w:val="0"/>
          <w:sz w:val="22"/>
        </w:rPr>
        <w:t>Custody depth:</w:t>
      </w:r>
      <w:r>
        <w:rPr>
          <w:rFonts w:ascii="Figtree" w:hAnsi="Figtree"/>
          <w:b w:val="0"/>
          <w:i w:val="0"/>
          <w:sz w:val="22"/>
        </w:rPr>
        <w:t xml:space="preserve"> Integrated DFNS and Fireblocks with maker-checker workflows, HSM support</w:t>
      </w:r>
    </w:p>
    <w:p>
      <w:pPr>
        <w:pStyle w:val="ListParagraph"/>
        <w:numPr>
          <w:ilvl w:val="0"/>
          <w:numId w:val="4"/>
        </w:numPr>
      </w:pPr>
      <w:r>
        <w:rPr>
          <w:rFonts w:ascii="Figtree" w:hAnsi="Figtree"/>
          <w:b/>
          <w:i w:val="0"/>
          <w:sz w:val="22"/>
        </w:rPr>
        <w:t>Tier-1 bank deployments:</w:t>
      </w:r>
      <w:r>
        <w:rPr>
          <w:rFonts w:ascii="Figtree" w:hAnsi="Figtree"/>
          <w:b w:val="0"/>
          <w:i w:val="0"/>
          <w:sz w:val="22"/>
        </w:rPr>
        <w:t xml:space="preserve"> Standard Chartered, Commerzbank, OCBC, SBI</w:t>
      </w:r>
    </w:p>
    <w:p>
      <w:pPr>
        <w:pStyle w:val="ListParagraph"/>
        <w:numPr>
          <w:ilvl w:val="0"/>
          <w:numId w:val="4"/>
        </w:numPr>
      </w:pPr>
      <w:r>
        <w:rPr>
          <w:rFonts w:ascii="Figtree" w:hAnsi="Figtree"/>
          <w:b/>
          <w:i w:val="0"/>
          <w:sz w:val="22"/>
        </w:rPr>
        <w:t>Private banking distribution:</w:t>
      </w:r>
      <w:r>
        <w:rPr>
          <w:rFonts w:ascii="Figtree" w:hAnsi="Figtree"/>
          <w:b w:val="0"/>
          <w:i w:val="0"/>
          <w:sz w:val="22"/>
        </w:rPr>
        <w:t xml:space="preserve"> OCBC — security token engine targeting HNWIs with securitization and fractionalization</w:t>
      </w:r>
    </w:p>
    <w:p>
      <w:r>
        <w:br w:type="page"/>
      </w:r>
    </w:p>
    <w:p>
      <w:pPr>
        <w:pStyle w:val="H2"/>
        <w:numPr>
          <w:ilvl w:val="1"/>
          <w:numId w:val="1"/>
        </w:numPr>
      </w:pPr>
      <w:r>
        <w:t>About DALP</w:t>
      </w:r>
    </w:p>
    <w:p>
      <w:pPr>
        <w:pStyle w:val="H3"/>
        <w:numPr>
          <w:ilvl w:val="2"/>
          <w:numId w:val="1"/>
        </w:numPr>
      </w:pPr>
      <w:r>
        <w:t>Platform Overview</w:t>
      </w:r>
    </w:p>
    <w:p>
      <w:r>
        <w:rPr>
          <w:rFonts w:ascii="Figtree" w:hAnsi="Figtree"/>
          <w:b w:val="0"/>
          <w:i w:val="0"/>
          <w:sz w:val="22"/>
        </w:rPr>
        <w:t>DALP (Digital Asset Lifecycle Platform) provides the infrastructure for institutions to design, launch, and operate digital assets at production scale. For First Abu Dhabi Bank's custody use case, DALP serves as both the lifecycle management platform and the custody orchestration layer — coordinating between FAB's business operations, compliance requirements, and institutional custody providers.</w:t>
      </w:r>
    </w:p>
    <w:p>
      <w:pPr>
        <w:pStyle w:val="H3"/>
        <w:numPr>
          <w:ilvl w:val="2"/>
          <w:numId w:val="1"/>
        </w:numPr>
      </w:pPr>
      <w:r>
        <w:t>Core Lifecycle Pillars</w:t>
      </w:r>
    </w:p>
    <w:p>
      <w:pPr>
        <w:jc w:val="center"/>
      </w:pPr>
      <w:r>
        <w:drawing>
          <wp:inline xmlns:a="http://schemas.openxmlformats.org/drawingml/2006/main" xmlns:pic="http://schemas.openxmlformats.org/drawingml/2006/picture">
            <wp:extent cx="2476500" cy="7353300"/>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2476500" cy="7353300"/>
                    </a:xfrm>
                    <a:prstGeom prst="rect"/>
                  </pic:spPr>
                </pic:pic>
              </a:graphicData>
            </a:graphic>
          </wp:inline>
        </w:drawing>
      </w:r>
    </w:p>
    <w:p>
      <w:r>
        <w:rPr>
          <w:rFonts w:ascii="Figtree" w:hAnsi="Figtree"/>
          <w:b/>
          <w:i w:val="0"/>
          <w:sz w:val="22"/>
        </w:rPr>
        <w:t>Issuance.</w:t>
      </w:r>
      <w:r>
        <w:rPr>
          <w:rFonts w:ascii="Figtree" w:hAnsi="Figtree"/>
          <w:b w:val="0"/>
          <w:i w:val="0"/>
          <w:sz w:val="22"/>
        </w:rPr>
        <w:t xml:space="preserve"> The Asset Designer enables configuration of any supported asset class — bonds, equities, funds, deposits, stablecoins, real estate, precious metals — without custom development. For FAB's institutional and private banking distribution, the platform supports configuring investor eligibility rules, minimum investment thresholds, and distribution channel restrictions at the token level.</w:t>
      </w:r>
    </w:p>
    <w:p>
      <w:r>
        <w:rPr>
          <w:rFonts w:ascii="Figtree" w:hAnsi="Figtree"/>
          <w:b/>
          <w:i w:val="0"/>
          <w:sz w:val="22"/>
        </w:rPr>
        <w:t>Compliance.</w:t>
      </w:r>
      <w:r>
        <w:rPr>
          <w:rFonts w:ascii="Figtree" w:hAnsi="Figtree"/>
          <w:b w:val="0"/>
          <w:i w:val="0"/>
          <w:sz w:val="22"/>
        </w:rPr>
        <w:t xml:space="preserve"> Eighteen compliance module types enforce transfer and supply rules at the smart contract level. For custody operations, the identity verification, country restriction, investor count limit, and transfer approval modules ensure that only eligible investors hold assets, and all transfers pass through the compliance engine before execution.</w:t>
      </w:r>
    </w:p>
    <w:p>
      <w:r>
        <w:rPr>
          <w:rFonts w:ascii="Figtree" w:hAnsi="Figtree"/>
          <w:b/>
          <w:i w:val="0"/>
          <w:sz w:val="22"/>
        </w:rPr>
        <w:t>Custody.</w:t>
      </w:r>
      <w:r>
        <w:rPr>
          <w:rFonts w:ascii="Figtree" w:hAnsi="Figtree"/>
          <w:b w:val="0"/>
          <w:i w:val="0"/>
          <w:sz w:val="22"/>
        </w:rPr>
        <w:t xml:space="preserve"> Key Guardian provides tiered key management with the bring-your-own-custodian model. FAB selects the custody tier appropriate for each use case — from cloud-managed keys for development through to DFNS/Fireblocks MPC custody for production. Wallet verification step-up authentication ensures that no on-chain operation executes without proof of wallet control.</w:t>
      </w:r>
    </w:p>
    <w:p>
      <w:r>
        <w:rPr>
          <w:rFonts w:ascii="Figtree" w:hAnsi="Figtree"/>
          <w:b/>
          <w:i w:val="0"/>
          <w:sz w:val="22"/>
        </w:rPr>
        <w:t>Settlement.</w:t>
      </w:r>
      <w:r>
        <w:rPr>
          <w:rFonts w:ascii="Figtree" w:hAnsi="Figtree"/>
          <w:b w:val="0"/>
          <w:i w:val="0"/>
          <w:sz w:val="22"/>
        </w:rPr>
        <w:t xml:space="preserve"> XvP (Exchange versus Payment) provides atomic delivery-versus-payment settlement. Both legs of a trade execute in a single atomic transaction — deterministic finality under IBFT consensus, with median latency of 2.3 seconds.</w:t>
      </w:r>
    </w:p>
    <w:p>
      <w:r>
        <w:rPr>
          <w:rFonts w:ascii="Figtree" w:hAnsi="Figtree"/>
          <w:b/>
          <w:i w:val="0"/>
          <w:sz w:val="22"/>
        </w:rPr>
        <w:t>Servicing.</w:t>
      </w:r>
      <w:r>
        <w:rPr>
          <w:rFonts w:ascii="Figtree" w:hAnsi="Figtree"/>
          <w:b w:val="0"/>
          <w:i w:val="0"/>
          <w:sz w:val="22"/>
        </w:rPr>
        <w:t xml:space="preserve"> Full lifecycle servicing: yield distribution, maturity processing, corporate actions, and governance events — all flowing through the compliance engine.</w:t>
      </w:r>
    </w:p>
    <w:p>
      <w:pPr>
        <w:pStyle w:val="H3"/>
        <w:numPr>
          <w:ilvl w:val="2"/>
          <w:numId w:val="1"/>
        </w:numPr>
      </w:pPr>
      <w:r>
        <w:t>Key Guardian Custody Architecture</w:t>
      </w:r>
    </w:p>
    <w:p>
      <w:pPr>
        <w:jc w:val="center"/>
      </w:pPr>
      <w:r>
        <w:drawing>
          <wp:inline xmlns:a="http://schemas.openxmlformats.org/drawingml/2006/main" xmlns:pic="http://schemas.openxmlformats.org/drawingml/2006/picture">
            <wp:extent cx="5486400" cy="2253343"/>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2253343"/>
                    </a:xfrm>
                    <a:prstGeom prst="rect"/>
                  </pic:spPr>
                </pic:pic>
              </a:graphicData>
            </a:graphic>
          </wp:inline>
        </w:drawing>
      </w:r>
    </w:p>
    <w:p>
      <w:r>
        <w:rPr>
          <w:rFonts w:ascii="Figtree" w:hAnsi="Figtree"/>
          <w:b/>
          <w:i w:val="0"/>
          <w:sz w:val="22"/>
        </w:rPr>
        <w:t>DFNS integration:</w:t>
      </w:r>
      <w:r>
        <w:rPr>
          <w:rFonts w:ascii="Figtree" w:hAnsi="Figtree"/>
          <w:b w:val="0"/>
          <w:i w:val="0"/>
          <w:sz w:val="22"/>
        </w:rPr>
        <w:t xml:space="preserve"> Threshold MPC with distributed key shards. No single private key ever exists in one place. DFNS policy engine enforces transaction limits and multi-party approval before signing. Pending approvals surface through the DALP interface.</w:t>
      </w:r>
    </w:p>
    <w:p>
      <w:r>
        <w:rPr>
          <w:rFonts w:ascii="Figtree" w:hAnsi="Figtree"/>
          <w:b/>
          <w:i w:val="0"/>
          <w:sz w:val="22"/>
        </w:rPr>
        <w:t>Fireblocks integration:</w:t>
      </w:r>
      <w:r>
        <w:rPr>
          <w:rFonts w:ascii="Figtree" w:hAnsi="Figtree"/>
          <w:b w:val="0"/>
          <w:i w:val="0"/>
          <w:sz w:val="22"/>
        </w:rPr>
        <w:t xml:space="preserve"> MPC-CMP with continuous key refresh eliminates static key shares. Transaction Authorization Policy (TAP) enforces amount thresholds, whitelisted destinations, velocity limits, and multi-approver requirements.</w:t>
      </w:r>
    </w:p>
    <w:p>
      <w:r>
        <w:rPr>
          <w:rFonts w:ascii="Figtree" w:hAnsi="Figtree"/>
          <w:b/>
          <w:i w:val="0"/>
          <w:sz w:val="22"/>
        </w:rPr>
        <w:t>Signer abstraction:</w:t>
      </w:r>
      <w:r>
        <w:rPr>
          <w:rFonts w:ascii="Figtree" w:hAnsi="Figtree"/>
          <w:b w:val="0"/>
          <w:i w:val="0"/>
          <w:sz w:val="22"/>
        </w:rPr>
        <w:t xml:space="preserve"> The unified signer interface abstracts over all custody backends. Runtime capability detection allows the platform to select local or provider-delegated execution paths dynamically. Adding a new custody provider requires implementing the signer adapter, not changing platform workflows. This means FAB is never locked into a single custody vendor.</w:t>
      </w:r>
    </w:p>
    <w:p>
      <w:r>
        <w:br w:type="page"/>
      </w:r>
    </w:p>
    <w:p>
      <w:pPr>
        <w:pStyle w:val="H2"/>
        <w:numPr>
          <w:ilvl w:val="1"/>
          <w:numId w:val="1"/>
        </w:numPr>
      </w:pPr>
      <w:r>
        <w:t>Understanding FAB's Programme Objectives</w:t>
      </w:r>
    </w:p>
    <w:p>
      <w:pPr>
        <w:pStyle w:val="H3"/>
        <w:numPr>
          <w:ilvl w:val="2"/>
          <w:numId w:val="1"/>
        </w:numPr>
      </w:pPr>
      <w:r>
        <w:t>Client Context</w:t>
      </w:r>
    </w:p>
    <w:p>
      <w:r>
        <w:rPr>
          <w:rFonts w:ascii="Figtree" w:hAnsi="Figtree"/>
          <w:b w:val="0"/>
          <w:i w:val="0"/>
          <w:sz w:val="22"/>
        </w:rPr>
        <w:t>First Abu Dhabi Bank's procurement centers on three core challenges:</w:t>
      </w:r>
    </w:p>
    <w:p>
      <w:r>
        <w:rPr>
          <w:rFonts w:ascii="Figtree" w:hAnsi="Figtree"/>
          <w:b/>
          <w:i w:val="0"/>
          <w:sz w:val="22"/>
        </w:rPr>
        <w:t>First, custody-grade security for digital assets.</w:t>
      </w:r>
      <w:r>
        <w:rPr>
          <w:rFonts w:ascii="Figtree" w:hAnsi="Figtree"/>
          <w:b w:val="0"/>
          <w:i w:val="0"/>
          <w:sz w:val="22"/>
        </w:rPr>
        <w:t xml:space="preserve"> FAB requires key management that meets institutional standards — FIPS-grade hardware security, multi-party computation, maker-checker authorization, and complete audit trails for every custody operation. The custody solution must be at least as secure as traditional securities custody infrastructure.</w:t>
      </w:r>
    </w:p>
    <w:p>
      <w:r>
        <w:rPr>
          <w:rFonts w:ascii="Figtree" w:hAnsi="Figtree"/>
          <w:b/>
          <w:i w:val="0"/>
          <w:sz w:val="22"/>
        </w:rPr>
        <w:t>Second, private banking distribution readiness.</w:t>
      </w:r>
      <w:r>
        <w:rPr>
          <w:rFonts w:ascii="Figtree" w:hAnsi="Figtree"/>
          <w:b w:val="0"/>
          <w:i w:val="0"/>
          <w:sz w:val="22"/>
        </w:rPr>
        <w:t xml:space="preserve"> The platform must support the eligibility management, suitability controls, and distribution channel governance required for serving institutional and high-net-worth private banking clients with digital asset products.</w:t>
      </w:r>
    </w:p>
    <w:p>
      <w:r>
        <w:rPr>
          <w:rFonts w:ascii="Figtree" w:hAnsi="Figtree"/>
          <w:b/>
          <w:i w:val="0"/>
          <w:sz w:val="22"/>
        </w:rPr>
        <w:t>Third, enterprise coexistence.</w:t>
      </w:r>
      <w:r>
        <w:rPr>
          <w:rFonts w:ascii="Figtree" w:hAnsi="Figtree"/>
          <w:b w:val="0"/>
          <w:i w:val="0"/>
          <w:sz w:val="22"/>
        </w:rPr>
        <w:t xml:space="preserve"> The custody platform must integrate with FAB's existing core banking, wealth management, identity management, and regulatory reporting infrastructure — not create an isolated system that requires manual reconciliation.</w:t>
      </w:r>
    </w:p>
    <w:p>
      <w:pPr>
        <w:pStyle w:val="H3"/>
        <w:numPr>
          <w:ilvl w:val="2"/>
          <w:numId w:val="1"/>
        </w:numPr>
      </w:pPr>
      <w:r>
        <w:t>Regulatory Context: UAE</w:t>
      </w:r>
    </w:p>
    <w:p>
      <w:r>
        <w:rPr>
          <w:rFonts w:ascii="Figtree" w:hAnsi="Figtree"/>
          <w:b w:val="0"/>
          <w:i w:val="0"/>
          <w:sz w:val="22"/>
        </w:rPr>
        <w:t>FAB operates within the UAE's multi-regulator environment: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96"/>
        <w:gridCol w:w="3444"/>
        <w:gridCol w:w="403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Regulator/Framework</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Relevant Requirements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Coverage</w:t>
            </w:r>
          </w:p>
        </w:tc>
      </w:tr>
      <w:tr>
        <w:trPr>
          <w:trHeight w:val="425" w:hRule="atLeast"/>
        </w:trPr>
        <w:tc>
          <w:tcPr>
            <w:tcW w:type="dxa" w:w="3249"/>
            <w:vAlign w:val="center"/>
          </w:tcPr>
          <w:p>
            <w:pPr>
              <w:spacing w:line="276" w:lineRule="auto" w:before="0" w:after="0"/>
            </w:pPr>
            <w:r/>
            <w:r>
              <w:rPr>
                <w:rFonts w:ascii="Figtree" w:hAnsi="Figtree"/>
                <w:b w:val="0"/>
                <w:i w:val="0"/>
                <w:sz w:val="20"/>
              </w:rPr>
              <w:t>CBUAE</w:t>
            </w:r>
          </w:p>
        </w:tc>
        <w:tc>
          <w:tcPr>
            <w:tcW w:type="dxa" w:w="3249"/>
            <w:vAlign w:val="center"/>
          </w:tcPr>
          <w:p>
            <w:pPr>
              <w:spacing w:line="276" w:lineRule="auto" w:before="0" w:after="0"/>
            </w:pPr>
            <w:r/>
            <w:r>
              <w:rPr>
                <w:rFonts w:ascii="Figtree" w:hAnsi="Figtree"/>
                <w:b w:val="0"/>
                <w:i w:val="0"/>
                <w:sz w:val="20"/>
              </w:rPr>
              <w:t>Payment/stored value, prudential controls</w:t>
            </w:r>
          </w:p>
        </w:tc>
        <w:tc>
          <w:tcPr>
            <w:tcW w:type="dxa" w:w="3249"/>
            <w:vAlign w:val="center"/>
          </w:tcPr>
          <w:p>
            <w:pPr>
              <w:spacing w:line="276" w:lineRule="auto" w:before="0" w:after="0"/>
            </w:pPr>
            <w:r/>
            <w:r>
              <w:rPr>
                <w:rFonts w:ascii="Figtree" w:hAnsi="Figtree"/>
                <w:b w:val="0"/>
                <w:i w:val="0"/>
                <w:sz w:val="20"/>
              </w:rPr>
              <w:t>Key management, operational resilience</w:t>
            </w:r>
          </w:p>
        </w:tc>
      </w:tr>
      <w:tr>
        <w:trPr>
          <w:trHeight w:val="425" w:hRule="atLeast"/>
        </w:trPr>
        <w:tc>
          <w:tcPr>
            <w:tcW w:type="dxa" w:w="3249"/>
            <w:vAlign w:val="center"/>
          </w:tcPr>
          <w:p>
            <w:pPr>
              <w:spacing w:line="276" w:lineRule="auto" w:before="0" w:after="0"/>
            </w:pPr>
            <w:r/>
            <w:r>
              <w:rPr>
                <w:rFonts w:ascii="Figtree" w:hAnsi="Figtree"/>
                <w:b w:val="0"/>
                <w:i w:val="0"/>
                <w:sz w:val="20"/>
              </w:rPr>
              <w:t>ADGM FSMR</w:t>
            </w:r>
          </w:p>
        </w:tc>
        <w:tc>
          <w:tcPr>
            <w:tcW w:type="dxa" w:w="3249"/>
            <w:vAlign w:val="center"/>
          </w:tcPr>
          <w:p>
            <w:pPr>
              <w:spacing w:line="276" w:lineRule="auto" w:before="0" w:after="0"/>
            </w:pPr>
            <w:r/>
            <w:r>
              <w:rPr>
                <w:rFonts w:ascii="Figtree" w:hAnsi="Figtree"/>
                <w:b w:val="0"/>
                <w:i w:val="0"/>
                <w:sz w:val="20"/>
              </w:rPr>
              <w:t>Custody services, digital assets</w:t>
            </w:r>
          </w:p>
        </w:tc>
        <w:tc>
          <w:tcPr>
            <w:tcW w:type="dxa" w:w="3249"/>
            <w:vAlign w:val="center"/>
          </w:tcPr>
          <w:p>
            <w:pPr>
              <w:spacing w:line="276" w:lineRule="auto" w:before="0" w:after="0"/>
            </w:pPr>
            <w:r/>
            <w:r>
              <w:rPr>
                <w:rFonts w:ascii="Figtree" w:hAnsi="Figtree"/>
                <w:b w:val="0"/>
                <w:i w:val="0"/>
                <w:sz w:val="20"/>
              </w:rPr>
              <w:t>Custody provider integration, compliance modules</w:t>
            </w:r>
          </w:p>
        </w:tc>
      </w:tr>
      <w:tr>
        <w:trPr>
          <w:trHeight w:val="425" w:hRule="atLeast"/>
        </w:trPr>
        <w:tc>
          <w:tcPr>
            <w:tcW w:type="dxa" w:w="3249"/>
            <w:vAlign w:val="center"/>
          </w:tcPr>
          <w:p>
            <w:pPr>
              <w:spacing w:line="276" w:lineRule="auto" w:before="0" w:after="0"/>
            </w:pPr>
            <w:r/>
            <w:r>
              <w:rPr>
                <w:rFonts w:ascii="Figtree" w:hAnsi="Figtree"/>
                <w:b w:val="0"/>
                <w:i w:val="0"/>
                <w:sz w:val="20"/>
              </w:rPr>
              <w:t>DFSA</w:t>
            </w:r>
          </w:p>
        </w:tc>
        <w:tc>
          <w:tcPr>
            <w:tcW w:type="dxa" w:w="3249"/>
            <w:vAlign w:val="center"/>
          </w:tcPr>
          <w:p>
            <w:pPr>
              <w:spacing w:line="276" w:lineRule="auto" w:before="0" w:after="0"/>
            </w:pPr>
            <w:r/>
            <w:r>
              <w:rPr>
                <w:rFonts w:ascii="Figtree" w:hAnsi="Figtree"/>
                <w:b w:val="0"/>
                <w:i w:val="0"/>
                <w:sz w:val="20"/>
              </w:rPr>
              <w:t>Investment services (if DIFC-scoped)</w:t>
            </w:r>
          </w:p>
        </w:tc>
        <w:tc>
          <w:tcPr>
            <w:tcW w:type="dxa" w:w="3249"/>
            <w:vAlign w:val="center"/>
          </w:tcPr>
          <w:p>
            <w:pPr>
              <w:spacing w:line="276" w:lineRule="auto" w:before="0" w:after="0"/>
            </w:pPr>
            <w:r/>
            <w:r>
              <w:rPr>
                <w:rFonts w:ascii="Figtree" w:hAnsi="Figtree"/>
                <w:b w:val="0"/>
                <w:i w:val="0"/>
                <w:sz w:val="20"/>
              </w:rPr>
              <w:t>Investor eligibility, transfer restrictions</w:t>
            </w:r>
          </w:p>
        </w:tc>
      </w:tr>
      <w:tr>
        <w:trPr>
          <w:trHeight w:val="425" w:hRule="atLeast"/>
        </w:trPr>
        <w:tc>
          <w:tcPr>
            <w:tcW w:type="dxa" w:w="3249"/>
            <w:vAlign w:val="center"/>
          </w:tcPr>
          <w:p>
            <w:pPr>
              <w:spacing w:line="276" w:lineRule="auto" w:before="0" w:after="0"/>
            </w:pPr>
            <w:r/>
            <w:r>
              <w:rPr>
                <w:rFonts w:ascii="Figtree" w:hAnsi="Figtree"/>
                <w:b w:val="0"/>
                <w:i w:val="0"/>
                <w:sz w:val="20"/>
              </w:rPr>
              <w:t>UAE SCA</w:t>
            </w:r>
          </w:p>
        </w:tc>
        <w:tc>
          <w:tcPr>
            <w:tcW w:type="dxa" w:w="3249"/>
            <w:vAlign w:val="center"/>
          </w:tcPr>
          <w:p>
            <w:pPr>
              <w:spacing w:line="276" w:lineRule="auto" w:before="0" w:after="0"/>
            </w:pPr>
            <w:r/>
            <w:r>
              <w:rPr>
                <w:rFonts w:ascii="Figtree" w:hAnsi="Figtree"/>
                <w:b w:val="0"/>
                <w:i w:val="0"/>
                <w:sz w:val="20"/>
              </w:rPr>
              <w:t>Securities regulation</w:t>
            </w:r>
          </w:p>
        </w:tc>
        <w:tc>
          <w:tcPr>
            <w:tcW w:type="dxa" w:w="3249"/>
            <w:vAlign w:val="center"/>
          </w:tcPr>
          <w:p>
            <w:pPr>
              <w:spacing w:line="276" w:lineRule="auto" w:before="0" w:after="0"/>
            </w:pPr>
            <w:r/>
            <w:r>
              <w:rPr>
                <w:rFonts w:ascii="Figtree" w:hAnsi="Figtree"/>
                <w:b w:val="0"/>
                <w:i w:val="0"/>
                <w:sz w:val="20"/>
              </w:rPr>
              <w:t>Asset governance, distribution controls</w:t>
            </w:r>
          </w:p>
        </w:tc>
      </w:tr>
      <w:tr>
        <w:trPr>
          <w:trHeight w:val="425" w:hRule="atLeast"/>
        </w:trPr>
        <w:tc>
          <w:tcPr>
            <w:tcW w:type="dxa" w:w="3249"/>
            <w:vAlign w:val="center"/>
          </w:tcPr>
          <w:p>
            <w:pPr>
              <w:spacing w:line="276" w:lineRule="auto" w:before="0" w:after="0"/>
            </w:pPr>
            <w:r/>
            <w:r>
              <w:rPr>
                <w:rFonts w:ascii="Figtree" w:hAnsi="Figtree"/>
                <w:b w:val="0"/>
                <w:i w:val="0"/>
                <w:sz w:val="20"/>
              </w:rPr>
              <w:t>UAE AML/CFT</w:t>
            </w:r>
          </w:p>
        </w:tc>
        <w:tc>
          <w:tcPr>
            <w:tcW w:type="dxa" w:w="3249"/>
            <w:vAlign w:val="center"/>
          </w:tcPr>
          <w:p>
            <w:pPr>
              <w:spacing w:line="276" w:lineRule="auto" w:before="0" w:after="0"/>
            </w:pPr>
            <w:r/>
            <w:r>
              <w:rPr>
                <w:rFonts w:ascii="Figtree" w:hAnsi="Figtree"/>
                <w:b w:val="0"/>
                <w:i w:val="0"/>
                <w:sz w:val="20"/>
              </w:rPr>
              <w:t>Anti-money laundering</w:t>
            </w:r>
          </w:p>
        </w:tc>
        <w:tc>
          <w:tcPr>
            <w:tcW w:type="dxa" w:w="3249"/>
            <w:vAlign w:val="center"/>
          </w:tcPr>
          <w:p>
            <w:pPr>
              <w:spacing w:line="276" w:lineRule="auto" w:before="0" w:after="0"/>
            </w:pPr>
            <w:r/>
            <w:r>
              <w:rPr>
                <w:rFonts w:ascii="Figtree" w:hAnsi="Figtree"/>
                <w:b w:val="0"/>
                <w:i w:val="0"/>
                <w:sz w:val="20"/>
              </w:rPr>
              <w:t>OnchainID with KYC claims, sanctions integration</w:t>
            </w:r>
          </w:p>
        </w:tc>
      </w:tr>
      <w:tr>
        <w:trPr>
          <w:trHeight w:val="425" w:hRule="atLeast"/>
        </w:trPr>
        <w:tc>
          <w:tcPr>
            <w:tcW w:type="dxa" w:w="3249"/>
            <w:vAlign w:val="center"/>
          </w:tcPr>
          <w:p>
            <w:pPr>
              <w:spacing w:line="276" w:lineRule="auto" w:before="0" w:after="0"/>
            </w:pPr>
            <w:r/>
            <w:r>
              <w:rPr>
                <w:rFonts w:ascii="Figtree" w:hAnsi="Figtree"/>
                <w:b w:val="0"/>
                <w:i w:val="0"/>
                <w:sz w:val="20"/>
              </w:rPr>
              <w:t>CBUAE Cyber</w:t>
            </w:r>
          </w:p>
        </w:tc>
        <w:tc>
          <w:tcPr>
            <w:tcW w:type="dxa" w:w="3249"/>
            <w:vAlign w:val="center"/>
          </w:tcPr>
          <w:p>
            <w:pPr>
              <w:spacing w:line="276" w:lineRule="auto" w:before="0" w:after="0"/>
            </w:pPr>
            <w:r/>
            <w:r>
              <w:rPr>
                <w:rFonts w:ascii="Figtree" w:hAnsi="Figtree"/>
                <w:b w:val="0"/>
                <w:i w:val="0"/>
                <w:sz w:val="20"/>
              </w:rPr>
              <w:t>Cyber resilience</w:t>
            </w:r>
          </w:p>
        </w:tc>
        <w:tc>
          <w:tcPr>
            <w:tcW w:type="dxa" w:w="3249"/>
            <w:vAlign w:val="center"/>
          </w:tcPr>
          <w:p>
            <w:pPr>
              <w:spacing w:line="276" w:lineRule="auto" w:before="0" w:after="0"/>
            </w:pPr>
            <w:r/>
            <w:r>
              <w:rPr>
                <w:rFonts w:ascii="Figtree" w:hAnsi="Figtree"/>
                <w:b w:val="0"/>
                <w:i w:val="0"/>
                <w:sz w:val="20"/>
              </w:rPr>
              <w:t>Defense-in-depth, ISO 27001, SOC 2 Type II</w:t>
            </w:r>
          </w:p>
        </w:tc>
      </w:tr>
    </w:tbl>
    <w:p>
      <w:pPr>
        <w:spacing w:before="0" w:after="0" w:line="120" w:lineRule="exact"/>
      </w:pPr>
    </w:p>
    <w:p>
      <w:r>
        <w:br w:type="page"/>
      </w:r>
    </w:p>
    <w:p>
      <w:pPr>
        <w:pStyle w:val="H2"/>
        <w:numPr>
          <w:ilvl w:val="1"/>
          <w:numId w:val="1"/>
        </w:numPr>
      </w:pPr>
      <w:r>
        <w:t>Customer References</w:t>
      </w:r>
    </w:p>
    <w:p>
      <w:pPr>
        <w:pStyle w:val="H3"/>
        <w:numPr>
          <w:ilvl w:val="2"/>
          <w:numId w:val="1"/>
        </w:numPr>
      </w:pPr>
      <w:r>
        <w:t>Reference Fit for Custody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30"/>
        <w:gridCol w:w="5614"/>
        <w:gridCol w:w="162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Client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Relevance to FAB Custody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Geography</w:t>
            </w:r>
          </w:p>
        </w:tc>
      </w:tr>
      <w:tr>
        <w:trPr>
          <w:trHeight w:val="425" w:hRule="atLeast"/>
        </w:trPr>
        <w:tc>
          <w:tcPr>
            <w:tcW w:type="dxa" w:w="3249"/>
            <w:vAlign w:val="center"/>
          </w:tcPr>
          <w:p>
            <w:pPr>
              <w:spacing w:line="276" w:lineRule="auto" w:before="0" w:after="0"/>
            </w:pPr>
            <w:r/>
            <w:r>
              <w:rPr>
                <w:rFonts w:ascii="Figtree" w:hAnsi="Figtree"/>
                <w:b w:val="0"/>
                <w:i w:val="0"/>
                <w:sz w:val="20"/>
              </w:rPr>
              <w:t>ADI Finstreet</w:t>
            </w:r>
          </w:p>
        </w:tc>
        <w:tc>
          <w:tcPr>
            <w:tcW w:type="dxa" w:w="3249"/>
            <w:vAlign w:val="center"/>
          </w:tcPr>
          <w:p>
            <w:pPr>
              <w:spacing w:line="276" w:lineRule="auto" w:before="0" w:after="0"/>
            </w:pPr>
            <w:r/>
            <w:r>
              <w:rPr>
                <w:rFonts w:ascii="Figtree" w:hAnsi="Figtree"/>
                <w:b w:val="0"/>
                <w:i w:val="0"/>
                <w:sz w:val="20"/>
              </w:rPr>
              <w:t>Tokenized equity with institutional custody on ADI mainnet</w:t>
            </w:r>
          </w:p>
        </w:tc>
        <w:tc>
          <w:tcPr>
            <w:tcW w:type="dxa" w:w="3249"/>
            <w:vAlign w:val="center"/>
          </w:tcPr>
          <w:p>
            <w:pPr>
              <w:spacing w:line="276" w:lineRule="auto" w:before="0" w:after="0"/>
            </w:pPr>
            <w:r/>
            <w:r>
              <w:rPr>
                <w:rFonts w:ascii="Figtree" w:hAnsi="Figtree"/>
                <w:b w:val="0"/>
                <w:i w:val="0"/>
                <w:sz w:val="20"/>
              </w:rPr>
              <w:t>Abu Dhabi</w:t>
            </w:r>
          </w:p>
        </w:tc>
      </w:tr>
      <w:tr>
        <w:trPr>
          <w:trHeight w:val="425" w:hRule="atLeast"/>
        </w:trPr>
        <w:tc>
          <w:tcPr>
            <w:tcW w:type="dxa" w:w="3249"/>
            <w:vAlign w:val="center"/>
          </w:tcPr>
          <w:p>
            <w:pPr>
              <w:spacing w:line="276" w:lineRule="auto" w:before="0" w:after="0"/>
            </w:pPr>
            <w:r/>
            <w:r>
              <w:rPr>
                <w:rFonts w:ascii="Figtree" w:hAnsi="Figtree"/>
                <w:b w:val="0"/>
                <w:i w:val="0"/>
                <w:sz w:val="20"/>
              </w:rPr>
              <w:t>Standard Chartered</w:t>
            </w:r>
          </w:p>
        </w:tc>
        <w:tc>
          <w:tcPr>
            <w:tcW w:type="dxa" w:w="3249"/>
            <w:vAlign w:val="center"/>
          </w:tcPr>
          <w:p>
            <w:pPr>
              <w:spacing w:line="276" w:lineRule="auto" w:before="0" w:after="0"/>
            </w:pPr>
            <w:r/>
            <w:r>
              <w:rPr>
                <w:rFonts w:ascii="Figtree" w:hAnsi="Figtree"/>
                <w:b w:val="0"/>
                <w:i w:val="0"/>
                <w:sz w:val="20"/>
              </w:rPr>
              <w:t>Digital Virtual Exchange, custody intermediary elimination</w:t>
            </w:r>
          </w:p>
        </w:tc>
        <w:tc>
          <w:tcPr>
            <w:tcW w:type="dxa" w:w="3249"/>
            <w:vAlign w:val="center"/>
          </w:tcPr>
          <w:p>
            <w:pPr>
              <w:spacing w:line="276" w:lineRule="auto" w:before="0" w:after="0"/>
            </w:pPr>
            <w:r/>
            <w:r>
              <w:rPr>
                <w:rFonts w:ascii="Figtree" w:hAnsi="Figtree"/>
                <w:b w:val="0"/>
                <w:i w:val="0"/>
                <w:sz w:val="20"/>
              </w:rPr>
              <w:t>Asia, Africa, ME</w:t>
            </w:r>
          </w:p>
        </w:tc>
      </w:tr>
      <w:tr>
        <w:trPr>
          <w:trHeight w:val="425" w:hRule="atLeast"/>
        </w:trPr>
        <w:tc>
          <w:tcPr>
            <w:tcW w:type="dxa" w:w="3249"/>
            <w:vAlign w:val="center"/>
          </w:tcPr>
          <w:p>
            <w:pPr>
              <w:spacing w:line="276" w:lineRule="auto" w:before="0" w:after="0"/>
            </w:pPr>
            <w:r/>
            <w:r>
              <w:rPr>
                <w:rFonts w:ascii="Figtree" w:hAnsi="Figtree"/>
                <w:b w:val="0"/>
                <w:i w:val="0"/>
                <w:sz w:val="20"/>
              </w:rPr>
              <w:t>OCBC Bank</w:t>
            </w:r>
          </w:p>
        </w:tc>
        <w:tc>
          <w:tcPr>
            <w:tcW w:type="dxa" w:w="3249"/>
            <w:vAlign w:val="center"/>
          </w:tcPr>
          <w:p>
            <w:pPr>
              <w:spacing w:line="276" w:lineRule="auto" w:before="0" w:after="0"/>
            </w:pPr>
            <w:r/>
            <w:r>
              <w:rPr>
                <w:rFonts w:ascii="Figtree" w:hAnsi="Figtree"/>
                <w:b w:val="0"/>
                <w:i w:val="0"/>
                <w:sz w:val="20"/>
              </w:rPr>
              <w:t>Security token engine for HNWIs, securitization</w:t>
            </w:r>
          </w:p>
        </w:tc>
        <w:tc>
          <w:tcPr>
            <w:tcW w:type="dxa" w:w="3249"/>
            <w:vAlign w:val="center"/>
          </w:tcPr>
          <w:p>
            <w:pPr>
              <w:spacing w:line="276" w:lineRule="auto" w:before="0" w:after="0"/>
            </w:pPr>
            <w:r/>
            <w:r>
              <w:rPr>
                <w:rFonts w:ascii="Figtree" w:hAnsi="Figtree"/>
                <w:b w:val="0"/>
                <w:i w:val="0"/>
                <w:sz w:val="20"/>
              </w:rPr>
              <w:t>Singapore</w:t>
            </w:r>
          </w:p>
        </w:tc>
      </w:tr>
      <w:tr>
        <w:trPr>
          <w:trHeight w:val="425" w:hRule="atLeast"/>
        </w:trPr>
        <w:tc>
          <w:tcPr>
            <w:tcW w:type="dxa" w:w="3249"/>
            <w:vAlign w:val="center"/>
          </w:tcPr>
          <w:p>
            <w:pPr>
              <w:spacing w:line="276" w:lineRule="auto" w:before="0" w:after="0"/>
            </w:pPr>
            <w:r/>
            <w:r>
              <w:rPr>
                <w:rFonts w:ascii="Figtree" w:hAnsi="Figtree"/>
                <w:b w:val="0"/>
                <w:i w:val="0"/>
                <w:sz w:val="20"/>
              </w:rPr>
              <w:t>Commerzbank</w:t>
            </w:r>
          </w:p>
        </w:tc>
        <w:tc>
          <w:tcPr>
            <w:tcW w:type="dxa" w:w="3249"/>
            <w:vAlign w:val="center"/>
          </w:tcPr>
          <w:p>
            <w:pPr>
              <w:spacing w:line="276" w:lineRule="auto" w:before="0" w:after="0"/>
            </w:pPr>
            <w:r/>
            <w:r>
              <w:rPr>
                <w:rFonts w:ascii="Figtree" w:hAnsi="Figtree"/>
                <w:b w:val="0"/>
                <w:i w:val="0"/>
                <w:sz w:val="20"/>
              </w:rPr>
              <w:t>ETP issuance, exchange-grade settlement</w:t>
            </w:r>
          </w:p>
        </w:tc>
        <w:tc>
          <w:tcPr>
            <w:tcW w:type="dxa" w:w="3249"/>
            <w:vAlign w:val="center"/>
          </w:tcPr>
          <w:p>
            <w:pPr>
              <w:spacing w:line="276" w:lineRule="auto" w:before="0" w:after="0"/>
            </w:pPr>
            <w:r/>
            <w:r>
              <w:rPr>
                <w:rFonts w:ascii="Figtree" w:hAnsi="Figtree"/>
                <w:b w:val="0"/>
                <w:i w:val="0"/>
                <w:sz w:val="20"/>
              </w:rPr>
              <w:t>Germany</w:t>
            </w:r>
          </w:p>
        </w:tc>
      </w:tr>
      <w:tr>
        <w:trPr>
          <w:trHeight w:val="425" w:hRule="atLeast"/>
        </w:trPr>
        <w:tc>
          <w:tcPr>
            <w:tcW w:type="dxa" w:w="3249"/>
            <w:vAlign w:val="center"/>
          </w:tcPr>
          <w:p>
            <w:pPr>
              <w:spacing w:line="276" w:lineRule="auto" w:before="0" w:after="0"/>
            </w:pPr>
            <w:r/>
            <w:r>
              <w:rPr>
                <w:rFonts w:ascii="Figtree" w:hAnsi="Figtree"/>
                <w:b w:val="0"/>
                <w:i w:val="0"/>
                <w:sz w:val="20"/>
              </w:rPr>
              <w:t>Sony Bank</w:t>
            </w:r>
          </w:p>
        </w:tc>
        <w:tc>
          <w:tcPr>
            <w:tcW w:type="dxa" w:w="3249"/>
            <w:vAlign w:val="center"/>
          </w:tcPr>
          <w:p>
            <w:pPr>
              <w:spacing w:line="276" w:lineRule="auto" w:before="0" w:after="0"/>
            </w:pPr>
            <w:r/>
            <w:r>
              <w:rPr>
                <w:rFonts w:ascii="Figtree" w:hAnsi="Figtree"/>
                <w:b w:val="0"/>
                <w:i w:val="0"/>
                <w:sz w:val="20"/>
              </w:rPr>
              <w:t>Stablecoin with KYC-enabled digital identity</w:t>
            </w:r>
          </w:p>
        </w:tc>
        <w:tc>
          <w:tcPr>
            <w:tcW w:type="dxa" w:w="3249"/>
            <w:vAlign w:val="center"/>
          </w:tcPr>
          <w:p>
            <w:pPr>
              <w:spacing w:line="276" w:lineRule="auto" w:before="0" w:after="0"/>
            </w:pPr>
            <w:r/>
            <w:r>
              <w:rPr>
                <w:rFonts w:ascii="Figtree" w:hAnsi="Figtree"/>
                <w:b w:val="0"/>
                <w:i w:val="0"/>
                <w:sz w:val="20"/>
              </w:rPr>
              <w:t>Japan</w:t>
            </w:r>
          </w:p>
        </w:tc>
      </w:tr>
      <w:tr>
        <w:trPr>
          <w:trHeight w:val="425" w:hRule="atLeast"/>
        </w:trPr>
        <w:tc>
          <w:tcPr>
            <w:tcW w:type="dxa" w:w="3249"/>
            <w:vAlign w:val="center"/>
          </w:tcPr>
          <w:p>
            <w:pPr>
              <w:spacing w:line="276" w:lineRule="auto" w:before="0" w:after="0"/>
            </w:pPr>
            <w:r/>
            <w:r>
              <w:rPr>
                <w:rFonts w:ascii="Figtree" w:hAnsi="Figtree"/>
                <w:b w:val="0"/>
                <w:i w:val="0"/>
                <w:sz w:val="20"/>
              </w:rPr>
              <w:t>Saudi RER</w:t>
            </w:r>
          </w:p>
        </w:tc>
        <w:tc>
          <w:tcPr>
            <w:tcW w:type="dxa" w:w="3249"/>
            <w:vAlign w:val="center"/>
          </w:tcPr>
          <w:p>
            <w:pPr>
              <w:spacing w:line="276" w:lineRule="auto" w:before="0" w:after="0"/>
            </w:pPr>
            <w:r/>
            <w:r>
              <w:rPr>
                <w:rFonts w:ascii="Figtree" w:hAnsi="Figtree"/>
                <w:b w:val="0"/>
                <w:i w:val="0"/>
                <w:sz w:val="20"/>
              </w:rPr>
              <w:t>Country-scale with institutional custody</w:t>
            </w:r>
          </w:p>
        </w:tc>
        <w:tc>
          <w:tcPr>
            <w:tcW w:type="dxa" w:w="3249"/>
            <w:vAlign w:val="center"/>
          </w:tcPr>
          <w:p>
            <w:pPr>
              <w:spacing w:line="276" w:lineRule="auto" w:before="0" w:after="0"/>
            </w:pPr>
            <w:r/>
            <w:r>
              <w:rPr>
                <w:rFonts w:ascii="Figtree" w:hAnsi="Figtree"/>
                <w:b w:val="0"/>
                <w:i w:val="0"/>
                <w:sz w:val="20"/>
              </w:rPr>
              <w:t>KSA</w:t>
            </w:r>
          </w:p>
        </w:tc>
      </w:tr>
      <w:tr>
        <w:trPr>
          <w:trHeight w:val="425" w:hRule="atLeast"/>
        </w:trPr>
        <w:tc>
          <w:tcPr>
            <w:tcW w:type="dxa" w:w="3249"/>
            <w:vAlign w:val="center"/>
          </w:tcPr>
          <w:p>
            <w:pPr>
              <w:spacing w:line="276" w:lineRule="auto" w:before="0" w:after="0"/>
            </w:pPr>
            <w:r/>
            <w:r>
              <w:rPr>
                <w:rFonts w:ascii="Figtree" w:hAnsi="Figtree"/>
                <w:b w:val="0"/>
                <w:i w:val="0"/>
                <w:sz w:val="20"/>
              </w:rPr>
              <w:t>Maybank Photon</w:t>
            </w:r>
          </w:p>
        </w:tc>
        <w:tc>
          <w:tcPr>
            <w:tcW w:type="dxa" w:w="3249"/>
            <w:vAlign w:val="center"/>
          </w:tcPr>
          <w:p>
            <w:pPr>
              <w:spacing w:line="276" w:lineRule="auto" w:before="0" w:after="0"/>
            </w:pPr>
            <w:r/>
            <w:r>
              <w:rPr>
                <w:rFonts w:ascii="Figtree" w:hAnsi="Figtree"/>
                <w:b w:val="0"/>
                <w:i w:val="0"/>
                <w:sz w:val="20"/>
              </w:rPr>
              <w:t>Cross-border atomic settlement (XvP)</w:t>
            </w:r>
          </w:p>
        </w:tc>
        <w:tc>
          <w:tcPr>
            <w:tcW w:type="dxa" w:w="3249"/>
            <w:vAlign w:val="center"/>
          </w:tcPr>
          <w:p>
            <w:pPr>
              <w:spacing w:line="276" w:lineRule="auto" w:before="0" w:after="0"/>
            </w:pPr>
            <w:r/>
            <w:r>
              <w:rPr>
                <w:rFonts w:ascii="Figtree" w:hAnsi="Figtree"/>
                <w:b w:val="0"/>
                <w:i w:val="0"/>
                <w:sz w:val="20"/>
              </w:rPr>
              <w:t>Malaysia</w:t>
            </w:r>
          </w:p>
        </w:tc>
      </w:tr>
    </w:tbl>
    <w:p>
      <w:pPr>
        <w:spacing w:before="0" w:after="0" w:line="120" w:lineRule="exact"/>
      </w:pPr>
    </w:p>
    <w:p>
      <w:pPr>
        <w:pStyle w:val="H3"/>
        <w:numPr>
          <w:ilvl w:val="2"/>
          <w:numId w:val="1"/>
        </w:numPr>
      </w:pPr>
      <w:r>
        <w:t>Expanded Reference: ADI Finstreet — Abu Dhabi</w:t>
      </w:r>
    </w:p>
    <w:p>
      <w:r>
        <w:rPr>
          <w:rFonts w:ascii="Figtree" w:hAnsi="Figtree"/>
          <w:b/>
          <w:i w:val="0"/>
          <w:sz w:val="22"/>
        </w:rPr>
        <w:t>Context.</w:t>
      </w:r>
      <w:r>
        <w:rPr>
          <w:rFonts w:ascii="Figtree" w:hAnsi="Figtree"/>
          <w:b w:val="0"/>
          <w:i w:val="0"/>
          <w:sz w:val="22"/>
        </w:rPr>
        <w:t xml:space="preserve"> ADI required tokenized equity issuance on ADI mainnet with institutional-grade custody integration, corporate actions (on-chain voting), and compliance enforcement.</w:t>
      </w:r>
    </w:p>
    <w:p>
      <w:r>
        <w:rPr>
          <w:rFonts w:ascii="Figtree" w:hAnsi="Figtree"/>
          <w:b/>
          <w:i w:val="0"/>
          <w:sz w:val="22"/>
        </w:rPr>
        <w:t>Solution.</w:t>
      </w:r>
      <w:r>
        <w:rPr>
          <w:rFonts w:ascii="Figtree" w:hAnsi="Figtree"/>
          <w:b w:val="0"/>
          <w:i w:val="0"/>
          <w:sz w:val="22"/>
        </w:rPr>
        <w:t xml:space="preserve"> DALP powers the tokenization and custody layer. Key Guardian integrates with the selected custody provider for institutional key management. On-chain voting is implemented through the ERC-5805 voting power feature. Compliance modules enforce investor eligibility and transfer restrictions.</w:t>
      </w:r>
    </w:p>
    <w:p>
      <w:r>
        <w:rPr>
          <w:rFonts w:ascii="Figtree" w:hAnsi="Figtree"/>
          <w:b/>
          <w:i w:val="0"/>
          <w:sz w:val="22"/>
        </w:rPr>
        <w:t>Outcomes.</w:t>
      </w:r>
      <w:r>
        <w:rPr>
          <w:rFonts w:ascii="Figtree" w:hAnsi="Figtree"/>
          <w:b w:val="0"/>
          <w:i w:val="0"/>
          <w:sz w:val="22"/>
        </w:rPr>
        <w:t xml:space="preserve"> Tokenized equity operational on ADI mainnet. Corporate actions (voting) executed on-chain. Institutional custody integrated.</w:t>
      </w:r>
    </w:p>
    <w:p>
      <w:r>
        <w:rPr>
          <w:rFonts w:ascii="Figtree" w:hAnsi="Figtree"/>
          <w:b/>
          <w:i w:val="0"/>
          <w:sz w:val="22"/>
        </w:rPr>
        <w:t>Transferability.</w:t>
      </w:r>
      <w:r>
        <w:rPr>
          <w:rFonts w:ascii="Figtree" w:hAnsi="Figtree"/>
          <w:b w:val="0"/>
          <w:i w:val="0"/>
          <w:sz w:val="22"/>
        </w:rPr>
        <w:t xml:space="preserve"> Directly applicable to FAB — same market (Abu Dhabi), same asset class focus (institutional distribution), same custody integration pattern.</w:t>
      </w:r>
    </w:p>
    <w:p>
      <w:pPr>
        <w:pStyle w:val="H3"/>
        <w:numPr>
          <w:ilvl w:val="2"/>
          <w:numId w:val="1"/>
        </w:numPr>
      </w:pPr>
      <w:r>
        <w:t>Expanded Reference: OCBC Bank — Security Token Engine</w:t>
      </w:r>
    </w:p>
    <w:p>
      <w:r>
        <w:rPr>
          <w:rFonts w:ascii="Figtree" w:hAnsi="Figtree"/>
          <w:b/>
          <w:i w:val="0"/>
          <w:sz w:val="22"/>
        </w:rPr>
        <w:t>Context.</w:t>
      </w:r>
      <w:r>
        <w:rPr>
          <w:rFonts w:ascii="Figtree" w:hAnsi="Figtree"/>
          <w:b w:val="0"/>
          <w:i w:val="0"/>
          <w:sz w:val="22"/>
        </w:rPr>
        <w:t xml:space="preserve"> OCBC required a security token engine for securitization, tokenization, and fractionalization of off-chain assets targeting high-net-worth investors. The platform needed to support multi-asset tokenization with investor eligibility enforcement.</w:t>
      </w:r>
    </w:p>
    <w:p>
      <w:r>
        <w:rPr>
          <w:rFonts w:ascii="Figtree" w:hAnsi="Figtree"/>
          <w:b/>
          <w:i w:val="0"/>
          <w:sz w:val="22"/>
        </w:rPr>
        <w:t>Solution.</w:t>
      </w:r>
      <w:r>
        <w:rPr>
          <w:rFonts w:ascii="Figtree" w:hAnsi="Figtree"/>
          <w:b w:val="0"/>
          <w:i w:val="0"/>
          <w:sz w:val="22"/>
        </w:rPr>
        <w:t xml:space="preserve"> DALP provides the token engine with configurable compliance modules for HNWI eligibility verification, jurisdiction restrictions, and transfer controls. The fractionalization model enables broader investor access while maintaining regulatory compliance.</w:t>
      </w:r>
    </w:p>
    <w:p>
      <w:r>
        <w:rPr>
          <w:rFonts w:ascii="Figtree" w:hAnsi="Figtree"/>
          <w:b/>
          <w:i w:val="0"/>
          <w:sz w:val="22"/>
        </w:rPr>
        <w:t>Outcomes.</w:t>
      </w:r>
      <w:r>
        <w:rPr>
          <w:rFonts w:ascii="Figtree" w:hAnsi="Figtree"/>
          <w:b w:val="0"/>
          <w:i w:val="0"/>
          <w:sz w:val="22"/>
        </w:rPr>
        <w:t xml:space="preserve"> Security token engine operational. HNWI targeting with compliance enforcement. Multi-asset tokenization capability.</w:t>
      </w:r>
    </w:p>
    <w:p>
      <w:r>
        <w:rPr>
          <w:rFonts w:ascii="Figtree" w:hAnsi="Figtree"/>
          <w:b/>
          <w:i w:val="0"/>
          <w:sz w:val="22"/>
        </w:rPr>
        <w:t>Transferability.</w:t>
      </w:r>
      <w:r>
        <w:rPr>
          <w:rFonts w:ascii="Figtree" w:hAnsi="Figtree"/>
          <w:b w:val="0"/>
          <w:i w:val="0"/>
          <w:sz w:val="22"/>
        </w:rPr>
        <w:t xml:space="preserve"> Directly relevant to FAB's private banking distribution objective — the HNWI targeting model, fractionalization capability, and compliance enforcement pattern are identical requirements.</w:t>
      </w:r>
    </w:p>
    <w:p>
      <w:r>
        <w:br w:type="page"/>
      </w:r>
    </w:p>
    <w:p>
      <w:pPr>
        <w:pStyle w:val="H2"/>
        <w:numPr>
          <w:ilvl w:val="1"/>
          <w:numId w:val="1"/>
        </w:numPr>
      </w:pPr>
      <w:r>
        <w:t>Proposed Solution and Functional Capabilities</w:t>
      </w:r>
    </w:p>
    <w:p>
      <w:pPr>
        <w:pStyle w:val="H3"/>
        <w:numPr>
          <w:ilvl w:val="2"/>
          <w:numId w:val="1"/>
        </w:numPr>
      </w:pPr>
      <w:r>
        <w:t>Solution Overview</w:t>
      </w:r>
    </w:p>
    <w:p>
      <w:r>
        <w:rPr>
          <w:rFonts w:ascii="Figtree" w:hAnsi="Figtree"/>
          <w:b w:val="0"/>
          <w:i w:val="0"/>
          <w:sz w:val="22"/>
        </w:rPr>
        <w:t>The proposed solution deploys DALP as FAB's digital asset custody and distribution platform, covering:</w:t>
      </w:r>
    </w:p>
    <w:p>
      <w:pPr>
        <w:pStyle w:val="ListParagraph"/>
        <w:numPr>
          <w:ilvl w:val="0"/>
          <w:numId w:val="6"/>
        </w:numPr>
      </w:pPr>
      <w:r>
        <w:rPr>
          <w:rFonts w:ascii="Figtree" w:hAnsi="Figtree"/>
          <w:b/>
          <w:i w:val="0"/>
          <w:sz w:val="22"/>
        </w:rPr>
        <w:t>Institutional Custody Infrastructure:</w:t>
      </w:r>
      <w:r>
        <w:rPr>
          <w:rFonts w:ascii="Figtree" w:hAnsi="Figtree"/>
          <w:b w:val="0"/>
          <w:i w:val="0"/>
          <w:sz w:val="22"/>
        </w:rPr>
        <w:t xml:space="preserve"> Key Guardian with DFNS or Fireblocks integration, providing institutional-grade key management with maker-checker workflows and HSM support</w:t>
      </w:r>
    </w:p>
    <w:p>
      <w:pPr>
        <w:pStyle w:val="ListParagraph"/>
        <w:numPr>
          <w:ilvl w:val="0"/>
          <w:numId w:val="6"/>
        </w:numPr>
      </w:pPr>
      <w:r>
        <w:rPr>
          <w:rFonts w:ascii="Figtree" w:hAnsi="Figtree"/>
          <w:b/>
          <w:i w:val="0"/>
          <w:sz w:val="22"/>
        </w:rPr>
        <w:t>Asset Lifecycle Management:</w:t>
      </w:r>
      <w:r>
        <w:rPr>
          <w:rFonts w:ascii="Figtree" w:hAnsi="Figtree"/>
          <w:b w:val="0"/>
          <w:i w:val="0"/>
          <w:sz w:val="22"/>
        </w:rPr>
        <w:t xml:space="preserve"> Configuration, issuance, compliance enforcement, settlement, and servicing for digital assets distributed through institutional and private banking channels</w:t>
      </w:r>
    </w:p>
    <w:p>
      <w:pPr>
        <w:pStyle w:val="ListParagraph"/>
        <w:numPr>
          <w:ilvl w:val="0"/>
          <w:numId w:val="6"/>
        </w:numPr>
      </w:pPr>
      <w:r>
        <w:rPr>
          <w:rFonts w:ascii="Figtree" w:hAnsi="Figtree"/>
          <w:b/>
          <w:i w:val="0"/>
          <w:sz w:val="22"/>
        </w:rPr>
        <w:t>Distribution Channel Governance:</w:t>
      </w:r>
      <w:r>
        <w:rPr>
          <w:rFonts w:ascii="Figtree" w:hAnsi="Figtree"/>
          <w:b w:val="0"/>
          <w:i w:val="0"/>
          <w:sz w:val="22"/>
        </w:rPr>
        <w:t xml:space="preserve"> Compliance modules enforcing investor eligibility, suitability, jurisdiction restrictions, and distribution channel controls at the smart contract level</w:t>
      </w:r>
    </w:p>
    <w:p>
      <w:pPr>
        <w:pStyle w:val="H3"/>
        <w:numPr>
          <w:ilvl w:val="2"/>
          <w:numId w:val="1"/>
        </w:numPr>
      </w:pPr>
      <w:r>
        <w:t>Custody Operations Architecture</w:t>
      </w:r>
    </w:p>
    <w:p>
      <w:pPr>
        <w:jc w:val="center"/>
      </w:pPr>
      <w:r>
        <w:drawing>
          <wp:inline xmlns:a="http://schemas.openxmlformats.org/drawingml/2006/main" xmlns:pic="http://schemas.openxmlformats.org/drawingml/2006/picture">
            <wp:extent cx="5486400" cy="5178490"/>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5178490"/>
                    </a:xfrm>
                    <a:prstGeom prst="rect"/>
                  </pic:spPr>
                </pic:pic>
              </a:graphicData>
            </a:graphic>
          </wp:inline>
        </w:drawing>
      </w:r>
    </w:p>
    <w:p>
      <w:pPr>
        <w:pStyle w:val="H3"/>
        <w:numPr>
          <w:ilvl w:val="2"/>
          <w:numId w:val="1"/>
        </w:numPr>
      </w:pPr>
      <w:r>
        <w:t>Identity and Eligibility for Private Banking</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45"/>
        <w:gridCol w:w="3024"/>
        <w:gridCol w:w="400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Investor Category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Identity Requirements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Compliance Modules</w:t>
            </w:r>
          </w:p>
        </w:tc>
      </w:tr>
      <w:tr>
        <w:trPr>
          <w:trHeight w:val="425" w:hRule="atLeast"/>
        </w:trPr>
        <w:tc>
          <w:tcPr>
            <w:tcW w:type="dxa" w:w="3249"/>
            <w:vAlign w:val="center"/>
          </w:tcPr>
          <w:p>
            <w:pPr>
              <w:spacing w:line="276" w:lineRule="auto" w:before="0" w:after="0"/>
            </w:pPr>
            <w:r/>
            <w:r>
              <w:rPr>
                <w:rFonts w:ascii="Figtree" w:hAnsi="Figtree"/>
                <w:b w:val="0"/>
                <w:i w:val="0"/>
                <w:sz w:val="20"/>
              </w:rPr>
              <w:t>Institutional investors</w:t>
            </w:r>
          </w:p>
        </w:tc>
        <w:tc>
          <w:tcPr>
            <w:tcW w:type="dxa" w:w="3249"/>
            <w:vAlign w:val="center"/>
          </w:tcPr>
          <w:p>
            <w:pPr>
              <w:spacing w:line="276" w:lineRule="auto" w:before="0" w:after="0"/>
            </w:pPr>
            <w:r/>
            <w:r>
              <w:rPr>
                <w:rFonts w:ascii="Figtree" w:hAnsi="Figtree"/>
                <w:b w:val="0"/>
                <w:i w:val="0"/>
                <w:sz w:val="20"/>
              </w:rPr>
              <w:t>OnchainID + institutional KYC</w:t>
            </w:r>
          </w:p>
        </w:tc>
        <w:tc>
          <w:tcPr>
            <w:tcW w:type="dxa" w:w="3249"/>
            <w:vAlign w:val="center"/>
          </w:tcPr>
          <w:p>
            <w:pPr>
              <w:spacing w:line="276" w:lineRule="auto" w:before="0" w:after="0"/>
            </w:pPr>
            <w:r/>
            <w:r>
              <w:rPr>
                <w:rFonts w:ascii="Figtree" w:hAnsi="Figtree"/>
                <w:b w:val="0"/>
                <w:i w:val="0"/>
                <w:sz w:val="20"/>
              </w:rPr>
              <w:t>Identity verification, country allow list</w:t>
            </w:r>
          </w:p>
        </w:tc>
      </w:tr>
      <w:tr>
        <w:trPr>
          <w:trHeight w:val="425" w:hRule="atLeast"/>
        </w:trPr>
        <w:tc>
          <w:tcPr>
            <w:tcW w:type="dxa" w:w="3249"/>
            <w:vAlign w:val="center"/>
          </w:tcPr>
          <w:p>
            <w:pPr>
              <w:spacing w:line="276" w:lineRule="auto" w:before="0" w:after="0"/>
            </w:pPr>
            <w:r/>
            <w:r>
              <w:rPr>
                <w:rFonts w:ascii="Figtree" w:hAnsi="Figtree"/>
                <w:b w:val="0"/>
                <w:i w:val="0"/>
                <w:sz w:val="20"/>
              </w:rPr>
              <w:t>HNWI private banking</w:t>
            </w:r>
          </w:p>
        </w:tc>
        <w:tc>
          <w:tcPr>
            <w:tcW w:type="dxa" w:w="3249"/>
            <w:vAlign w:val="center"/>
          </w:tcPr>
          <w:p>
            <w:pPr>
              <w:spacing w:line="276" w:lineRule="auto" w:before="0" w:after="0"/>
            </w:pPr>
            <w:r/>
            <w:r>
              <w:rPr>
                <w:rFonts w:ascii="Figtree" w:hAnsi="Figtree"/>
                <w:b w:val="0"/>
                <w:i w:val="0"/>
                <w:sz w:val="20"/>
              </w:rPr>
              <w:t>OnchainID + accreditation claims</w:t>
            </w:r>
          </w:p>
        </w:tc>
        <w:tc>
          <w:tcPr>
            <w:tcW w:type="dxa" w:w="3249"/>
            <w:vAlign w:val="center"/>
          </w:tcPr>
          <w:p>
            <w:pPr>
              <w:spacing w:line="276" w:lineRule="auto" w:before="0" w:after="0"/>
            </w:pPr>
            <w:r/>
            <w:r>
              <w:rPr>
                <w:rFonts w:ascii="Figtree" w:hAnsi="Figtree"/>
                <w:b w:val="0"/>
                <w:i w:val="0"/>
                <w:sz w:val="20"/>
              </w:rPr>
              <w:t>Identity verification, investor qualification</w:t>
            </w:r>
          </w:p>
        </w:tc>
      </w:tr>
      <w:tr>
        <w:trPr>
          <w:trHeight w:val="425" w:hRule="atLeast"/>
        </w:trPr>
        <w:tc>
          <w:tcPr>
            <w:tcW w:type="dxa" w:w="3249"/>
            <w:vAlign w:val="center"/>
          </w:tcPr>
          <w:p>
            <w:pPr>
              <w:spacing w:line="276" w:lineRule="auto" w:before="0" w:after="0"/>
            </w:pPr>
            <w:r/>
            <w:r>
              <w:rPr>
                <w:rFonts w:ascii="Figtree" w:hAnsi="Figtree"/>
                <w:b w:val="0"/>
                <w:i w:val="0"/>
                <w:sz w:val="20"/>
              </w:rPr>
              <w:t>Qualified investors</w:t>
            </w:r>
          </w:p>
        </w:tc>
        <w:tc>
          <w:tcPr>
            <w:tcW w:type="dxa" w:w="3249"/>
            <w:vAlign w:val="center"/>
          </w:tcPr>
          <w:p>
            <w:pPr>
              <w:spacing w:line="276" w:lineRule="auto" w:before="0" w:after="0"/>
            </w:pPr>
            <w:r/>
            <w:r>
              <w:rPr>
                <w:rFonts w:ascii="Figtree" w:hAnsi="Figtree"/>
                <w:b w:val="0"/>
                <w:i w:val="0"/>
                <w:sz w:val="20"/>
              </w:rPr>
              <w:t>OnchainID + qualification evidence</w:t>
            </w:r>
          </w:p>
        </w:tc>
        <w:tc>
          <w:tcPr>
            <w:tcW w:type="dxa" w:w="3249"/>
            <w:vAlign w:val="center"/>
          </w:tcPr>
          <w:p>
            <w:pPr>
              <w:spacing w:line="276" w:lineRule="auto" w:before="0" w:after="0"/>
            </w:pPr>
            <w:r/>
            <w:r>
              <w:rPr>
                <w:rFonts w:ascii="Figtree" w:hAnsi="Figtree"/>
                <w:b w:val="0"/>
                <w:i w:val="0"/>
                <w:sz w:val="20"/>
              </w:rPr>
              <w:t>Identity verification, transfer approval</w:t>
            </w:r>
          </w:p>
        </w:tc>
      </w:tr>
      <w:tr>
        <w:trPr>
          <w:trHeight w:val="425" w:hRule="atLeast"/>
        </w:trPr>
        <w:tc>
          <w:tcPr>
            <w:tcW w:type="dxa" w:w="3249"/>
            <w:vAlign w:val="center"/>
          </w:tcPr>
          <w:p>
            <w:pPr>
              <w:spacing w:line="276" w:lineRule="auto" w:before="0" w:after="0"/>
            </w:pPr>
            <w:r/>
            <w:r>
              <w:rPr>
                <w:rFonts w:ascii="Figtree" w:hAnsi="Figtree"/>
                <w:b w:val="0"/>
                <w:i w:val="0"/>
                <w:sz w:val="20"/>
              </w:rPr>
              <w:t>Retail (if applicable)</w:t>
            </w:r>
          </w:p>
        </w:tc>
        <w:tc>
          <w:tcPr>
            <w:tcW w:type="dxa" w:w="3249"/>
            <w:vAlign w:val="center"/>
          </w:tcPr>
          <w:p>
            <w:pPr>
              <w:spacing w:line="276" w:lineRule="auto" w:before="0" w:after="0"/>
            </w:pPr>
            <w:r/>
            <w:r>
              <w:rPr>
                <w:rFonts w:ascii="Figtree" w:hAnsi="Figtree"/>
                <w:b w:val="0"/>
                <w:i w:val="0"/>
                <w:sz w:val="20"/>
              </w:rPr>
              <w:t>OnchainID + retail KYC</w:t>
            </w:r>
          </w:p>
        </w:tc>
        <w:tc>
          <w:tcPr>
            <w:tcW w:type="dxa" w:w="3249"/>
            <w:vAlign w:val="center"/>
          </w:tcPr>
          <w:p>
            <w:pPr>
              <w:spacing w:line="276" w:lineRule="auto" w:before="0" w:after="0"/>
            </w:pPr>
            <w:r/>
            <w:r>
              <w:rPr>
                <w:rFonts w:ascii="Figtree" w:hAnsi="Figtree"/>
                <w:b w:val="0"/>
                <w:i w:val="0"/>
                <w:sz w:val="20"/>
              </w:rPr>
              <w:t>Full compliance stack including limits</w:t>
            </w:r>
          </w:p>
        </w:tc>
      </w:tr>
    </w:tbl>
    <w:p>
      <w:pPr>
        <w:spacing w:before="0" w:after="0" w:line="120" w:lineRule="exact"/>
      </w:pPr>
    </w:p>
    <w:p>
      <w:pPr>
        <w:pStyle w:val="H3"/>
        <w:numPr>
          <w:ilvl w:val="2"/>
          <w:numId w:val="1"/>
        </w:numPr>
      </w:pPr>
      <w:r>
        <w:t>Asset Classes for Distribution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85"/>
        <w:gridCol w:w="2730"/>
        <w:gridCol w:w="1321"/>
        <w:gridCol w:w="3435"/>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Asset Class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Distribution Channel</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Custody Model</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Key Features</w:t>
            </w:r>
          </w:p>
        </w:tc>
      </w:tr>
      <w:tr>
        <w:trPr>
          <w:trHeight w:val="425" w:hRule="atLeast"/>
        </w:trPr>
        <w:tc>
          <w:tcPr>
            <w:tcW w:type="dxa" w:w="2436"/>
            <w:vAlign w:val="center"/>
          </w:tcPr>
          <w:p>
            <w:pPr>
              <w:spacing w:line="276" w:lineRule="auto" w:before="0" w:after="0"/>
            </w:pPr>
            <w:r/>
            <w:r>
              <w:rPr>
                <w:rFonts w:ascii="Figtree" w:hAnsi="Figtree"/>
                <w:b w:val="0"/>
                <w:i w:val="0"/>
                <w:sz w:val="20"/>
              </w:rPr>
              <w:t>Tokenized bonds</w:t>
            </w:r>
          </w:p>
        </w:tc>
        <w:tc>
          <w:tcPr>
            <w:tcW w:type="dxa" w:w="2436"/>
            <w:vAlign w:val="center"/>
          </w:tcPr>
          <w:p>
            <w:pPr>
              <w:spacing w:line="276" w:lineRule="auto" w:before="0" w:after="0"/>
            </w:pPr>
            <w:r/>
            <w:r>
              <w:rPr>
                <w:rFonts w:ascii="Figtree" w:hAnsi="Figtree"/>
                <w:b w:val="0"/>
                <w:i w:val="0"/>
                <w:sz w:val="20"/>
              </w:rPr>
              <w:t>Institutional + private banking</w:t>
            </w:r>
          </w:p>
        </w:tc>
        <w:tc>
          <w:tcPr>
            <w:tcW w:type="dxa" w:w="2436"/>
            <w:vAlign w:val="center"/>
          </w:tcPr>
          <w:p>
            <w:pPr>
              <w:spacing w:line="276" w:lineRule="auto" w:before="0" w:after="0"/>
            </w:pPr>
            <w:r/>
            <w:r>
              <w:rPr>
                <w:rFonts w:ascii="Figtree" w:hAnsi="Figtree"/>
                <w:b w:val="0"/>
                <w:i w:val="0"/>
                <w:sz w:val="20"/>
              </w:rPr>
              <w:t>DFNS/Fireblocks</w:t>
            </w:r>
          </w:p>
        </w:tc>
        <w:tc>
          <w:tcPr>
            <w:tcW w:type="dxa" w:w="2436"/>
            <w:vAlign w:val="center"/>
          </w:tcPr>
          <w:p>
            <w:pPr>
              <w:spacing w:line="276" w:lineRule="auto" w:before="0" w:after="0"/>
            </w:pPr>
            <w:r/>
            <w:r>
              <w:rPr>
                <w:rFonts w:ascii="Figtree" w:hAnsi="Figtree"/>
                <w:b w:val="0"/>
                <w:i w:val="0"/>
                <w:sz w:val="20"/>
              </w:rPr>
              <w:t>Yield distribution, maturity redemption</w:t>
            </w:r>
          </w:p>
        </w:tc>
      </w:tr>
      <w:tr>
        <w:trPr>
          <w:trHeight w:val="425" w:hRule="atLeast"/>
        </w:trPr>
        <w:tc>
          <w:tcPr>
            <w:tcW w:type="dxa" w:w="2436"/>
            <w:vAlign w:val="center"/>
          </w:tcPr>
          <w:p>
            <w:pPr>
              <w:spacing w:line="276" w:lineRule="auto" w:before="0" w:after="0"/>
            </w:pPr>
            <w:r/>
            <w:r>
              <w:rPr>
                <w:rFonts w:ascii="Figtree" w:hAnsi="Figtree"/>
                <w:b w:val="0"/>
                <w:i w:val="0"/>
                <w:sz w:val="20"/>
              </w:rPr>
              <w:t>Tokenized equities</w:t>
            </w:r>
          </w:p>
        </w:tc>
        <w:tc>
          <w:tcPr>
            <w:tcW w:type="dxa" w:w="2436"/>
            <w:vAlign w:val="center"/>
          </w:tcPr>
          <w:p>
            <w:pPr>
              <w:spacing w:line="276" w:lineRule="auto" w:before="0" w:after="0"/>
            </w:pPr>
            <w:r/>
            <w:r>
              <w:rPr>
                <w:rFonts w:ascii="Figtree" w:hAnsi="Figtree"/>
                <w:b w:val="0"/>
                <w:i w:val="0"/>
                <w:sz w:val="20"/>
              </w:rPr>
              <w:t>Institutional + private banking</w:t>
            </w:r>
          </w:p>
        </w:tc>
        <w:tc>
          <w:tcPr>
            <w:tcW w:type="dxa" w:w="2436"/>
            <w:vAlign w:val="center"/>
          </w:tcPr>
          <w:p>
            <w:pPr>
              <w:spacing w:line="276" w:lineRule="auto" w:before="0" w:after="0"/>
            </w:pPr>
            <w:r/>
            <w:r>
              <w:rPr>
                <w:rFonts w:ascii="Figtree" w:hAnsi="Figtree"/>
                <w:b w:val="0"/>
                <w:i w:val="0"/>
                <w:sz w:val="20"/>
              </w:rPr>
              <w:t>DFNS/Fireblocks</w:t>
            </w:r>
          </w:p>
        </w:tc>
        <w:tc>
          <w:tcPr>
            <w:tcW w:type="dxa" w:w="2436"/>
            <w:vAlign w:val="center"/>
          </w:tcPr>
          <w:p>
            <w:pPr>
              <w:spacing w:line="276" w:lineRule="auto" w:before="0" w:after="0"/>
            </w:pPr>
            <w:r/>
            <w:r>
              <w:rPr>
                <w:rFonts w:ascii="Figtree" w:hAnsi="Figtree"/>
                <w:b w:val="0"/>
                <w:i w:val="0"/>
                <w:sz w:val="20"/>
              </w:rPr>
              <w:t>Voting (ERC-5805), corporate actions</w:t>
            </w:r>
          </w:p>
        </w:tc>
      </w:tr>
      <w:tr>
        <w:trPr>
          <w:trHeight w:val="425" w:hRule="atLeast"/>
        </w:trPr>
        <w:tc>
          <w:tcPr>
            <w:tcW w:type="dxa" w:w="2436"/>
            <w:vAlign w:val="center"/>
          </w:tcPr>
          <w:p>
            <w:pPr>
              <w:spacing w:line="276" w:lineRule="auto" w:before="0" w:after="0"/>
            </w:pPr>
            <w:r/>
            <w:r>
              <w:rPr>
                <w:rFonts w:ascii="Figtree" w:hAnsi="Figtree"/>
                <w:b w:val="0"/>
                <w:i w:val="0"/>
                <w:sz w:val="20"/>
              </w:rPr>
              <w:t>Tokenized funds</w:t>
            </w:r>
          </w:p>
        </w:tc>
        <w:tc>
          <w:tcPr>
            <w:tcW w:type="dxa" w:w="2436"/>
            <w:vAlign w:val="center"/>
          </w:tcPr>
          <w:p>
            <w:pPr>
              <w:spacing w:line="276" w:lineRule="auto" w:before="0" w:after="0"/>
            </w:pPr>
            <w:r/>
            <w:r>
              <w:rPr>
                <w:rFonts w:ascii="Figtree" w:hAnsi="Figtree"/>
                <w:b w:val="0"/>
                <w:i w:val="0"/>
                <w:sz w:val="20"/>
              </w:rPr>
              <w:t>Private banking</w:t>
            </w:r>
          </w:p>
        </w:tc>
        <w:tc>
          <w:tcPr>
            <w:tcW w:type="dxa" w:w="2436"/>
            <w:vAlign w:val="center"/>
          </w:tcPr>
          <w:p>
            <w:pPr>
              <w:spacing w:line="276" w:lineRule="auto" w:before="0" w:after="0"/>
            </w:pPr>
            <w:r/>
            <w:r>
              <w:rPr>
                <w:rFonts w:ascii="Figtree" w:hAnsi="Figtree"/>
                <w:b w:val="0"/>
                <w:i w:val="0"/>
                <w:sz w:val="20"/>
              </w:rPr>
              <w:t>DFNS/Fireblocks</w:t>
            </w:r>
          </w:p>
        </w:tc>
        <w:tc>
          <w:tcPr>
            <w:tcW w:type="dxa" w:w="2436"/>
            <w:vAlign w:val="center"/>
          </w:tcPr>
          <w:p>
            <w:pPr>
              <w:spacing w:line="276" w:lineRule="auto" w:before="0" w:after="0"/>
            </w:pPr>
            <w:r/>
            <w:r>
              <w:rPr>
                <w:rFonts w:ascii="Figtree" w:hAnsi="Figtree"/>
                <w:b w:val="0"/>
                <w:i w:val="0"/>
                <w:sz w:val="20"/>
              </w:rPr>
              <w:t>NAV tracking, subscription/redemption</w:t>
            </w:r>
          </w:p>
        </w:tc>
      </w:tr>
      <w:tr>
        <w:trPr>
          <w:trHeight w:val="425" w:hRule="atLeast"/>
        </w:trPr>
        <w:tc>
          <w:tcPr>
            <w:tcW w:type="dxa" w:w="2436"/>
            <w:vAlign w:val="center"/>
          </w:tcPr>
          <w:p>
            <w:pPr>
              <w:spacing w:line="276" w:lineRule="auto" w:before="0" w:after="0"/>
            </w:pPr>
            <w:r/>
            <w:r>
              <w:rPr>
                <w:rFonts w:ascii="Figtree" w:hAnsi="Figtree"/>
                <w:b w:val="0"/>
                <w:i w:val="0"/>
                <w:sz w:val="20"/>
              </w:rPr>
              <w:t>Tokenized deposits</w:t>
            </w:r>
          </w:p>
        </w:tc>
        <w:tc>
          <w:tcPr>
            <w:tcW w:type="dxa" w:w="2436"/>
            <w:vAlign w:val="center"/>
          </w:tcPr>
          <w:p>
            <w:pPr>
              <w:spacing w:line="276" w:lineRule="auto" w:before="0" w:after="0"/>
            </w:pPr>
            <w:r/>
            <w:r>
              <w:rPr>
                <w:rFonts w:ascii="Figtree" w:hAnsi="Figtree"/>
                <w:b w:val="0"/>
                <w:i w:val="0"/>
                <w:sz w:val="20"/>
              </w:rPr>
              <w:t>Institutional</w:t>
            </w:r>
          </w:p>
        </w:tc>
        <w:tc>
          <w:tcPr>
            <w:tcW w:type="dxa" w:w="2436"/>
            <w:vAlign w:val="center"/>
          </w:tcPr>
          <w:p>
            <w:pPr>
              <w:spacing w:line="276" w:lineRule="auto" w:before="0" w:after="0"/>
            </w:pPr>
            <w:r/>
            <w:r>
              <w:rPr>
                <w:rFonts w:ascii="Figtree" w:hAnsi="Figtree"/>
                <w:b w:val="0"/>
                <w:i w:val="0"/>
                <w:sz w:val="20"/>
              </w:rPr>
              <w:t>DFNS/Fireblocks</w:t>
            </w:r>
          </w:p>
        </w:tc>
        <w:tc>
          <w:tcPr>
            <w:tcW w:type="dxa" w:w="2436"/>
            <w:vAlign w:val="center"/>
          </w:tcPr>
          <w:p>
            <w:pPr>
              <w:spacing w:line="276" w:lineRule="auto" w:before="0" w:after="0"/>
            </w:pPr>
            <w:r/>
            <w:r>
              <w:rPr>
                <w:rFonts w:ascii="Figtree" w:hAnsi="Figtree"/>
                <w:b w:val="0"/>
                <w:i w:val="0"/>
                <w:sz w:val="20"/>
              </w:rPr>
              <w:t>Interest accrual, maturity processing</w:t>
            </w:r>
          </w:p>
        </w:tc>
      </w:tr>
      <w:tr>
        <w:trPr>
          <w:trHeight w:val="425" w:hRule="atLeast"/>
        </w:trPr>
        <w:tc>
          <w:tcPr>
            <w:tcW w:type="dxa" w:w="2436"/>
            <w:vAlign w:val="center"/>
          </w:tcPr>
          <w:p>
            <w:pPr>
              <w:spacing w:line="276" w:lineRule="auto" w:before="0" w:after="0"/>
            </w:pPr>
            <w:r/>
            <w:r>
              <w:rPr>
                <w:rFonts w:ascii="Figtree" w:hAnsi="Figtree"/>
                <w:b w:val="0"/>
                <w:i w:val="0"/>
                <w:sz w:val="20"/>
              </w:rPr>
              <w:t>Real estate tokens</w:t>
            </w:r>
          </w:p>
        </w:tc>
        <w:tc>
          <w:tcPr>
            <w:tcW w:type="dxa" w:w="2436"/>
            <w:vAlign w:val="center"/>
          </w:tcPr>
          <w:p>
            <w:pPr>
              <w:spacing w:line="276" w:lineRule="auto" w:before="0" w:after="0"/>
            </w:pPr>
            <w:r/>
            <w:r>
              <w:rPr>
                <w:rFonts w:ascii="Figtree" w:hAnsi="Figtree"/>
                <w:b w:val="0"/>
                <w:i w:val="0"/>
                <w:sz w:val="20"/>
              </w:rPr>
              <w:t>Private banking (HNWI)</w:t>
            </w:r>
          </w:p>
        </w:tc>
        <w:tc>
          <w:tcPr>
            <w:tcW w:type="dxa" w:w="2436"/>
            <w:vAlign w:val="center"/>
          </w:tcPr>
          <w:p>
            <w:pPr>
              <w:spacing w:line="276" w:lineRule="auto" w:before="0" w:after="0"/>
            </w:pPr>
            <w:r/>
            <w:r>
              <w:rPr>
                <w:rFonts w:ascii="Figtree" w:hAnsi="Figtree"/>
                <w:b w:val="0"/>
                <w:i w:val="0"/>
                <w:sz w:val="20"/>
              </w:rPr>
              <w:t>DFNS/Fireblocks</w:t>
            </w:r>
          </w:p>
        </w:tc>
        <w:tc>
          <w:tcPr>
            <w:tcW w:type="dxa" w:w="2436"/>
            <w:vAlign w:val="center"/>
          </w:tcPr>
          <w:p>
            <w:pPr>
              <w:spacing w:line="276" w:lineRule="auto" w:before="0" w:after="0"/>
            </w:pPr>
            <w:r/>
            <w:r>
              <w:rPr>
                <w:rFonts w:ascii="Figtree" w:hAnsi="Figtree"/>
                <w:b w:val="0"/>
                <w:i w:val="0"/>
                <w:sz w:val="20"/>
              </w:rPr>
              <w:t>Fractional ownership, yield</w:t>
            </w:r>
          </w:p>
        </w:tc>
      </w:tr>
    </w:tbl>
    <w:p>
      <w:pPr>
        <w:spacing w:before="0" w:after="0" w:line="120" w:lineRule="exact"/>
      </w:pPr>
    </w:p>
    <w:p>
      <w:pPr>
        <w:pStyle w:val="H3"/>
        <w:numPr>
          <w:ilvl w:val="2"/>
          <w:numId w:val="1"/>
        </w:numPr>
      </w:pPr>
      <w:r>
        <w:t>Functional Fit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07"/>
        <w:gridCol w:w="4021"/>
        <w:gridCol w:w="965"/>
        <w:gridCol w:w="3377"/>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Req ID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Requirement Summary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Response</w:t>
            </w:r>
          </w:p>
        </w:tc>
      </w:tr>
      <w:tr>
        <w:trPr>
          <w:trHeight w:val="425" w:hRule="atLeast"/>
        </w:trPr>
        <w:tc>
          <w:tcPr>
            <w:tcW w:type="dxa" w:w="2436"/>
            <w:vAlign w:val="center"/>
          </w:tcPr>
          <w:p>
            <w:pPr>
              <w:spacing w:line="276" w:lineRule="auto" w:before="0" w:after="0"/>
            </w:pPr>
            <w:r/>
            <w:r>
              <w:rPr>
                <w:rFonts w:ascii="Figtree" w:hAnsi="Figtree"/>
                <w:b w:val="0"/>
                <w:i w:val="0"/>
                <w:sz w:val="20"/>
              </w:rPr>
              <w:t>REQ-01</w:t>
            </w:r>
          </w:p>
        </w:tc>
        <w:tc>
          <w:tcPr>
            <w:tcW w:type="dxa" w:w="2436"/>
            <w:vAlign w:val="center"/>
          </w:tcPr>
          <w:p>
            <w:pPr>
              <w:spacing w:line="276" w:lineRule="auto" w:before="0" w:after="0"/>
            </w:pPr>
            <w:r/>
            <w:r>
              <w:rPr>
                <w:rFonts w:ascii="Figtree" w:hAnsi="Figtree"/>
                <w:b w:val="0"/>
                <w:i w:val="0"/>
                <w:sz w:val="20"/>
              </w:rPr>
              <w:t>Segregated environments (dev, test, UAT, DR, prod)</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Independent DALP instances per environment</w:t>
            </w:r>
          </w:p>
        </w:tc>
      </w:tr>
      <w:tr>
        <w:trPr>
          <w:trHeight w:val="425" w:hRule="atLeast"/>
        </w:trPr>
        <w:tc>
          <w:tcPr>
            <w:tcW w:type="dxa" w:w="2436"/>
            <w:vAlign w:val="center"/>
          </w:tcPr>
          <w:p>
            <w:pPr>
              <w:spacing w:line="276" w:lineRule="auto" w:before="0" w:after="0"/>
            </w:pPr>
            <w:r/>
            <w:r>
              <w:rPr>
                <w:rFonts w:ascii="Figtree" w:hAnsi="Figtree"/>
                <w:b w:val="0"/>
                <w:i w:val="0"/>
                <w:sz w:val="20"/>
              </w:rPr>
              <w:t>REQ-02</w:t>
            </w:r>
          </w:p>
        </w:tc>
        <w:tc>
          <w:tcPr>
            <w:tcW w:type="dxa" w:w="2436"/>
            <w:vAlign w:val="center"/>
          </w:tcPr>
          <w:p>
            <w:pPr>
              <w:spacing w:line="276" w:lineRule="auto" w:before="0" w:after="0"/>
            </w:pPr>
            <w:r/>
            <w:r>
              <w:rPr>
                <w:rFonts w:ascii="Figtree" w:hAnsi="Figtree"/>
                <w:b w:val="0"/>
                <w:i w:val="0"/>
                <w:sz w:val="20"/>
              </w:rPr>
              <w:t>API-first interfaces with version governance</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DAPI REST v2, OpenAPI 3.1, SDK, CLI</w:t>
            </w:r>
          </w:p>
        </w:tc>
      </w:tr>
      <w:tr>
        <w:trPr>
          <w:trHeight w:val="425" w:hRule="atLeast"/>
        </w:trPr>
        <w:tc>
          <w:tcPr>
            <w:tcW w:type="dxa" w:w="2436"/>
            <w:vAlign w:val="center"/>
          </w:tcPr>
          <w:p>
            <w:pPr>
              <w:spacing w:line="276" w:lineRule="auto" w:before="0" w:after="0"/>
            </w:pPr>
            <w:r/>
            <w:r>
              <w:rPr>
                <w:rFonts w:ascii="Figtree" w:hAnsi="Figtree"/>
                <w:b w:val="0"/>
                <w:i w:val="0"/>
                <w:sz w:val="20"/>
              </w:rPr>
              <w:t>REQ-03</w:t>
            </w:r>
          </w:p>
        </w:tc>
        <w:tc>
          <w:tcPr>
            <w:tcW w:type="dxa" w:w="2436"/>
            <w:vAlign w:val="center"/>
          </w:tcPr>
          <w:p>
            <w:pPr>
              <w:spacing w:line="276" w:lineRule="auto" w:before="0" w:after="0"/>
            </w:pPr>
            <w:r/>
            <w:r>
              <w:rPr>
                <w:rFonts w:ascii="Figtree" w:hAnsi="Figtree"/>
                <w:b w:val="0"/>
                <w:i w:val="0"/>
                <w:sz w:val="20"/>
              </w:rPr>
              <w:t>RBAC, segregation of duties, maker-checker</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26 roles, 4 layers, wallet verification</w:t>
            </w:r>
          </w:p>
        </w:tc>
      </w:tr>
      <w:tr>
        <w:trPr>
          <w:trHeight w:val="425" w:hRule="atLeast"/>
        </w:trPr>
        <w:tc>
          <w:tcPr>
            <w:tcW w:type="dxa" w:w="2436"/>
            <w:vAlign w:val="center"/>
          </w:tcPr>
          <w:p>
            <w:pPr>
              <w:spacing w:line="276" w:lineRule="auto" w:before="0" w:after="0"/>
            </w:pPr>
            <w:r/>
            <w:r>
              <w:rPr>
                <w:rFonts w:ascii="Figtree" w:hAnsi="Figtree"/>
                <w:b w:val="0"/>
                <w:i w:val="0"/>
                <w:sz w:val="20"/>
              </w:rPr>
              <w:t>REQ-04</w:t>
            </w:r>
          </w:p>
        </w:tc>
        <w:tc>
          <w:tcPr>
            <w:tcW w:type="dxa" w:w="2436"/>
            <w:vAlign w:val="center"/>
          </w:tcPr>
          <w:p>
            <w:pPr>
              <w:spacing w:line="276" w:lineRule="auto" w:before="0" w:after="0"/>
            </w:pPr>
            <w:r/>
            <w:r>
              <w:rPr>
                <w:rFonts w:ascii="Figtree" w:hAnsi="Figtree"/>
                <w:b w:val="0"/>
                <w:i w:val="0"/>
                <w:sz w:val="20"/>
              </w:rPr>
              <w:t>Configurable lifecycle, policy controls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DALPAsset runtime configuration</w:t>
            </w:r>
          </w:p>
        </w:tc>
      </w:tr>
      <w:tr>
        <w:trPr>
          <w:trHeight w:val="425" w:hRule="atLeast"/>
        </w:trPr>
        <w:tc>
          <w:tcPr>
            <w:tcW w:type="dxa" w:w="2436"/>
            <w:vAlign w:val="center"/>
          </w:tcPr>
          <w:p>
            <w:pPr>
              <w:spacing w:line="276" w:lineRule="auto" w:before="0" w:after="0"/>
            </w:pPr>
            <w:r/>
            <w:r>
              <w:rPr>
                <w:rFonts w:ascii="Figtree" w:hAnsi="Figtree"/>
                <w:b w:val="0"/>
                <w:i w:val="0"/>
                <w:sz w:val="20"/>
              </w:rPr>
              <w:t>REQ-05</w:t>
            </w:r>
          </w:p>
        </w:tc>
        <w:tc>
          <w:tcPr>
            <w:tcW w:type="dxa" w:w="2436"/>
            <w:vAlign w:val="center"/>
          </w:tcPr>
          <w:p>
            <w:pPr>
              <w:spacing w:line="276" w:lineRule="auto" w:before="0" w:after="0"/>
            </w:pPr>
            <w:r/>
            <w:r>
              <w:rPr>
                <w:rFonts w:ascii="Figtree" w:hAnsi="Figtree"/>
                <w:b w:val="0"/>
                <w:i w:val="0"/>
                <w:sz w:val="20"/>
              </w:rPr>
              <w:t>Third-party dependency disclosure</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Dependency register provided</w:t>
            </w:r>
          </w:p>
        </w:tc>
      </w:tr>
      <w:tr>
        <w:trPr>
          <w:trHeight w:val="425" w:hRule="atLeast"/>
        </w:trPr>
        <w:tc>
          <w:tcPr>
            <w:tcW w:type="dxa" w:w="2436"/>
            <w:vAlign w:val="center"/>
          </w:tcPr>
          <w:p>
            <w:pPr>
              <w:spacing w:line="276" w:lineRule="auto" w:before="0" w:after="0"/>
            </w:pPr>
            <w:r/>
            <w:r>
              <w:rPr>
                <w:rFonts w:ascii="Figtree" w:hAnsi="Figtree"/>
                <w:b w:val="0"/>
                <w:i w:val="0"/>
                <w:sz w:val="20"/>
              </w:rPr>
              <w:t>REQ-06</w:t>
            </w:r>
          </w:p>
        </w:tc>
        <w:tc>
          <w:tcPr>
            <w:tcW w:type="dxa" w:w="2436"/>
            <w:vAlign w:val="center"/>
          </w:tcPr>
          <w:p>
            <w:pPr>
              <w:spacing w:line="276" w:lineRule="auto" w:before="0" w:after="0"/>
            </w:pPr>
            <w:r/>
            <w:r>
              <w:rPr>
                <w:rFonts w:ascii="Figtree" w:hAnsi="Figtree"/>
                <w:b w:val="0"/>
                <w:i w:val="0"/>
                <w:sz w:val="20"/>
              </w:rPr>
              <w:t>Resilience, recovery, backup, monitoring</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Multi-AZ, continuous backup, Grafana</w:t>
            </w:r>
          </w:p>
        </w:tc>
      </w:tr>
      <w:tr>
        <w:trPr>
          <w:trHeight w:val="425" w:hRule="atLeast"/>
        </w:trPr>
        <w:tc>
          <w:tcPr>
            <w:tcW w:type="dxa" w:w="2436"/>
            <w:vAlign w:val="center"/>
          </w:tcPr>
          <w:p>
            <w:pPr>
              <w:spacing w:line="276" w:lineRule="auto" w:before="0" w:after="0"/>
            </w:pPr>
            <w:r/>
            <w:r>
              <w:rPr>
                <w:rFonts w:ascii="Figtree" w:hAnsi="Figtree"/>
                <w:b w:val="0"/>
                <w:i w:val="0"/>
                <w:sz w:val="20"/>
              </w:rPr>
              <w:t>REQ-07</w:t>
            </w:r>
          </w:p>
        </w:tc>
        <w:tc>
          <w:tcPr>
            <w:tcW w:type="dxa" w:w="2436"/>
            <w:vAlign w:val="center"/>
          </w:tcPr>
          <w:p>
            <w:pPr>
              <w:spacing w:line="276" w:lineRule="auto" w:before="0" w:after="0"/>
            </w:pPr>
            <w:r/>
            <w:r>
              <w:rPr>
                <w:rFonts w:ascii="Figtree" w:hAnsi="Figtree"/>
                <w:b w:val="0"/>
                <w:i w:val="0"/>
                <w:sz w:val="20"/>
              </w:rPr>
              <w:t>Phased implementation plan</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19-week methodology</w:t>
            </w:r>
          </w:p>
        </w:tc>
      </w:tr>
      <w:tr>
        <w:trPr>
          <w:trHeight w:val="425" w:hRule="atLeast"/>
        </w:trPr>
        <w:tc>
          <w:tcPr>
            <w:tcW w:type="dxa" w:w="2436"/>
            <w:vAlign w:val="center"/>
          </w:tcPr>
          <w:p>
            <w:pPr>
              <w:spacing w:line="276" w:lineRule="auto" w:before="0" w:after="0"/>
            </w:pPr>
            <w:r/>
            <w:r>
              <w:rPr>
                <w:rFonts w:ascii="Figtree" w:hAnsi="Figtree"/>
                <w:b w:val="0"/>
                <w:i w:val="0"/>
                <w:sz w:val="20"/>
              </w:rPr>
              <w:t>REQ-08</w:t>
            </w:r>
          </w:p>
        </w:tc>
        <w:tc>
          <w:tcPr>
            <w:tcW w:type="dxa" w:w="2436"/>
            <w:vAlign w:val="center"/>
          </w:tcPr>
          <w:p>
            <w:pPr>
              <w:spacing w:line="276" w:lineRule="auto" w:before="0" w:after="0"/>
            </w:pPr>
            <w:r/>
            <w:r>
              <w:rPr>
                <w:rFonts w:ascii="Figtree" w:hAnsi="Figtree"/>
                <w:b w:val="0"/>
                <w:i w:val="0"/>
                <w:sz w:val="20"/>
              </w:rPr>
              <w:t>Audit evidence extraction</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GraphQL, immutable on-chain evidence</w:t>
            </w:r>
          </w:p>
        </w:tc>
      </w:tr>
      <w:tr>
        <w:trPr>
          <w:trHeight w:val="425" w:hRule="atLeast"/>
        </w:trPr>
        <w:tc>
          <w:tcPr>
            <w:tcW w:type="dxa" w:w="2436"/>
            <w:vAlign w:val="center"/>
          </w:tcPr>
          <w:p>
            <w:pPr>
              <w:spacing w:line="276" w:lineRule="auto" w:before="0" w:after="0"/>
            </w:pPr>
            <w:r/>
            <w:r>
              <w:rPr>
                <w:rFonts w:ascii="Figtree" w:hAnsi="Figtree"/>
                <w:b w:val="0"/>
                <w:i w:val="0"/>
                <w:sz w:val="20"/>
              </w:rPr>
              <w:t>REQ-09</w:t>
            </w:r>
          </w:p>
        </w:tc>
        <w:tc>
          <w:tcPr>
            <w:tcW w:type="dxa" w:w="2436"/>
            <w:vAlign w:val="center"/>
          </w:tcPr>
          <w:p>
            <w:pPr>
              <w:spacing w:line="276" w:lineRule="auto" w:before="0" w:after="0"/>
            </w:pPr>
            <w:r/>
            <w:r>
              <w:rPr>
                <w:rFonts w:ascii="Figtree" w:hAnsi="Figtree"/>
                <w:b w:val="0"/>
                <w:i w:val="0"/>
                <w:sz w:val="20"/>
              </w:rPr>
              <w:t>Institutional custody key management</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Key Guardian with DFNS/Fireblocks</w:t>
            </w:r>
          </w:p>
        </w:tc>
      </w:tr>
      <w:tr>
        <w:trPr>
          <w:trHeight w:val="425" w:hRule="atLeast"/>
        </w:trPr>
        <w:tc>
          <w:tcPr>
            <w:tcW w:type="dxa" w:w="2436"/>
            <w:vAlign w:val="center"/>
          </w:tcPr>
          <w:p>
            <w:pPr>
              <w:spacing w:line="276" w:lineRule="auto" w:before="0" w:after="0"/>
            </w:pPr>
            <w:r/>
            <w:r>
              <w:rPr>
                <w:rFonts w:ascii="Figtree" w:hAnsi="Figtree"/>
                <w:b w:val="0"/>
                <w:i w:val="0"/>
                <w:sz w:val="20"/>
              </w:rPr>
              <w:t>REQ-10</w:t>
            </w:r>
          </w:p>
        </w:tc>
        <w:tc>
          <w:tcPr>
            <w:tcW w:type="dxa" w:w="2436"/>
            <w:vAlign w:val="center"/>
          </w:tcPr>
          <w:p>
            <w:pPr>
              <w:spacing w:line="276" w:lineRule="auto" w:before="0" w:after="0"/>
            </w:pPr>
            <w:r/>
            <w:r>
              <w:rPr>
                <w:rFonts w:ascii="Figtree" w:hAnsi="Figtree"/>
                <w:b w:val="0"/>
                <w:i w:val="0"/>
                <w:sz w:val="20"/>
              </w:rPr>
              <w:t>Private banking eligibility enforcement</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Compliance modules + OnchainID claims</w:t>
            </w:r>
          </w:p>
        </w:tc>
      </w:tr>
      <w:tr>
        <w:trPr>
          <w:trHeight w:val="425" w:hRule="atLeast"/>
        </w:trPr>
        <w:tc>
          <w:tcPr>
            <w:tcW w:type="dxa" w:w="2436"/>
            <w:vAlign w:val="center"/>
          </w:tcPr>
          <w:p>
            <w:pPr>
              <w:spacing w:line="276" w:lineRule="auto" w:before="0" w:after="0"/>
            </w:pPr>
            <w:r/>
            <w:r>
              <w:rPr>
                <w:rFonts w:ascii="Figtree" w:hAnsi="Figtree"/>
                <w:b w:val="0"/>
                <w:i w:val="0"/>
                <w:sz w:val="20"/>
              </w:rPr>
              <w:t>REQ-11</w:t>
            </w:r>
          </w:p>
        </w:tc>
        <w:tc>
          <w:tcPr>
            <w:tcW w:type="dxa" w:w="2436"/>
            <w:vAlign w:val="center"/>
          </w:tcPr>
          <w:p>
            <w:pPr>
              <w:spacing w:line="276" w:lineRule="auto" w:before="0" w:after="0"/>
            </w:pPr>
            <w:r/>
            <w:r>
              <w:rPr>
                <w:rFonts w:ascii="Figtree" w:hAnsi="Figtree"/>
                <w:b w:val="0"/>
                <w:i w:val="0"/>
                <w:sz w:val="20"/>
              </w:rPr>
              <w:t>Wealth management system integration</w:t>
            </w:r>
          </w:p>
        </w:tc>
        <w:tc>
          <w:tcPr>
            <w:tcW w:type="dxa" w:w="2436"/>
            <w:vAlign w:val="center"/>
          </w:tcPr>
          <w:p>
            <w:pPr>
              <w:spacing w:line="276" w:lineRule="auto" w:before="0" w:after="0"/>
            </w:pPr>
            <w:r/>
            <w:r>
              <w:rPr>
                <w:rFonts w:ascii="Figtree" w:hAnsi="Figtree"/>
                <w:b w:val="0"/>
                <w:i w:val="0"/>
                <w:sz w:val="20"/>
              </w:rPr>
              <w:t>Configurable</w:t>
            </w:r>
          </w:p>
        </w:tc>
        <w:tc>
          <w:tcPr>
            <w:tcW w:type="dxa" w:w="2436"/>
            <w:vAlign w:val="center"/>
          </w:tcPr>
          <w:p>
            <w:pPr>
              <w:spacing w:line="276" w:lineRule="auto" w:before="0" w:after="0"/>
            </w:pPr>
            <w:r/>
            <w:r>
              <w:rPr>
                <w:rFonts w:ascii="Figtree" w:hAnsi="Figtree"/>
                <w:b w:val="0"/>
                <w:i w:val="0"/>
                <w:sz w:val="20"/>
              </w:rPr>
              <w:t>REST API integration during Phase 4</w:t>
            </w:r>
          </w:p>
        </w:tc>
      </w:tr>
    </w:tbl>
    <w:p>
      <w:pPr>
        <w:spacing w:before="0" w:after="0" w:line="120" w:lineRule="exact"/>
      </w:pPr>
    </w:p>
    <w:p>
      <w:r>
        <w:br w:type="page"/>
      </w:r>
    </w:p>
    <w:p>
      <w:pPr>
        <w:pStyle w:val="H2"/>
        <w:numPr>
          <w:ilvl w:val="1"/>
          <w:numId w:val="1"/>
        </w:numPr>
      </w:pPr>
      <w:r>
        <w:t>Technical Architecture</w:t>
      </w:r>
    </w:p>
    <w:p>
      <w:pPr>
        <w:pStyle w:val="H3"/>
        <w:numPr>
          <w:ilvl w:val="2"/>
          <w:numId w:val="1"/>
        </w:numPr>
      </w:pPr>
      <w:r>
        <w:t>Layered Architecture</w:t>
      </w:r>
    </w:p>
    <w:p>
      <w:r>
        <w:rPr>
          <w:rFonts w:ascii="Figtree" w:hAnsi="Figtree"/>
          <w:b w:val="0"/>
          <w:i w:val="0"/>
          <w:sz w:val="22"/>
        </w:rPr>
        <w:t>DALP follows a four-layer architecture with distinct responsibility boundaries:</w:t>
      </w:r>
    </w:p>
    <w:p>
      <w:pPr>
        <w:jc w:val="center"/>
      </w:pPr>
      <w:r>
        <w:drawing>
          <wp:inline xmlns:a="http://schemas.openxmlformats.org/drawingml/2006/main" xmlns:pic="http://schemas.openxmlformats.org/drawingml/2006/picture">
            <wp:extent cx="5486400" cy="1840463"/>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1840463"/>
                    </a:xfrm>
                    <a:prstGeom prst="rect"/>
                  </pic:spPr>
                </pic:pic>
              </a:graphicData>
            </a:graphic>
          </wp:inline>
        </w:drawing>
      </w:r>
    </w:p>
    <w:p>
      <w:r>
        <w:rPr>
          <w:rFonts w:ascii="Figtree" w:hAnsi="Figtree"/>
          <w:b/>
          <w:i w:val="0"/>
          <w:sz w:val="22"/>
        </w:rPr>
        <w:t>Application Layer:</w:t>
      </w:r>
      <w:r>
        <w:rPr>
          <w:rFonts w:ascii="Figtree" w:hAnsi="Figtree"/>
          <w:b w:val="0"/>
          <w:i w:val="0"/>
          <w:sz w:val="22"/>
        </w:rPr>
        <w:t xml:space="preserve"> Asset Console provides web-based operational interface for custody operations, compliance monitoring, identity management, and portfolio tracking.</w:t>
      </w:r>
    </w:p>
    <w:p>
      <w:r>
        <w:rPr>
          <w:rFonts w:ascii="Figtree" w:hAnsi="Figtree"/>
          <w:b/>
          <w:i w:val="0"/>
          <w:sz w:val="22"/>
        </w:rPr>
        <w:t>API Layer:</w:t>
      </w:r>
      <w:r>
        <w:rPr>
          <w:rFonts w:ascii="Figtree" w:hAnsi="Figtree"/>
          <w:b w:val="0"/>
          <w:i w:val="0"/>
          <w:sz w:val="22"/>
        </w:rPr>
        <w:t xml:space="preserve"> DAPI serves REST API v2 (API key authentication) for programmatic access and RPC endpoint (session authentication) for the web UI. OpenAPI 3.1 auto-generated specifications ensure documentation synchronization.</w:t>
      </w:r>
    </w:p>
    <w:p>
      <w:r>
        <w:rPr>
          <w:rFonts w:ascii="Figtree" w:hAnsi="Figtree"/>
          <w:b/>
          <w:i w:val="0"/>
          <w:sz w:val="22"/>
        </w:rPr>
        <w:t>Middleware Layer:</w:t>
      </w:r>
      <w:r>
        <w:rPr>
          <w:rFonts w:ascii="Figtree" w:hAnsi="Figtree"/>
          <w:b w:val="0"/>
          <w:i w:val="0"/>
          <w:sz w:val="22"/>
        </w:rPr>
        <w:t xml:space="preserve"> Seven services handle workflow orchestration, key management (Key Guardian), transaction signing, contract interaction, event indexing, multi-chain connectivity, and market data feeds. The Execution Engine provides durable workflow guarantees — critical for custody operations that must complete reliably.</w:t>
      </w:r>
    </w:p>
    <w:p>
      <w:r>
        <w:rPr>
          <w:rFonts w:ascii="Figtree" w:hAnsi="Figtree"/>
          <w:b/>
          <w:i w:val="0"/>
          <w:sz w:val="22"/>
        </w:rPr>
        <w:t>Smart Contract Layer:</w:t>
      </w:r>
      <w:r>
        <w:rPr>
          <w:rFonts w:ascii="Figtree" w:hAnsi="Figtree"/>
          <w:b w:val="0"/>
          <w:i w:val="0"/>
          <w:sz w:val="22"/>
        </w:rPr>
        <w:t xml:space="preserve"> SMART Protocol (ERC-3643) provides the on-chain foundation. DALPAsset offers runtime configurability. Eighteen compliance module types and runtime-pluggable token features cover all custody and distribution requirements.</w:t>
      </w:r>
    </w:p>
    <w:p>
      <w:pPr>
        <w:pStyle w:val="H3"/>
        <w:numPr>
          <w:ilvl w:val="2"/>
          <w:numId w:val="1"/>
        </w:numPr>
      </w:pPr>
      <w:r>
        <w:t>Data Architecture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377"/>
        <w:gridCol w:w="2106"/>
        <w:gridCol w:w="558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Data Domain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Storage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Purpose</w:t>
            </w:r>
          </w:p>
        </w:tc>
      </w:tr>
      <w:tr>
        <w:trPr>
          <w:trHeight w:val="425" w:hRule="atLeast"/>
        </w:trPr>
        <w:tc>
          <w:tcPr>
            <w:tcW w:type="dxa" w:w="3249"/>
            <w:vAlign w:val="center"/>
          </w:tcPr>
          <w:p>
            <w:pPr>
              <w:spacing w:line="276" w:lineRule="auto" w:before="0" w:after="0"/>
            </w:pPr>
            <w:r/>
            <w:r>
              <w:rPr>
                <w:rFonts w:ascii="Figtree" w:hAnsi="Figtree"/>
                <w:b w:val="0"/>
                <w:i w:val="0"/>
                <w:sz w:val="20"/>
              </w:rPr>
              <w:t>On-chain state</w:t>
            </w:r>
          </w:p>
        </w:tc>
        <w:tc>
          <w:tcPr>
            <w:tcW w:type="dxa" w:w="3249"/>
            <w:vAlign w:val="center"/>
          </w:tcPr>
          <w:p>
            <w:pPr>
              <w:spacing w:line="276" w:lineRule="auto" w:before="0" w:after="0"/>
            </w:pPr>
            <w:r/>
            <w:r>
              <w:rPr>
                <w:rFonts w:ascii="Figtree" w:hAnsi="Figtree"/>
                <w:b w:val="0"/>
                <w:i w:val="0"/>
                <w:sz w:val="20"/>
              </w:rPr>
              <w:t>Blockchain (Besu)</w:t>
            </w:r>
          </w:p>
        </w:tc>
        <w:tc>
          <w:tcPr>
            <w:tcW w:type="dxa" w:w="3249"/>
            <w:vAlign w:val="center"/>
          </w:tcPr>
          <w:p>
            <w:pPr>
              <w:spacing w:line="276" w:lineRule="auto" w:before="0" w:after="0"/>
            </w:pPr>
            <w:r/>
            <w:r>
              <w:rPr>
                <w:rFonts w:ascii="Figtree" w:hAnsi="Figtree"/>
                <w:b w:val="0"/>
                <w:i w:val="0"/>
                <w:sz w:val="20"/>
              </w:rPr>
              <w:t>Token balances, compliance state, identity claims — permanent, immutable</w:t>
            </w:r>
          </w:p>
        </w:tc>
      </w:tr>
      <w:tr>
        <w:trPr>
          <w:trHeight w:val="425" w:hRule="atLeast"/>
        </w:trPr>
        <w:tc>
          <w:tcPr>
            <w:tcW w:type="dxa" w:w="3249"/>
            <w:vAlign w:val="center"/>
          </w:tcPr>
          <w:p>
            <w:pPr>
              <w:spacing w:line="276" w:lineRule="auto" w:before="0" w:after="0"/>
            </w:pPr>
            <w:r/>
            <w:r>
              <w:rPr>
                <w:rFonts w:ascii="Figtree" w:hAnsi="Figtree"/>
                <w:b w:val="0"/>
                <w:i w:val="0"/>
                <w:sz w:val="20"/>
              </w:rPr>
              <w:t>Application state</w:t>
            </w:r>
          </w:p>
        </w:tc>
        <w:tc>
          <w:tcPr>
            <w:tcW w:type="dxa" w:w="3249"/>
            <w:vAlign w:val="center"/>
          </w:tcPr>
          <w:p>
            <w:pPr>
              <w:spacing w:line="276" w:lineRule="auto" w:before="0" w:after="0"/>
            </w:pPr>
            <w:r/>
            <w:r>
              <w:rPr>
                <w:rFonts w:ascii="Figtree" w:hAnsi="Figtree"/>
                <w:b w:val="0"/>
                <w:i w:val="0"/>
                <w:sz w:val="20"/>
              </w:rPr>
              <w:t>PostgreSQL</w:t>
            </w:r>
          </w:p>
        </w:tc>
        <w:tc>
          <w:tcPr>
            <w:tcW w:type="dxa" w:w="3249"/>
            <w:vAlign w:val="center"/>
          </w:tcPr>
          <w:p>
            <w:pPr>
              <w:spacing w:line="276" w:lineRule="auto" w:before="0" w:after="0"/>
            </w:pPr>
            <w:r/>
            <w:r>
              <w:rPr>
                <w:rFonts w:ascii="Figtree" w:hAnsi="Figtree"/>
                <w:b w:val="0"/>
                <w:i w:val="0"/>
                <w:sz w:val="20"/>
              </w:rPr>
              <w:t>Users, sessions, configurations, workflow state — backed up hourly</w:t>
            </w:r>
          </w:p>
        </w:tc>
      </w:tr>
      <w:tr>
        <w:trPr>
          <w:trHeight w:val="425" w:hRule="atLeast"/>
        </w:trPr>
        <w:tc>
          <w:tcPr>
            <w:tcW w:type="dxa" w:w="3249"/>
            <w:vAlign w:val="center"/>
          </w:tcPr>
          <w:p>
            <w:pPr>
              <w:spacing w:line="276" w:lineRule="auto" w:before="0" w:after="0"/>
            </w:pPr>
            <w:r/>
            <w:r>
              <w:rPr>
                <w:rFonts w:ascii="Figtree" w:hAnsi="Figtree"/>
                <w:b w:val="0"/>
                <w:i w:val="0"/>
                <w:sz w:val="20"/>
              </w:rPr>
              <w:t>Indexed state</w:t>
            </w:r>
          </w:p>
        </w:tc>
        <w:tc>
          <w:tcPr>
            <w:tcW w:type="dxa" w:w="3249"/>
            <w:vAlign w:val="center"/>
          </w:tcPr>
          <w:p>
            <w:pPr>
              <w:spacing w:line="276" w:lineRule="auto" w:before="0" w:after="0"/>
            </w:pPr>
            <w:r/>
            <w:r>
              <w:rPr>
                <w:rFonts w:ascii="Figtree" w:hAnsi="Figtree"/>
                <w:b w:val="0"/>
                <w:i w:val="0"/>
                <w:sz w:val="20"/>
              </w:rPr>
              <w:t>Chain Indexer → PostgreSQL</w:t>
            </w:r>
          </w:p>
        </w:tc>
        <w:tc>
          <w:tcPr>
            <w:tcW w:type="dxa" w:w="3249"/>
            <w:vAlign w:val="center"/>
          </w:tcPr>
          <w:p>
            <w:pPr>
              <w:spacing w:line="276" w:lineRule="auto" w:before="0" w:after="0"/>
            </w:pPr>
            <w:r/>
            <w:r>
              <w:rPr>
                <w:rFonts w:ascii="Figtree" w:hAnsi="Figtree"/>
                <w:b w:val="0"/>
                <w:i w:val="0"/>
                <w:sz w:val="20"/>
              </w:rPr>
              <w:t>Queryable event history, analytics, reporting</w:t>
            </w:r>
          </w:p>
        </w:tc>
      </w:tr>
      <w:tr>
        <w:trPr>
          <w:trHeight w:val="425" w:hRule="atLeast"/>
        </w:trPr>
        <w:tc>
          <w:tcPr>
            <w:tcW w:type="dxa" w:w="3249"/>
            <w:vAlign w:val="center"/>
          </w:tcPr>
          <w:p>
            <w:pPr>
              <w:spacing w:line="276" w:lineRule="auto" w:before="0" w:after="0"/>
            </w:pPr>
            <w:r/>
            <w:r>
              <w:rPr>
                <w:rFonts w:ascii="Figtree" w:hAnsi="Figtree"/>
                <w:b w:val="0"/>
                <w:i w:val="0"/>
                <w:sz w:val="20"/>
              </w:rPr>
              <w:t>Audit evidence</w:t>
            </w:r>
          </w:p>
        </w:tc>
        <w:tc>
          <w:tcPr>
            <w:tcW w:type="dxa" w:w="3249"/>
            <w:vAlign w:val="center"/>
          </w:tcPr>
          <w:p>
            <w:pPr>
              <w:spacing w:line="276" w:lineRule="auto" w:before="0" w:after="0"/>
            </w:pPr>
            <w:r/>
            <w:r>
              <w:rPr>
                <w:rFonts w:ascii="Figtree" w:hAnsi="Figtree"/>
                <w:b w:val="0"/>
                <w:i w:val="0"/>
                <w:sz w:val="20"/>
              </w:rPr>
              <w:t>Blockchain + PostgreSQL</w:t>
            </w:r>
          </w:p>
        </w:tc>
        <w:tc>
          <w:tcPr>
            <w:tcW w:type="dxa" w:w="3249"/>
            <w:vAlign w:val="center"/>
          </w:tcPr>
          <w:p>
            <w:pPr>
              <w:spacing w:line="276" w:lineRule="auto" w:before="0" w:after="0"/>
            </w:pPr>
            <w:r/>
            <w:r>
              <w:rPr>
                <w:rFonts w:ascii="Figtree" w:hAnsi="Figtree"/>
                <w:b w:val="0"/>
                <w:i w:val="0"/>
                <w:sz w:val="20"/>
              </w:rPr>
              <w:t>Transaction records, compliance decisions, custody events</w:t>
            </w:r>
          </w:p>
        </w:tc>
      </w:tr>
      <w:tr>
        <w:trPr>
          <w:trHeight w:val="425" w:hRule="atLeast"/>
        </w:trPr>
        <w:tc>
          <w:tcPr>
            <w:tcW w:type="dxa" w:w="3249"/>
            <w:vAlign w:val="center"/>
          </w:tcPr>
          <w:p>
            <w:pPr>
              <w:spacing w:line="276" w:lineRule="auto" w:before="0" w:after="0"/>
            </w:pPr>
            <w:r/>
            <w:r>
              <w:rPr>
                <w:rFonts w:ascii="Figtree" w:hAnsi="Figtree"/>
                <w:b w:val="0"/>
                <w:i w:val="0"/>
                <w:sz w:val="20"/>
              </w:rPr>
              <w:t>Key material</w:t>
            </w:r>
          </w:p>
        </w:tc>
        <w:tc>
          <w:tcPr>
            <w:tcW w:type="dxa" w:w="3249"/>
            <w:vAlign w:val="center"/>
          </w:tcPr>
          <w:p>
            <w:pPr>
              <w:spacing w:line="276" w:lineRule="auto" w:before="0" w:after="0"/>
            </w:pPr>
            <w:r/>
            <w:r>
              <w:rPr>
                <w:rFonts w:ascii="Figtree" w:hAnsi="Figtree"/>
                <w:b w:val="0"/>
                <w:i w:val="0"/>
                <w:sz w:val="20"/>
              </w:rPr>
              <w:t>Key Guardian (HSM/MPC)</w:t>
            </w:r>
          </w:p>
        </w:tc>
        <w:tc>
          <w:tcPr>
            <w:tcW w:type="dxa" w:w="3249"/>
            <w:vAlign w:val="center"/>
          </w:tcPr>
          <w:p>
            <w:pPr>
              <w:spacing w:line="276" w:lineRule="auto" w:before="0" w:after="0"/>
            </w:pPr>
            <w:r/>
            <w:r>
              <w:rPr>
                <w:rFonts w:ascii="Figtree" w:hAnsi="Figtree"/>
                <w:b w:val="0"/>
                <w:i w:val="0"/>
                <w:sz w:val="20"/>
              </w:rPr>
              <w:t>Cryptographic keys — never stored in plaintext</w:t>
            </w:r>
          </w:p>
        </w:tc>
      </w:tr>
    </w:tbl>
    <w:p>
      <w:pPr>
        <w:spacing w:before="0" w:after="0" w:line="120" w:lineRule="exact"/>
      </w:pPr>
    </w:p>
    <w:p>
      <w:pPr>
        <w:pStyle w:val="H3"/>
        <w:numPr>
          <w:ilvl w:val="2"/>
          <w:numId w:val="1"/>
        </w:numPr>
      </w:pPr>
      <w:r>
        <w:t>Network Configuration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74"/>
        <w:gridCol w:w="6697"/>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Aspect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Recommendation for FAB</w:t>
            </w:r>
          </w:p>
        </w:tc>
      </w:tr>
      <w:tr>
        <w:trPr>
          <w:trHeight w:val="425" w:hRule="atLeast"/>
        </w:trPr>
        <w:tc>
          <w:tcPr>
            <w:tcW w:type="dxa" w:w="4873"/>
            <w:vAlign w:val="center"/>
          </w:tcPr>
          <w:p>
            <w:pPr>
              <w:spacing w:line="276" w:lineRule="auto" w:before="0" w:after="0"/>
            </w:pPr>
            <w:r/>
            <w:r>
              <w:rPr>
                <w:rFonts w:ascii="Figtree" w:hAnsi="Figtree"/>
                <w:b w:val="0"/>
                <w:i w:val="0"/>
                <w:sz w:val="20"/>
              </w:rPr>
              <w:t>Consensus</w:t>
            </w:r>
          </w:p>
        </w:tc>
        <w:tc>
          <w:tcPr>
            <w:tcW w:type="dxa" w:w="4873"/>
            <w:vAlign w:val="center"/>
          </w:tcPr>
          <w:p>
            <w:pPr>
              <w:spacing w:line="276" w:lineRule="auto" w:before="0" w:after="0"/>
            </w:pPr>
            <w:r/>
            <w:r>
              <w:rPr>
                <w:rFonts w:ascii="Figtree" w:hAnsi="Figtree"/>
                <w:b w:val="0"/>
                <w:i w:val="0"/>
                <w:sz w:val="20"/>
              </w:rPr>
              <w:t>IBFT 2.0 (deterministic finality)</w:t>
            </w:r>
          </w:p>
        </w:tc>
      </w:tr>
      <w:tr>
        <w:trPr>
          <w:trHeight w:val="425" w:hRule="atLeast"/>
        </w:trPr>
        <w:tc>
          <w:tcPr>
            <w:tcW w:type="dxa" w:w="4873"/>
            <w:vAlign w:val="center"/>
          </w:tcPr>
          <w:p>
            <w:pPr>
              <w:spacing w:line="276" w:lineRule="auto" w:before="0" w:after="0"/>
            </w:pPr>
            <w:r/>
            <w:r>
              <w:rPr>
                <w:rFonts w:ascii="Figtree" w:hAnsi="Figtree"/>
                <w:b w:val="0"/>
                <w:i w:val="0"/>
                <w:sz w:val="20"/>
              </w:rPr>
              <w:t>Validators</w:t>
            </w:r>
          </w:p>
        </w:tc>
        <w:tc>
          <w:tcPr>
            <w:tcW w:type="dxa" w:w="4873"/>
            <w:vAlign w:val="center"/>
          </w:tcPr>
          <w:p>
            <w:pPr>
              <w:spacing w:line="276" w:lineRule="auto" w:before="0" w:after="0"/>
            </w:pPr>
            <w:r/>
            <w:r>
              <w:rPr>
                <w:rFonts w:ascii="Figtree" w:hAnsi="Figtree"/>
                <w:b w:val="0"/>
                <w:i w:val="0"/>
                <w:sz w:val="20"/>
              </w:rPr>
              <w:t>4 nodes (tolerates 1 Byzantine fault)</w:t>
            </w:r>
          </w:p>
        </w:tc>
      </w:tr>
      <w:tr>
        <w:trPr>
          <w:trHeight w:val="425" w:hRule="atLeast"/>
        </w:trPr>
        <w:tc>
          <w:tcPr>
            <w:tcW w:type="dxa" w:w="4873"/>
            <w:vAlign w:val="center"/>
          </w:tcPr>
          <w:p>
            <w:pPr>
              <w:spacing w:line="276" w:lineRule="auto" w:before="0" w:after="0"/>
            </w:pPr>
            <w:r/>
            <w:r>
              <w:rPr>
                <w:rFonts w:ascii="Figtree" w:hAnsi="Figtree"/>
                <w:b w:val="0"/>
                <w:i w:val="0"/>
                <w:sz w:val="20"/>
              </w:rPr>
              <w:t>Block time</w:t>
            </w:r>
          </w:p>
        </w:tc>
        <w:tc>
          <w:tcPr>
            <w:tcW w:type="dxa" w:w="4873"/>
            <w:vAlign w:val="center"/>
          </w:tcPr>
          <w:p>
            <w:pPr>
              <w:spacing w:line="276" w:lineRule="auto" w:before="0" w:after="0"/>
            </w:pPr>
            <w:r/>
            <w:r>
              <w:rPr>
                <w:rFonts w:ascii="Figtree" w:hAnsi="Figtree"/>
                <w:b w:val="0"/>
                <w:i w:val="0"/>
                <w:sz w:val="20"/>
              </w:rPr>
              <w:t>2 seconds</w:t>
            </w:r>
          </w:p>
        </w:tc>
      </w:tr>
      <w:tr>
        <w:trPr>
          <w:trHeight w:val="425" w:hRule="atLeast"/>
        </w:trPr>
        <w:tc>
          <w:tcPr>
            <w:tcW w:type="dxa" w:w="4873"/>
            <w:vAlign w:val="center"/>
          </w:tcPr>
          <w:p>
            <w:pPr>
              <w:spacing w:line="276" w:lineRule="auto" w:before="0" w:after="0"/>
            </w:pPr>
            <w:r/>
            <w:r>
              <w:rPr>
                <w:rFonts w:ascii="Figtree" w:hAnsi="Figtree"/>
                <w:b w:val="0"/>
                <w:i w:val="0"/>
                <w:sz w:val="20"/>
              </w:rPr>
              <w:t>Network</w:t>
            </w:r>
          </w:p>
        </w:tc>
        <w:tc>
          <w:tcPr>
            <w:tcW w:type="dxa" w:w="4873"/>
            <w:vAlign w:val="center"/>
          </w:tcPr>
          <w:p>
            <w:pPr>
              <w:spacing w:line="276" w:lineRule="auto" w:before="0" w:after="0"/>
            </w:pPr>
            <w:r/>
            <w:r>
              <w:rPr>
                <w:rFonts w:ascii="Figtree" w:hAnsi="Figtree"/>
                <w:b w:val="0"/>
                <w:i w:val="0"/>
                <w:sz w:val="20"/>
              </w:rPr>
              <w:t>Permissioned (FAB-controlled)</w:t>
            </w:r>
          </w:p>
        </w:tc>
      </w:tr>
    </w:tbl>
    <w:p>
      <w:pPr>
        <w:spacing w:before="0" w:after="0" w:line="120" w:lineRule="exact"/>
      </w:pPr>
    </w:p>
    <w:p>
      <w:r>
        <w:br w:type="page"/>
      </w:r>
    </w:p>
    <w:p>
      <w:pPr>
        <w:pStyle w:val="H2"/>
        <w:numPr>
          <w:ilvl w:val="1"/>
          <w:numId w:val="1"/>
        </w:numPr>
      </w:pPr>
      <w:r>
        <w:t>Security, Resilience, and Operational Assurance</w:t>
      </w:r>
    </w:p>
    <w:p>
      <w:pPr>
        <w:pStyle w:val="H3"/>
        <w:numPr>
          <w:ilvl w:val="2"/>
          <w:numId w:val="1"/>
        </w:numPr>
      </w:pPr>
      <w:r>
        <w:t>Defense-in-Depth Security Model</w:t>
      </w:r>
    </w:p>
    <w:p>
      <w:pPr>
        <w:jc w:val="center"/>
      </w:pPr>
      <w:r>
        <w:drawing>
          <wp:inline xmlns:a="http://schemas.openxmlformats.org/drawingml/2006/main" xmlns:pic="http://schemas.openxmlformats.org/drawingml/2006/picture">
            <wp:extent cx="5486400" cy="615820"/>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5486400" cy="615820"/>
                    </a:xfrm>
                    <a:prstGeom prst="rect"/>
                  </pic:spPr>
                </pic:pic>
              </a:graphicData>
            </a:graphic>
          </wp:inline>
        </w:drawing>
      </w:r>
    </w:p>
    <w:p>
      <w:r>
        <w:rPr>
          <w:rFonts w:ascii="Figtree" w:hAnsi="Figtree"/>
          <w:b w:val="0"/>
          <w:i w:val="0"/>
          <w:sz w:val="22"/>
        </w:rPr>
        <w:t>No single-layer failure grants unauthorized access. This five-layer model is particularly critical for custody operations, where the consequence of a security breach is direct asset loss.</w:t>
      </w:r>
    </w:p>
    <w:p>
      <w:pPr>
        <w:pStyle w:val="H3"/>
        <w:numPr>
          <w:ilvl w:val="2"/>
          <w:numId w:val="1"/>
        </w:numPr>
      </w:pPr>
      <w:r>
        <w:t>Wallet Verification Detail</w:t>
      </w:r>
    </w:p>
    <w:p>
      <w:r>
        <w:rPr>
          <w:rFonts w:ascii="Figtree" w:hAnsi="Figtree"/>
          <w:b w:val="0"/>
          <w:i w:val="0"/>
          <w:sz w:val="22"/>
        </w:rPr>
        <w:t>For custody operations, wallet verification provides the final security gate: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378"/>
        <w:gridCol w:w="3789"/>
        <w:gridCol w:w="390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Method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FAB Use Case</w:t>
            </w:r>
          </w:p>
        </w:tc>
      </w:tr>
      <w:tr>
        <w:trPr>
          <w:trHeight w:val="425" w:hRule="atLeast"/>
        </w:trPr>
        <w:tc>
          <w:tcPr>
            <w:tcW w:type="dxa" w:w="3249"/>
            <w:vAlign w:val="center"/>
          </w:tcPr>
          <w:p>
            <w:pPr>
              <w:spacing w:line="276" w:lineRule="auto" w:before="0" w:after="0"/>
            </w:pPr>
            <w:r/>
            <w:r>
              <w:rPr>
                <w:rFonts w:ascii="Figtree" w:hAnsi="Figtree"/>
                <w:b w:val="0"/>
                <w:i w:val="0"/>
                <w:sz w:val="20"/>
              </w:rPr>
              <w:t>PIN</w:t>
            </w:r>
          </w:p>
        </w:tc>
        <w:tc>
          <w:tcPr>
            <w:tcW w:type="dxa" w:w="3249"/>
            <w:vAlign w:val="center"/>
          </w:tcPr>
          <w:p>
            <w:pPr>
              <w:spacing w:line="276" w:lineRule="auto" w:before="0" w:after="0"/>
            </w:pPr>
            <w:r/>
            <w:r>
              <w:rPr>
                <w:rFonts w:ascii="Figtree" w:hAnsi="Figtree"/>
                <w:b w:val="0"/>
                <w:i w:val="0"/>
                <w:sz w:val="20"/>
              </w:rPr>
              <w:t>6-digit code</w:t>
            </w:r>
          </w:p>
        </w:tc>
        <w:tc>
          <w:tcPr>
            <w:tcW w:type="dxa" w:w="3249"/>
            <w:vAlign w:val="center"/>
          </w:tcPr>
          <w:p>
            <w:pPr>
              <w:spacing w:line="276" w:lineRule="auto" w:before="0" w:after="0"/>
            </w:pPr>
            <w:r/>
            <w:r>
              <w:rPr>
                <w:rFonts w:ascii="Figtree" w:hAnsi="Figtree"/>
                <w:b w:val="0"/>
                <w:i w:val="0"/>
                <w:sz w:val="20"/>
              </w:rPr>
              <w:t>Standard custody operations</w:t>
            </w:r>
          </w:p>
        </w:tc>
      </w:tr>
      <w:tr>
        <w:trPr>
          <w:trHeight w:val="425" w:hRule="atLeast"/>
        </w:trPr>
        <w:tc>
          <w:tcPr>
            <w:tcW w:type="dxa" w:w="3249"/>
            <w:vAlign w:val="center"/>
          </w:tcPr>
          <w:p>
            <w:pPr>
              <w:spacing w:line="276" w:lineRule="auto" w:before="0" w:after="0"/>
            </w:pPr>
            <w:r/>
            <w:r>
              <w:rPr>
                <w:rFonts w:ascii="Figtree" w:hAnsi="Figtree"/>
                <w:b w:val="0"/>
                <w:i w:val="0"/>
                <w:sz w:val="20"/>
              </w:rPr>
              <w:t>TOTP</w:t>
            </w:r>
          </w:p>
        </w:tc>
        <w:tc>
          <w:tcPr>
            <w:tcW w:type="dxa" w:w="3249"/>
            <w:vAlign w:val="center"/>
          </w:tcPr>
          <w:p>
            <w:pPr>
              <w:spacing w:line="276" w:lineRule="auto" w:before="0" w:after="0"/>
            </w:pPr>
            <w:r/>
            <w:r>
              <w:rPr>
                <w:rFonts w:ascii="Figtree" w:hAnsi="Figtree"/>
                <w:b w:val="0"/>
                <w:i w:val="0"/>
                <w:sz w:val="20"/>
              </w:rPr>
              <w:t>Time-based OTP (RFC 6238)</w:t>
            </w:r>
          </w:p>
        </w:tc>
        <w:tc>
          <w:tcPr>
            <w:tcW w:type="dxa" w:w="3249"/>
            <w:vAlign w:val="center"/>
          </w:tcPr>
          <w:p>
            <w:pPr>
              <w:spacing w:line="276" w:lineRule="auto" w:before="0" w:after="0"/>
            </w:pPr>
            <w:r/>
            <w:r>
              <w:rPr>
                <w:rFonts w:ascii="Figtree" w:hAnsi="Figtree"/>
                <w:b w:val="0"/>
                <w:i w:val="0"/>
                <w:sz w:val="20"/>
              </w:rPr>
              <w:t>Enhanced security transactions</w:t>
            </w:r>
          </w:p>
        </w:tc>
      </w:tr>
      <w:tr>
        <w:trPr>
          <w:trHeight w:val="425" w:hRule="atLeast"/>
        </w:trPr>
        <w:tc>
          <w:tcPr>
            <w:tcW w:type="dxa" w:w="3249"/>
            <w:vAlign w:val="center"/>
          </w:tcPr>
          <w:p>
            <w:pPr>
              <w:spacing w:line="276" w:lineRule="auto" w:before="0" w:after="0"/>
            </w:pPr>
            <w:r/>
            <w:r>
              <w:rPr>
                <w:rFonts w:ascii="Figtree" w:hAnsi="Figtree"/>
                <w:b w:val="0"/>
                <w:i w:val="0"/>
                <w:sz w:val="20"/>
              </w:rPr>
              <w:t>Backup codes</w:t>
            </w:r>
          </w:p>
        </w:tc>
        <w:tc>
          <w:tcPr>
            <w:tcW w:type="dxa" w:w="3249"/>
            <w:vAlign w:val="center"/>
          </w:tcPr>
          <w:p>
            <w:pPr>
              <w:spacing w:line="276" w:lineRule="auto" w:before="0" w:after="0"/>
            </w:pPr>
            <w:r/>
            <w:r>
              <w:rPr>
                <w:rFonts w:ascii="Figtree" w:hAnsi="Figtree"/>
                <w:b w:val="0"/>
                <w:i w:val="0"/>
                <w:sz w:val="20"/>
              </w:rPr>
              <w:t>One-time recovery codes</w:t>
            </w:r>
          </w:p>
        </w:tc>
        <w:tc>
          <w:tcPr>
            <w:tcW w:type="dxa" w:w="3249"/>
            <w:vAlign w:val="center"/>
          </w:tcPr>
          <w:p>
            <w:pPr>
              <w:spacing w:line="276" w:lineRule="auto" w:before="0" w:after="0"/>
            </w:pPr>
            <w:r/>
            <w:r>
              <w:rPr>
                <w:rFonts w:ascii="Figtree" w:hAnsi="Figtree"/>
                <w:b w:val="0"/>
                <w:i w:val="0"/>
                <w:sz w:val="20"/>
              </w:rPr>
              <w:t>Emergency access</w:t>
            </w:r>
          </w:p>
        </w:tc>
      </w:tr>
      <w:tr>
        <w:trPr>
          <w:trHeight w:val="425" w:hRule="atLeast"/>
        </w:trPr>
        <w:tc>
          <w:tcPr>
            <w:tcW w:type="dxa" w:w="3249"/>
            <w:vAlign w:val="center"/>
          </w:tcPr>
          <w:p>
            <w:pPr>
              <w:spacing w:line="276" w:lineRule="auto" w:before="0" w:after="0"/>
            </w:pPr>
            <w:r/>
            <w:r>
              <w:rPr>
                <w:rFonts w:ascii="Figtree" w:hAnsi="Figtree"/>
                <w:b w:val="0"/>
                <w:i w:val="0"/>
                <w:sz w:val="20"/>
              </w:rPr>
              <w:t>Passkey</w:t>
            </w:r>
          </w:p>
        </w:tc>
        <w:tc>
          <w:tcPr>
            <w:tcW w:type="dxa" w:w="3249"/>
            <w:vAlign w:val="center"/>
          </w:tcPr>
          <w:p>
            <w:pPr>
              <w:spacing w:line="276" w:lineRule="auto" w:before="0" w:after="0"/>
            </w:pPr>
            <w:r/>
            <w:r>
              <w:rPr>
                <w:rFonts w:ascii="Figtree" w:hAnsi="Figtree"/>
                <w:b w:val="0"/>
                <w:i w:val="0"/>
                <w:sz w:val="20"/>
              </w:rPr>
              <w:t>WebAuthn hardware key / biometric</w:t>
            </w:r>
          </w:p>
        </w:tc>
        <w:tc>
          <w:tcPr>
            <w:tcW w:type="dxa" w:w="3249"/>
            <w:vAlign w:val="center"/>
          </w:tcPr>
          <w:p>
            <w:pPr>
              <w:spacing w:line="276" w:lineRule="auto" w:before="0" w:after="0"/>
            </w:pPr>
            <w:r/>
            <w:r>
              <w:rPr>
                <w:rFonts w:ascii="Figtree" w:hAnsi="Figtree"/>
                <w:b w:val="0"/>
                <w:i w:val="0"/>
                <w:sz w:val="20"/>
              </w:rPr>
              <w:t>Treasury and high-value operations</w:t>
            </w:r>
          </w:p>
        </w:tc>
      </w:tr>
    </w:tbl>
    <w:p>
      <w:pPr>
        <w:spacing w:before="0" w:after="0" w:line="120" w:lineRule="exact"/>
      </w:pPr>
    </w:p>
    <w:p>
      <w:r>
        <w:rPr>
          <w:rFonts w:ascii="Figtree" w:hAnsi="Figtree"/>
          <w:b w:val="0"/>
          <w:i w:val="0"/>
          <w:sz w:val="22"/>
        </w:rPr>
        <w:t>If wallet verification fails: request rejected immediately, no gas consumed, no custody provider interaction, no state change. No administrative override exists.</w:t>
      </w:r>
    </w:p>
    <w:p>
      <w:pPr>
        <w:pStyle w:val="H3"/>
        <w:numPr>
          <w:ilvl w:val="2"/>
          <w:numId w:val="1"/>
        </w:numPr>
      </w:pPr>
      <w:r>
        <w:t>Certifications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329"/>
        <w:gridCol w:w="474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Certification</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r>
      <w:tr>
        <w:trPr>
          <w:trHeight w:val="425" w:hRule="atLeast"/>
        </w:trPr>
        <w:tc>
          <w:tcPr>
            <w:tcW w:type="dxa" w:w="4873"/>
            <w:vAlign w:val="center"/>
          </w:tcPr>
          <w:p>
            <w:pPr>
              <w:spacing w:line="276" w:lineRule="auto" w:before="0" w:after="0"/>
            </w:pPr>
            <w:r/>
            <w:r>
              <w:rPr>
                <w:rFonts w:ascii="Figtree" w:hAnsi="Figtree"/>
                <w:b w:val="0"/>
                <w:i w:val="0"/>
                <w:sz w:val="20"/>
              </w:rPr>
              <w:t>ISO 27001</w:t>
            </w:r>
          </w:p>
        </w:tc>
        <w:tc>
          <w:tcPr>
            <w:tcW w:type="dxa" w:w="4873"/>
            <w:vAlign w:val="center"/>
          </w:tcPr>
          <w:p>
            <w:pPr>
              <w:spacing w:line="276" w:lineRule="auto" w:before="0" w:after="0"/>
            </w:pPr>
            <w:r/>
            <w:r>
              <w:rPr>
                <w:rFonts w:ascii="Figtree" w:hAnsi="Figtree"/>
                <w:b w:val="0"/>
                <w:i w:val="0"/>
                <w:sz w:val="20"/>
              </w:rPr>
              <w:t>Current</w:t>
            </w:r>
          </w:p>
        </w:tc>
      </w:tr>
      <w:tr>
        <w:trPr>
          <w:trHeight w:val="425" w:hRule="atLeast"/>
        </w:trPr>
        <w:tc>
          <w:tcPr>
            <w:tcW w:type="dxa" w:w="4873"/>
            <w:vAlign w:val="center"/>
          </w:tcPr>
          <w:p>
            <w:pPr>
              <w:spacing w:line="276" w:lineRule="auto" w:before="0" w:after="0"/>
            </w:pPr>
            <w:r/>
            <w:r>
              <w:rPr>
                <w:rFonts w:ascii="Figtree" w:hAnsi="Figtree"/>
                <w:b w:val="0"/>
                <w:i w:val="0"/>
                <w:sz w:val="20"/>
              </w:rPr>
              <w:t>SOC 2 Type II</w:t>
            </w:r>
          </w:p>
        </w:tc>
        <w:tc>
          <w:tcPr>
            <w:tcW w:type="dxa" w:w="4873"/>
            <w:vAlign w:val="center"/>
          </w:tcPr>
          <w:p>
            <w:pPr>
              <w:spacing w:line="276" w:lineRule="auto" w:before="0" w:after="0"/>
            </w:pPr>
            <w:r/>
            <w:r>
              <w:rPr>
                <w:rFonts w:ascii="Figtree" w:hAnsi="Figtree"/>
                <w:b w:val="0"/>
                <w:i w:val="0"/>
                <w:sz w:val="20"/>
              </w:rPr>
              <w:t>Current</w:t>
            </w:r>
          </w:p>
        </w:tc>
      </w:tr>
      <w:tr>
        <w:trPr>
          <w:trHeight w:val="425" w:hRule="atLeast"/>
        </w:trPr>
        <w:tc>
          <w:tcPr>
            <w:tcW w:type="dxa" w:w="4873"/>
            <w:vAlign w:val="center"/>
          </w:tcPr>
          <w:p>
            <w:pPr>
              <w:spacing w:line="276" w:lineRule="auto" w:before="0" w:after="0"/>
            </w:pPr>
            <w:r/>
            <w:r>
              <w:rPr>
                <w:rFonts w:ascii="Figtree" w:hAnsi="Figtree"/>
                <w:b w:val="0"/>
                <w:i w:val="0"/>
                <w:sz w:val="20"/>
              </w:rPr>
              <w:t>Smart contract audits</w:t>
            </w:r>
          </w:p>
        </w:tc>
        <w:tc>
          <w:tcPr>
            <w:tcW w:type="dxa" w:w="4873"/>
            <w:vAlign w:val="center"/>
          </w:tcPr>
          <w:p>
            <w:pPr>
              <w:spacing w:line="276" w:lineRule="auto" w:before="0" w:after="0"/>
            </w:pPr>
            <w:r/>
            <w:r>
              <w:rPr>
                <w:rFonts w:ascii="Figtree" w:hAnsi="Figtree"/>
                <w:b w:val="0"/>
                <w:i w:val="0"/>
                <w:sz w:val="20"/>
              </w:rPr>
              <w:t>Completed (third-party)</w:t>
            </w:r>
          </w:p>
        </w:tc>
      </w:tr>
    </w:tbl>
    <w:p>
      <w:pPr>
        <w:spacing w:before="0" w:after="0" w:line="120" w:lineRule="exact"/>
      </w:pPr>
    </w:p>
    <w:p>
      <w:r>
        <w:br w:type="page"/>
      </w:r>
    </w:p>
    <w:p>
      <w:pPr>
        <w:pStyle w:val="H2"/>
        <w:numPr>
          <w:ilvl w:val="1"/>
          <w:numId w:val="1"/>
        </w:numPr>
      </w:pPr>
      <w:r>
        <w:t>Implementation Approach and Delivery Phases</w:t>
      </w:r>
    </w:p>
    <w:p>
      <w:pPr>
        <w:pStyle w:val="H3"/>
        <w:numPr>
          <w:ilvl w:val="2"/>
          <w:numId w:val="1"/>
        </w:numPr>
      </w:pPr>
      <w:r>
        <w:t>19-Week Implementation Timeline</w:t>
      </w:r>
    </w:p>
    <w:p>
      <w:pPr>
        <w:jc w:val="center"/>
      </w:pPr>
      <w:r>
        <w:drawing>
          <wp:inline xmlns:a="http://schemas.openxmlformats.org/drawingml/2006/main" xmlns:pic="http://schemas.openxmlformats.org/drawingml/2006/picture">
            <wp:extent cx="5486400" cy="2379306"/>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5486400" cy="2379306"/>
                    </a:xfrm>
                    <a:prstGeom prst="rect"/>
                  </pic:spPr>
                </pic:pic>
              </a:graphicData>
            </a:graphic>
          </wp:inline>
        </w:drawing>
      </w:r>
    </w:p>
    <w:p>
      <w:r>
        <w:rPr>
          <w:rFonts w:ascii="Figtree" w:hAnsi="Figtree"/>
          <w:b/>
          <w:i w:val="0"/>
          <w:sz w:val="22"/>
        </w:rPr>
        <w:t>Phase 1 (Weeks 1–2):</w:t>
      </w:r>
      <w:r>
        <w:rPr>
          <w:rFonts w:ascii="Figtree" w:hAnsi="Figtree"/>
          <w:b w:val="0"/>
          <w:i w:val="0"/>
          <w:sz w:val="22"/>
        </w:rPr>
        <w:t xml:space="preserve"> Discovery — stakeholder interviews, custody provider selection (DFNS vs. Fireblocks), regulatory mapping, architecture design</w:t>
      </w:r>
    </w:p>
    <w:p>
      <w:r>
        <w:rPr>
          <w:rFonts w:ascii="Figtree" w:hAnsi="Figtree"/>
          <w:b/>
          <w:i w:val="0"/>
          <w:sz w:val="22"/>
        </w:rPr>
        <w:t>Phase 2 (Weeks 3–5):</w:t>
      </w:r>
      <w:r>
        <w:rPr>
          <w:rFonts w:ascii="Figtree" w:hAnsi="Figtree"/>
          <w:b w:val="0"/>
          <w:i w:val="0"/>
          <w:sz w:val="22"/>
        </w:rPr>
        <w:t xml:space="preserve"> Foundation — environment provisioning, Besu network deployment, Key Guardian + custody provider integration, identity framework</w:t>
      </w:r>
    </w:p>
    <w:p>
      <w:r>
        <w:rPr>
          <w:rFonts w:ascii="Figtree" w:hAnsi="Figtree"/>
          <w:b/>
          <w:i w:val="0"/>
          <w:sz w:val="22"/>
        </w:rPr>
        <w:t>Phase 3 (Weeks 6–9):</w:t>
      </w:r>
      <w:r>
        <w:rPr>
          <w:rFonts w:ascii="Figtree" w:hAnsi="Figtree"/>
          <w:b w:val="0"/>
          <w:i w:val="0"/>
          <w:sz w:val="22"/>
        </w:rPr>
        <w:t xml:space="preserve"> Configuration — asset class setup, compliance module binding, settlement workflows, distribution channel configuration</w:t>
      </w:r>
    </w:p>
    <w:p>
      <w:r>
        <w:rPr>
          <w:rFonts w:ascii="Figtree" w:hAnsi="Figtree"/>
          <w:b/>
          <w:i w:val="0"/>
          <w:sz w:val="22"/>
        </w:rPr>
        <w:t>Phase 4 (Weeks 10–13):</w:t>
      </w:r>
      <w:r>
        <w:rPr>
          <w:rFonts w:ascii="Figtree" w:hAnsi="Figtree"/>
          <w:b w:val="0"/>
          <w:i w:val="0"/>
          <w:sz w:val="22"/>
        </w:rPr>
        <w:t xml:space="preserve"> Integration — core banking, wealth management, KYC/AML, security testing, UAT</w:t>
      </w:r>
    </w:p>
    <w:p>
      <w:r>
        <w:rPr>
          <w:rFonts w:ascii="Figtree" w:hAnsi="Figtree"/>
          <w:b/>
          <w:i w:val="0"/>
          <w:sz w:val="22"/>
        </w:rPr>
        <w:t>Phase 5 (Weeks 14–19):</w:t>
      </w:r>
      <w:r>
        <w:rPr>
          <w:rFonts w:ascii="Figtree" w:hAnsi="Figtree"/>
          <w:b w:val="0"/>
          <w:i w:val="0"/>
          <w:sz w:val="22"/>
        </w:rPr>
        <w:t xml:space="preserve"> Go-live + hypercare — production deployment, knowledge transfer, support transition</w:t>
      </w:r>
    </w:p>
    <w:p>
      <w:pPr>
        <w:pStyle w:val="H3"/>
        <w:numPr>
          <w:ilvl w:val="2"/>
          <w:numId w:val="1"/>
        </w:numPr>
      </w:pPr>
      <w:r>
        <w:t>Resource Model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275"/>
        <w:gridCol w:w="579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Allocation</w:t>
            </w:r>
          </w:p>
        </w:tc>
      </w:tr>
      <w:tr>
        <w:trPr>
          <w:trHeight w:val="425" w:hRule="atLeast"/>
        </w:trPr>
        <w:tc>
          <w:tcPr>
            <w:tcW w:type="dxa" w:w="4873"/>
            <w:vAlign w:val="center"/>
          </w:tcPr>
          <w:p>
            <w:pPr>
              <w:spacing w:line="276" w:lineRule="auto" w:before="0" w:after="0"/>
            </w:pPr>
            <w:r/>
            <w:r>
              <w:rPr>
                <w:rFonts w:ascii="Figtree" w:hAnsi="Figtree"/>
                <w:b w:val="0"/>
                <w:i w:val="0"/>
                <w:sz w:val="20"/>
              </w:rPr>
              <w:t>Delivery Lead</w:t>
            </w:r>
          </w:p>
        </w:tc>
        <w:tc>
          <w:tcPr>
            <w:tcW w:type="dxa" w:w="4873"/>
            <w:vAlign w:val="center"/>
          </w:tcPr>
          <w:p>
            <w:pPr>
              <w:spacing w:line="276" w:lineRule="auto" w:before="0" w:after="0"/>
            </w:pPr>
            <w:r/>
            <w:r>
              <w:rPr>
                <w:rFonts w:ascii="Figtree" w:hAnsi="Figtree"/>
                <w:b w:val="0"/>
                <w:i w:val="0"/>
                <w:sz w:val="20"/>
              </w:rPr>
              <w:t>Full-time (19 weeks)</w:t>
            </w:r>
          </w:p>
        </w:tc>
      </w:tr>
      <w:tr>
        <w:trPr>
          <w:trHeight w:val="425" w:hRule="atLeast"/>
        </w:trPr>
        <w:tc>
          <w:tcPr>
            <w:tcW w:type="dxa" w:w="4873"/>
            <w:vAlign w:val="center"/>
          </w:tcPr>
          <w:p>
            <w:pPr>
              <w:spacing w:line="276" w:lineRule="auto" w:before="0" w:after="0"/>
            </w:pPr>
            <w:r/>
            <w:r>
              <w:rPr>
                <w:rFonts w:ascii="Figtree" w:hAnsi="Figtree"/>
                <w:b w:val="0"/>
                <w:i w:val="0"/>
                <w:sz w:val="20"/>
              </w:rPr>
              <w:t>Solution Architect</w:t>
            </w:r>
          </w:p>
        </w:tc>
        <w:tc>
          <w:tcPr>
            <w:tcW w:type="dxa" w:w="4873"/>
            <w:vAlign w:val="center"/>
          </w:tcPr>
          <w:p>
            <w:pPr>
              <w:spacing w:line="276" w:lineRule="auto" w:before="0" w:after="0"/>
            </w:pPr>
            <w:r/>
            <w:r>
              <w:rPr>
                <w:rFonts w:ascii="Figtree" w:hAnsi="Figtree"/>
                <w:b w:val="0"/>
                <w:i w:val="0"/>
                <w:sz w:val="20"/>
              </w:rPr>
              <w:t>Full-time (Weeks 1–13), on-call (14–19)</w:t>
            </w:r>
          </w:p>
        </w:tc>
      </w:tr>
      <w:tr>
        <w:trPr>
          <w:trHeight w:val="425" w:hRule="atLeast"/>
        </w:trPr>
        <w:tc>
          <w:tcPr>
            <w:tcW w:type="dxa" w:w="4873"/>
            <w:vAlign w:val="center"/>
          </w:tcPr>
          <w:p>
            <w:pPr>
              <w:spacing w:line="276" w:lineRule="auto" w:before="0" w:after="0"/>
            </w:pPr>
            <w:r/>
            <w:r>
              <w:rPr>
                <w:rFonts w:ascii="Figtree" w:hAnsi="Figtree"/>
                <w:b w:val="0"/>
                <w:i w:val="0"/>
                <w:sz w:val="20"/>
              </w:rPr>
              <w:t>Platform Engineer</w:t>
            </w:r>
          </w:p>
        </w:tc>
        <w:tc>
          <w:tcPr>
            <w:tcW w:type="dxa" w:w="4873"/>
            <w:vAlign w:val="center"/>
          </w:tcPr>
          <w:p>
            <w:pPr>
              <w:spacing w:line="276" w:lineRule="auto" w:before="0" w:after="0"/>
            </w:pPr>
            <w:r/>
            <w:r>
              <w:rPr>
                <w:rFonts w:ascii="Figtree" w:hAnsi="Figtree"/>
                <w:b w:val="0"/>
                <w:i w:val="0"/>
                <w:sz w:val="20"/>
              </w:rPr>
              <w:t>Full-time (Weeks 3–17)</w:t>
            </w:r>
          </w:p>
        </w:tc>
      </w:tr>
      <w:tr>
        <w:trPr>
          <w:trHeight w:val="425" w:hRule="atLeast"/>
        </w:trPr>
        <w:tc>
          <w:tcPr>
            <w:tcW w:type="dxa" w:w="4873"/>
            <w:vAlign w:val="center"/>
          </w:tcPr>
          <w:p>
            <w:pPr>
              <w:spacing w:line="276" w:lineRule="auto" w:before="0" w:after="0"/>
            </w:pPr>
            <w:r/>
            <w:r>
              <w:rPr>
                <w:rFonts w:ascii="Figtree" w:hAnsi="Figtree"/>
                <w:b w:val="0"/>
                <w:i w:val="0"/>
                <w:sz w:val="20"/>
              </w:rPr>
              <w:t>Integration Engineer</w:t>
            </w:r>
          </w:p>
        </w:tc>
        <w:tc>
          <w:tcPr>
            <w:tcW w:type="dxa" w:w="4873"/>
            <w:vAlign w:val="center"/>
          </w:tcPr>
          <w:p>
            <w:pPr>
              <w:spacing w:line="276" w:lineRule="auto" w:before="0" w:after="0"/>
            </w:pPr>
            <w:r/>
            <w:r>
              <w:rPr>
                <w:rFonts w:ascii="Figtree" w:hAnsi="Figtree"/>
                <w:b w:val="0"/>
                <w:i w:val="0"/>
                <w:sz w:val="20"/>
              </w:rPr>
              <w:t>Full-time (Weeks 6–13)</w:t>
            </w:r>
          </w:p>
        </w:tc>
      </w:tr>
      <w:tr>
        <w:trPr>
          <w:trHeight w:val="425" w:hRule="atLeast"/>
        </w:trPr>
        <w:tc>
          <w:tcPr>
            <w:tcW w:type="dxa" w:w="4873"/>
            <w:vAlign w:val="center"/>
          </w:tcPr>
          <w:p>
            <w:pPr>
              <w:spacing w:line="276" w:lineRule="auto" w:before="0" w:after="0"/>
            </w:pPr>
            <w:r/>
            <w:r>
              <w:rPr>
                <w:rFonts w:ascii="Figtree" w:hAnsi="Figtree"/>
                <w:b w:val="0"/>
                <w:i w:val="0"/>
                <w:sz w:val="20"/>
              </w:rPr>
              <w:t>QA Engineer</w:t>
            </w:r>
          </w:p>
        </w:tc>
        <w:tc>
          <w:tcPr>
            <w:tcW w:type="dxa" w:w="4873"/>
            <w:vAlign w:val="center"/>
          </w:tcPr>
          <w:p>
            <w:pPr>
              <w:spacing w:line="276" w:lineRule="auto" w:before="0" w:after="0"/>
            </w:pPr>
            <w:r/>
            <w:r>
              <w:rPr>
                <w:rFonts w:ascii="Figtree" w:hAnsi="Figtree"/>
                <w:b w:val="0"/>
                <w:i w:val="0"/>
                <w:sz w:val="20"/>
              </w:rPr>
              <w:t>Full-time (Weeks 10–15)</w:t>
            </w:r>
          </w:p>
        </w:tc>
      </w:tr>
    </w:tbl>
    <w:p>
      <w:pPr>
        <w:spacing w:before="0" w:after="0" w:line="120" w:lineRule="exact"/>
      </w:pPr>
    </w:p>
    <w:p>
      <w:r>
        <w:rPr>
          <w:rFonts w:ascii="Figtree" w:hAnsi="Figtree"/>
          <w:b/>
          <w:i w:val="0"/>
          <w:sz w:val="22"/>
        </w:rPr>
        <w:t>Estimated FAB effort: 75 person-days</w:t>
      </w:r>
    </w:p>
    <w:p>
      <w:r>
        <w:br w:type="page"/>
      </w:r>
    </w:p>
    <w:p>
      <w:pPr>
        <w:pStyle w:val="H2"/>
        <w:numPr>
          <w:ilvl w:val="1"/>
          <w:numId w:val="1"/>
        </w:numPr>
      </w:pPr>
      <w:r>
        <w:t>Deployment Model</w:t>
      </w:r>
    </w:p>
    <w:p>
      <w:pPr>
        <w:pStyle w:val="H3"/>
        <w:numPr>
          <w:ilvl w:val="2"/>
          <w:numId w:val="1"/>
        </w:numPr>
      </w:pPr>
      <w:r>
        <w:t>Recommended: Dedicated Cloud (UAE-Resident)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37"/>
        <w:gridCol w:w="633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Aspect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Configuration</w:t>
            </w:r>
          </w:p>
        </w:tc>
      </w:tr>
      <w:tr>
        <w:trPr>
          <w:trHeight w:val="425" w:hRule="atLeast"/>
        </w:trPr>
        <w:tc>
          <w:tcPr>
            <w:tcW w:type="dxa" w:w="4873"/>
            <w:vAlign w:val="center"/>
          </w:tcPr>
          <w:p>
            <w:pPr>
              <w:spacing w:line="276" w:lineRule="auto" w:before="0" w:after="0"/>
            </w:pPr>
            <w:r/>
            <w:r>
              <w:rPr>
                <w:rFonts w:ascii="Figtree" w:hAnsi="Figtree"/>
                <w:b w:val="0"/>
                <w:i w:val="0"/>
                <w:sz w:val="20"/>
              </w:rPr>
              <w:t>Model</w:t>
            </w:r>
          </w:p>
        </w:tc>
        <w:tc>
          <w:tcPr>
            <w:tcW w:type="dxa" w:w="4873"/>
            <w:vAlign w:val="center"/>
          </w:tcPr>
          <w:p>
            <w:pPr>
              <w:spacing w:line="276" w:lineRule="auto" w:before="0" w:after="0"/>
            </w:pPr>
            <w:r/>
            <w:r>
              <w:rPr>
                <w:rFonts w:ascii="Figtree" w:hAnsi="Figtree"/>
                <w:b w:val="0"/>
                <w:i w:val="0"/>
                <w:sz w:val="20"/>
              </w:rPr>
              <w:t>Dedicated cloud</w:t>
            </w:r>
          </w:p>
        </w:tc>
      </w:tr>
      <w:tr>
        <w:trPr>
          <w:trHeight w:val="425" w:hRule="atLeast"/>
        </w:trPr>
        <w:tc>
          <w:tcPr>
            <w:tcW w:type="dxa" w:w="4873"/>
            <w:vAlign w:val="center"/>
          </w:tcPr>
          <w:p>
            <w:pPr>
              <w:spacing w:line="276" w:lineRule="auto" w:before="0" w:after="0"/>
            </w:pPr>
            <w:r/>
            <w:r>
              <w:rPr>
                <w:rFonts w:ascii="Figtree" w:hAnsi="Figtree"/>
                <w:b w:val="0"/>
                <w:i w:val="0"/>
                <w:sz w:val="20"/>
              </w:rPr>
              <w:t>Region</w:t>
            </w:r>
          </w:p>
        </w:tc>
        <w:tc>
          <w:tcPr>
            <w:tcW w:type="dxa" w:w="4873"/>
            <w:vAlign w:val="center"/>
          </w:tcPr>
          <w:p>
            <w:pPr>
              <w:spacing w:line="276" w:lineRule="auto" w:before="0" w:after="0"/>
            </w:pPr>
            <w:r/>
            <w:r>
              <w:rPr>
                <w:rFonts w:ascii="Figtree" w:hAnsi="Figtree"/>
                <w:b w:val="0"/>
                <w:i w:val="0"/>
                <w:sz w:val="20"/>
              </w:rPr>
              <w:t>AWS Bahrain or Azure UAE North</w:t>
            </w:r>
          </w:p>
        </w:tc>
      </w:tr>
      <w:tr>
        <w:trPr>
          <w:trHeight w:val="425" w:hRule="atLeast"/>
        </w:trPr>
        <w:tc>
          <w:tcPr>
            <w:tcW w:type="dxa" w:w="4873"/>
            <w:vAlign w:val="center"/>
          </w:tcPr>
          <w:p>
            <w:pPr>
              <w:spacing w:line="276" w:lineRule="auto" w:before="0" w:after="0"/>
            </w:pPr>
            <w:r/>
            <w:r>
              <w:rPr>
                <w:rFonts w:ascii="Figtree" w:hAnsi="Figtree"/>
                <w:b w:val="0"/>
                <w:i w:val="0"/>
                <w:sz w:val="20"/>
              </w:rPr>
              <w:t>Data residency</w:t>
            </w:r>
          </w:p>
        </w:tc>
        <w:tc>
          <w:tcPr>
            <w:tcW w:type="dxa" w:w="4873"/>
            <w:vAlign w:val="center"/>
          </w:tcPr>
          <w:p>
            <w:pPr>
              <w:spacing w:line="276" w:lineRule="auto" w:before="0" w:after="0"/>
            </w:pPr>
            <w:r/>
            <w:r>
              <w:rPr>
                <w:rFonts w:ascii="Figtree" w:hAnsi="Figtree"/>
                <w:b w:val="0"/>
                <w:i w:val="0"/>
                <w:sz w:val="20"/>
              </w:rPr>
              <w:t>UAE compliant</w:t>
            </w:r>
          </w:p>
        </w:tc>
      </w:tr>
      <w:tr>
        <w:trPr>
          <w:trHeight w:val="425" w:hRule="atLeast"/>
        </w:trPr>
        <w:tc>
          <w:tcPr>
            <w:tcW w:type="dxa" w:w="4873"/>
            <w:vAlign w:val="center"/>
          </w:tcPr>
          <w:p>
            <w:pPr>
              <w:spacing w:line="276" w:lineRule="auto" w:before="0" w:after="0"/>
            </w:pPr>
            <w:r/>
            <w:r>
              <w:rPr>
                <w:rFonts w:ascii="Figtree" w:hAnsi="Figtree"/>
                <w:b w:val="0"/>
                <w:i w:val="0"/>
                <w:sz w:val="20"/>
              </w:rPr>
              <w:t>Blockchain</w:t>
            </w:r>
          </w:p>
        </w:tc>
        <w:tc>
          <w:tcPr>
            <w:tcW w:type="dxa" w:w="4873"/>
            <w:vAlign w:val="center"/>
          </w:tcPr>
          <w:p>
            <w:pPr>
              <w:spacing w:line="276" w:lineRule="auto" w:before="0" w:after="0"/>
            </w:pPr>
            <w:r/>
            <w:r>
              <w:rPr>
                <w:rFonts w:ascii="Figtree" w:hAnsi="Figtree"/>
                <w:b w:val="0"/>
                <w:i w:val="0"/>
                <w:sz w:val="20"/>
              </w:rPr>
              <w:t>4-node Hyperledger Besu (IBFT 2.0)</w:t>
            </w:r>
          </w:p>
        </w:tc>
      </w:tr>
      <w:tr>
        <w:trPr>
          <w:trHeight w:val="425" w:hRule="atLeast"/>
        </w:trPr>
        <w:tc>
          <w:tcPr>
            <w:tcW w:type="dxa" w:w="4873"/>
            <w:vAlign w:val="center"/>
          </w:tcPr>
          <w:p>
            <w:pPr>
              <w:spacing w:line="276" w:lineRule="auto" w:before="0" w:after="0"/>
            </w:pPr>
            <w:r/>
            <w:r>
              <w:rPr>
                <w:rFonts w:ascii="Figtree" w:hAnsi="Figtree"/>
                <w:b w:val="0"/>
                <w:i w:val="0"/>
                <w:sz w:val="20"/>
              </w:rPr>
              <w:t>Database</w:t>
            </w:r>
          </w:p>
        </w:tc>
        <w:tc>
          <w:tcPr>
            <w:tcW w:type="dxa" w:w="4873"/>
            <w:vAlign w:val="center"/>
          </w:tcPr>
          <w:p>
            <w:pPr>
              <w:spacing w:line="276" w:lineRule="auto" w:before="0" w:after="0"/>
            </w:pPr>
            <w:r/>
            <w:r>
              <w:rPr>
                <w:rFonts w:ascii="Figtree" w:hAnsi="Figtree"/>
                <w:b w:val="0"/>
                <w:i w:val="0"/>
                <w:sz w:val="20"/>
              </w:rPr>
              <w:t>Multi-AZ PostgreSQL</w:t>
            </w:r>
          </w:p>
        </w:tc>
      </w:tr>
      <w:tr>
        <w:trPr>
          <w:trHeight w:val="425" w:hRule="atLeast"/>
        </w:trPr>
        <w:tc>
          <w:tcPr>
            <w:tcW w:type="dxa" w:w="4873"/>
            <w:vAlign w:val="center"/>
          </w:tcPr>
          <w:p>
            <w:pPr>
              <w:spacing w:line="276" w:lineRule="auto" w:before="0" w:after="0"/>
            </w:pPr>
            <w:r/>
            <w:r>
              <w:rPr>
                <w:rFonts w:ascii="Figtree" w:hAnsi="Figtree"/>
                <w:b w:val="0"/>
                <w:i w:val="0"/>
                <w:sz w:val="20"/>
              </w:rPr>
              <w:t>Custody</w:t>
            </w:r>
          </w:p>
        </w:tc>
        <w:tc>
          <w:tcPr>
            <w:tcW w:type="dxa" w:w="4873"/>
            <w:vAlign w:val="center"/>
          </w:tcPr>
          <w:p>
            <w:pPr>
              <w:spacing w:line="276" w:lineRule="auto" w:before="0" w:after="0"/>
            </w:pPr>
            <w:r/>
            <w:r>
              <w:rPr>
                <w:rFonts w:ascii="Figtree" w:hAnsi="Figtree"/>
                <w:b w:val="0"/>
                <w:i w:val="0"/>
                <w:sz w:val="20"/>
              </w:rPr>
              <w:t>DFNS or Fireblocks (selected in Phase 1)</w:t>
            </w:r>
          </w:p>
        </w:tc>
      </w:tr>
    </w:tbl>
    <w:p>
      <w:pPr>
        <w:spacing w:before="0" w:after="0" w:line="120" w:lineRule="exact"/>
      </w:pPr>
    </w:p>
    <w:p>
      <w:r>
        <w:br w:type="page"/>
      </w:r>
    </w:p>
    <w:p>
      <w:pPr>
        <w:pStyle w:val="H2"/>
        <w:numPr>
          <w:ilvl w:val="1"/>
          <w:numId w:val="1"/>
        </w:numPr>
      </w:pPr>
      <w:r>
        <w:t>Support and SLA</w:t>
      </w:r>
    </w:p>
    <w:p>
      <w:pPr>
        <w:pStyle w:val="H3"/>
        <w:numPr>
          <w:ilvl w:val="2"/>
          <w:numId w:val="1"/>
        </w:numPr>
      </w:pPr>
      <w:r>
        <w:t>Recommended: Premium Support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711"/>
        <w:gridCol w:w="5360"/>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Aspect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Premium for FAB</w:t>
            </w:r>
          </w:p>
        </w:tc>
      </w:tr>
      <w:tr>
        <w:trPr>
          <w:trHeight w:val="425" w:hRule="atLeast"/>
        </w:trPr>
        <w:tc>
          <w:tcPr>
            <w:tcW w:type="dxa" w:w="4873"/>
            <w:vAlign w:val="center"/>
          </w:tcPr>
          <w:p>
            <w:pPr>
              <w:spacing w:line="276" w:lineRule="auto" w:before="0" w:after="0"/>
            </w:pPr>
            <w:r/>
            <w:r>
              <w:rPr>
                <w:rFonts w:ascii="Figtree" w:hAnsi="Figtree"/>
                <w:b w:val="0"/>
                <w:i w:val="0"/>
                <w:sz w:val="20"/>
              </w:rPr>
              <w:t>Coverage</w:t>
            </w:r>
          </w:p>
        </w:tc>
        <w:tc>
          <w:tcPr>
            <w:tcW w:type="dxa" w:w="4873"/>
            <w:vAlign w:val="center"/>
          </w:tcPr>
          <w:p>
            <w:pPr>
              <w:spacing w:line="276" w:lineRule="auto" w:before="0" w:after="0"/>
            </w:pPr>
            <w:r/>
            <w:r>
              <w:rPr>
                <w:rFonts w:ascii="Figtree" w:hAnsi="Figtree"/>
                <w:b w:val="0"/>
                <w:i w:val="0"/>
                <w:sz w:val="20"/>
              </w:rPr>
              <w:t>16×5 (Sunday–Thursday UAE)</w:t>
            </w:r>
          </w:p>
        </w:tc>
      </w:tr>
      <w:tr>
        <w:trPr>
          <w:trHeight w:val="425" w:hRule="atLeast"/>
        </w:trPr>
        <w:tc>
          <w:tcPr>
            <w:tcW w:type="dxa" w:w="4873"/>
            <w:vAlign w:val="center"/>
          </w:tcPr>
          <w:p>
            <w:pPr>
              <w:spacing w:line="276" w:lineRule="auto" w:before="0" w:after="0"/>
            </w:pPr>
            <w:r/>
            <w:r>
              <w:rPr>
                <w:rFonts w:ascii="Figtree" w:hAnsi="Figtree"/>
                <w:b w:val="0"/>
                <w:i w:val="0"/>
                <w:sz w:val="20"/>
              </w:rPr>
              <w:t>P1 response</w:t>
            </w:r>
          </w:p>
        </w:tc>
        <w:tc>
          <w:tcPr>
            <w:tcW w:type="dxa" w:w="4873"/>
            <w:vAlign w:val="center"/>
          </w:tcPr>
          <w:p>
            <w:pPr>
              <w:spacing w:line="276" w:lineRule="auto" w:before="0" w:after="0"/>
            </w:pPr>
            <w:r/>
            <w:r>
              <w:rPr>
                <w:rFonts w:ascii="Figtree" w:hAnsi="Figtree"/>
                <w:b w:val="0"/>
                <w:i w:val="0"/>
                <w:sz w:val="20"/>
              </w:rPr>
              <w:t>2 hours</w:t>
            </w:r>
          </w:p>
        </w:tc>
      </w:tr>
      <w:tr>
        <w:trPr>
          <w:trHeight w:val="425" w:hRule="atLeast"/>
        </w:trPr>
        <w:tc>
          <w:tcPr>
            <w:tcW w:type="dxa" w:w="4873"/>
            <w:vAlign w:val="center"/>
          </w:tcPr>
          <w:p>
            <w:pPr>
              <w:spacing w:line="276" w:lineRule="auto" w:before="0" w:after="0"/>
            </w:pPr>
            <w:r/>
            <w:r>
              <w:rPr>
                <w:rFonts w:ascii="Figtree" w:hAnsi="Figtree"/>
                <w:b w:val="0"/>
                <w:i w:val="0"/>
                <w:sz w:val="20"/>
              </w:rPr>
              <w:t>P2 response</w:t>
            </w:r>
          </w:p>
        </w:tc>
        <w:tc>
          <w:tcPr>
            <w:tcW w:type="dxa" w:w="4873"/>
            <w:vAlign w:val="center"/>
          </w:tcPr>
          <w:p>
            <w:pPr>
              <w:spacing w:line="276" w:lineRule="auto" w:before="0" w:after="0"/>
            </w:pPr>
            <w:r/>
            <w:r>
              <w:rPr>
                <w:rFonts w:ascii="Figtree" w:hAnsi="Figtree"/>
                <w:b w:val="0"/>
                <w:i w:val="0"/>
                <w:sz w:val="20"/>
              </w:rPr>
              <w:t>4 hours</w:t>
            </w:r>
          </w:p>
        </w:tc>
      </w:tr>
      <w:tr>
        <w:trPr>
          <w:trHeight w:val="425" w:hRule="atLeast"/>
        </w:trPr>
        <w:tc>
          <w:tcPr>
            <w:tcW w:type="dxa" w:w="4873"/>
            <w:vAlign w:val="center"/>
          </w:tcPr>
          <w:p>
            <w:pPr>
              <w:spacing w:line="276" w:lineRule="auto" w:before="0" w:after="0"/>
            </w:pPr>
            <w:r/>
            <w:r>
              <w:rPr>
                <w:rFonts w:ascii="Figtree" w:hAnsi="Figtree"/>
                <w:b w:val="0"/>
                <w:i w:val="0"/>
                <w:sz w:val="20"/>
              </w:rPr>
              <w:t>Uptime SLA</w:t>
            </w:r>
          </w:p>
        </w:tc>
        <w:tc>
          <w:tcPr>
            <w:tcW w:type="dxa" w:w="4873"/>
            <w:vAlign w:val="center"/>
          </w:tcPr>
          <w:p>
            <w:pPr>
              <w:spacing w:line="276" w:lineRule="auto" w:before="0" w:after="0"/>
            </w:pPr>
            <w:r/>
            <w:r>
              <w:rPr>
                <w:rFonts w:ascii="Figtree" w:hAnsi="Figtree"/>
                <w:b w:val="0"/>
                <w:i w:val="0"/>
                <w:sz w:val="20"/>
              </w:rPr>
              <w:t>99.95% monthly</w:t>
            </w:r>
          </w:p>
        </w:tc>
      </w:tr>
      <w:tr>
        <w:trPr>
          <w:trHeight w:val="425" w:hRule="atLeast"/>
        </w:trPr>
        <w:tc>
          <w:tcPr>
            <w:tcW w:type="dxa" w:w="4873"/>
            <w:vAlign w:val="center"/>
          </w:tcPr>
          <w:p>
            <w:pPr>
              <w:spacing w:line="276" w:lineRule="auto" w:before="0" w:after="0"/>
            </w:pPr>
            <w:r/>
            <w:r>
              <w:rPr>
                <w:rFonts w:ascii="Figtree" w:hAnsi="Figtree"/>
                <w:b w:val="0"/>
                <w:i w:val="0"/>
                <w:sz w:val="20"/>
              </w:rPr>
              <w:t>Dedicated engineer</w:t>
            </w:r>
          </w:p>
        </w:tc>
        <w:tc>
          <w:tcPr>
            <w:tcW w:type="dxa" w:w="4873"/>
            <w:vAlign w:val="center"/>
          </w:tcPr>
          <w:p>
            <w:pPr>
              <w:spacing w:line="276" w:lineRule="auto" w:before="0" w:after="0"/>
            </w:pPr>
            <w:r/>
            <w:r>
              <w:rPr>
                <w:rFonts w:ascii="Figtree" w:hAnsi="Figtree"/>
                <w:b w:val="0"/>
                <w:i w:val="0"/>
                <w:sz w:val="20"/>
              </w:rPr>
              <w:t>Yes</w:t>
            </w:r>
          </w:p>
        </w:tc>
      </w:tr>
    </w:tbl>
    <w:p>
      <w:pPr>
        <w:spacing w:before="0" w:after="0" w:line="120" w:lineRule="exact"/>
      </w:pPr>
    </w:p>
    <w:p>
      <w:r>
        <w:br w:type="page"/>
      </w:r>
    </w:p>
    <w:p>
      <w:pPr>
        <w:pStyle w:val="H2"/>
        <w:numPr>
          <w:ilvl w:val="1"/>
          <w:numId w:val="1"/>
        </w:numPr>
      </w:pPr>
      <w:r>
        <w:t>Risk Management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06"/>
        <w:gridCol w:w="3223"/>
        <w:gridCol w:w="606"/>
        <w:gridCol w:w="606"/>
        <w:gridCol w:w="4029"/>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ID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Risk</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L</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I</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1949"/>
            <w:vAlign w:val="center"/>
          </w:tcPr>
          <w:p>
            <w:pPr>
              <w:spacing w:line="276" w:lineRule="auto" w:before="0" w:after="0"/>
            </w:pPr>
            <w:r/>
            <w:r>
              <w:rPr>
                <w:rFonts w:ascii="Figtree" w:hAnsi="Figtree"/>
                <w:b w:val="0"/>
                <w:i w:val="0"/>
                <w:sz w:val="20"/>
              </w:rPr>
              <w:t>R1</w:t>
            </w:r>
          </w:p>
        </w:tc>
        <w:tc>
          <w:tcPr>
            <w:tcW w:type="dxa" w:w="1949"/>
            <w:vAlign w:val="center"/>
          </w:tcPr>
          <w:p>
            <w:pPr>
              <w:spacing w:line="276" w:lineRule="auto" w:before="0" w:after="0"/>
            </w:pPr>
            <w:r/>
            <w:r>
              <w:rPr>
                <w:rFonts w:ascii="Figtree" w:hAnsi="Figtree"/>
                <w:b w:val="0"/>
                <w:i w:val="0"/>
                <w:sz w:val="20"/>
              </w:rPr>
              <w:t>Custody provider onboarding delay</w:t>
            </w:r>
          </w:p>
        </w:tc>
        <w:tc>
          <w:tcPr>
            <w:tcW w:type="dxa" w:w="1949"/>
            <w:vAlign w:val="center"/>
          </w:tcPr>
          <w:p>
            <w:pPr>
              <w:spacing w:line="276" w:lineRule="auto" w:before="0" w:after="0"/>
            </w:pPr>
            <w:r/>
            <w:r>
              <w:rPr>
                <w:rFonts w:ascii="Figtree" w:hAnsi="Figtree"/>
                <w:b w:val="0"/>
                <w:i w:val="0"/>
                <w:sz w:val="20"/>
              </w:rPr>
              <w:t>2</w:t>
            </w:r>
          </w:p>
        </w:tc>
        <w:tc>
          <w:tcPr>
            <w:tcW w:type="dxa" w:w="1949"/>
            <w:vAlign w:val="center"/>
          </w:tcPr>
          <w:p>
            <w:pPr>
              <w:spacing w:line="276" w:lineRule="auto" w:before="0" w:after="0"/>
            </w:pPr>
            <w:r/>
            <w:r>
              <w:rPr>
                <w:rFonts w:ascii="Figtree" w:hAnsi="Figtree"/>
                <w:b w:val="0"/>
                <w:i w:val="0"/>
                <w:sz w:val="20"/>
              </w:rPr>
              <w:t>4</w:t>
            </w:r>
          </w:p>
        </w:tc>
        <w:tc>
          <w:tcPr>
            <w:tcW w:type="dxa" w:w="1949"/>
            <w:vAlign w:val="center"/>
          </w:tcPr>
          <w:p>
            <w:pPr>
              <w:spacing w:line="276" w:lineRule="auto" w:before="0" w:after="0"/>
            </w:pPr>
            <w:r/>
            <w:r>
              <w:rPr>
                <w:rFonts w:ascii="Figtree" w:hAnsi="Figtree"/>
                <w:b w:val="0"/>
                <w:i w:val="0"/>
                <w:sz w:val="20"/>
              </w:rPr>
              <w:t>Early engagement Phase 1; platform signer fallback</w:t>
            </w:r>
          </w:p>
        </w:tc>
      </w:tr>
      <w:tr>
        <w:trPr>
          <w:trHeight w:val="425" w:hRule="atLeast"/>
        </w:trPr>
        <w:tc>
          <w:tcPr>
            <w:tcW w:type="dxa" w:w="1949"/>
            <w:vAlign w:val="center"/>
          </w:tcPr>
          <w:p>
            <w:pPr>
              <w:spacing w:line="276" w:lineRule="auto" w:before="0" w:after="0"/>
            </w:pPr>
            <w:r/>
            <w:r>
              <w:rPr>
                <w:rFonts w:ascii="Figtree" w:hAnsi="Figtree"/>
                <w:b w:val="0"/>
                <w:i w:val="0"/>
                <w:sz w:val="20"/>
              </w:rPr>
              <w:t>R2</w:t>
            </w:r>
          </w:p>
        </w:tc>
        <w:tc>
          <w:tcPr>
            <w:tcW w:type="dxa" w:w="1949"/>
            <w:vAlign w:val="center"/>
          </w:tcPr>
          <w:p>
            <w:pPr>
              <w:spacing w:line="276" w:lineRule="auto" w:before="0" w:after="0"/>
            </w:pPr>
            <w:r/>
            <w:r>
              <w:rPr>
                <w:rFonts w:ascii="Figtree" w:hAnsi="Figtree"/>
                <w:b w:val="0"/>
                <w:i w:val="0"/>
                <w:sz w:val="20"/>
              </w:rPr>
              <w:t>Regulatory changes</w:t>
            </w:r>
          </w:p>
        </w:tc>
        <w:tc>
          <w:tcPr>
            <w:tcW w:type="dxa" w:w="1949"/>
            <w:vAlign w:val="center"/>
          </w:tcPr>
          <w:p>
            <w:pPr>
              <w:spacing w:line="276" w:lineRule="auto" w:before="0" w:after="0"/>
            </w:pPr>
            <w:r/>
            <w:r>
              <w:rPr>
                <w:rFonts w:ascii="Figtree" w:hAnsi="Figtree"/>
                <w:b w:val="0"/>
                <w:i w:val="0"/>
                <w:sz w:val="20"/>
              </w:rPr>
              <w:t>3</w:t>
            </w:r>
          </w:p>
        </w:tc>
        <w:tc>
          <w:tcPr>
            <w:tcW w:type="dxa" w:w="1949"/>
            <w:vAlign w:val="center"/>
          </w:tcPr>
          <w:p>
            <w:pPr>
              <w:spacing w:line="276" w:lineRule="auto" w:before="0" w:after="0"/>
            </w:pPr>
            <w:r/>
            <w:r>
              <w:rPr>
                <w:rFonts w:ascii="Figtree" w:hAnsi="Figtree"/>
                <w:b w:val="0"/>
                <w:i w:val="0"/>
                <w:sz w:val="20"/>
              </w:rPr>
              <w:t>4</w:t>
            </w:r>
          </w:p>
        </w:tc>
        <w:tc>
          <w:tcPr>
            <w:tcW w:type="dxa" w:w="1949"/>
            <w:vAlign w:val="center"/>
          </w:tcPr>
          <w:p>
            <w:pPr>
              <w:spacing w:line="276" w:lineRule="auto" w:before="0" w:after="0"/>
            </w:pPr>
            <w:r/>
            <w:r>
              <w:rPr>
                <w:rFonts w:ascii="Figtree" w:hAnsi="Figtree"/>
                <w:b w:val="0"/>
                <w:i w:val="0"/>
                <w:sz w:val="20"/>
              </w:rPr>
              <w:t>Configurable compliance; quarterly review</w:t>
            </w:r>
          </w:p>
        </w:tc>
      </w:tr>
      <w:tr>
        <w:trPr>
          <w:trHeight w:val="425" w:hRule="atLeast"/>
        </w:trPr>
        <w:tc>
          <w:tcPr>
            <w:tcW w:type="dxa" w:w="1949"/>
            <w:vAlign w:val="center"/>
          </w:tcPr>
          <w:p>
            <w:pPr>
              <w:spacing w:line="276" w:lineRule="auto" w:before="0" w:after="0"/>
            </w:pPr>
            <w:r/>
            <w:r>
              <w:rPr>
                <w:rFonts w:ascii="Figtree" w:hAnsi="Figtree"/>
                <w:b w:val="0"/>
                <w:i w:val="0"/>
                <w:sz w:val="20"/>
              </w:rPr>
              <w:t>R3</w:t>
            </w:r>
          </w:p>
        </w:tc>
        <w:tc>
          <w:tcPr>
            <w:tcW w:type="dxa" w:w="1949"/>
            <w:vAlign w:val="center"/>
          </w:tcPr>
          <w:p>
            <w:pPr>
              <w:spacing w:line="276" w:lineRule="auto" w:before="0" w:after="0"/>
            </w:pPr>
            <w:r/>
            <w:r>
              <w:rPr>
                <w:rFonts w:ascii="Figtree" w:hAnsi="Figtree"/>
                <w:b w:val="0"/>
                <w:i w:val="0"/>
                <w:sz w:val="20"/>
              </w:rPr>
              <w:t>Wealth management integration complexity</w:t>
            </w:r>
          </w:p>
        </w:tc>
        <w:tc>
          <w:tcPr>
            <w:tcW w:type="dxa" w:w="1949"/>
            <w:vAlign w:val="center"/>
          </w:tcPr>
          <w:p>
            <w:pPr>
              <w:spacing w:line="276" w:lineRule="auto" w:before="0" w:after="0"/>
            </w:pPr>
            <w:r/>
            <w:r>
              <w:rPr>
                <w:rFonts w:ascii="Figtree" w:hAnsi="Figtree"/>
                <w:b w:val="0"/>
                <w:i w:val="0"/>
                <w:sz w:val="20"/>
              </w:rPr>
              <w:t>3</w:t>
            </w:r>
          </w:p>
        </w:tc>
        <w:tc>
          <w:tcPr>
            <w:tcW w:type="dxa" w:w="1949"/>
            <w:vAlign w:val="center"/>
          </w:tcPr>
          <w:p>
            <w:pPr>
              <w:spacing w:line="276" w:lineRule="auto" w:before="0" w:after="0"/>
            </w:pPr>
            <w:r/>
            <w:r>
              <w:rPr>
                <w:rFonts w:ascii="Figtree" w:hAnsi="Figtree"/>
                <w:b w:val="0"/>
                <w:i w:val="0"/>
                <w:sz w:val="20"/>
              </w:rPr>
              <w:t>3</w:t>
            </w:r>
          </w:p>
        </w:tc>
        <w:tc>
          <w:tcPr>
            <w:tcW w:type="dxa" w:w="1949"/>
            <w:vAlign w:val="center"/>
          </w:tcPr>
          <w:p>
            <w:pPr>
              <w:spacing w:line="276" w:lineRule="auto" w:before="0" w:after="0"/>
            </w:pPr>
            <w:r/>
            <w:r>
              <w:rPr>
                <w:rFonts w:ascii="Figtree" w:hAnsi="Figtree"/>
                <w:b w:val="0"/>
                <w:i w:val="0"/>
                <w:sz w:val="20"/>
              </w:rPr>
              <w:t>Phase 1 deep discovery; modular integration</w:t>
            </w:r>
          </w:p>
        </w:tc>
      </w:tr>
      <w:tr>
        <w:trPr>
          <w:trHeight w:val="425" w:hRule="atLeast"/>
        </w:trPr>
        <w:tc>
          <w:tcPr>
            <w:tcW w:type="dxa" w:w="1949"/>
            <w:vAlign w:val="center"/>
          </w:tcPr>
          <w:p>
            <w:pPr>
              <w:spacing w:line="276" w:lineRule="auto" w:before="0" w:after="0"/>
            </w:pPr>
            <w:r/>
            <w:r>
              <w:rPr>
                <w:rFonts w:ascii="Figtree" w:hAnsi="Figtree"/>
                <w:b w:val="0"/>
                <w:i w:val="0"/>
                <w:sz w:val="20"/>
              </w:rPr>
              <w:t>R4</w:t>
            </w:r>
          </w:p>
        </w:tc>
        <w:tc>
          <w:tcPr>
            <w:tcW w:type="dxa" w:w="1949"/>
            <w:vAlign w:val="center"/>
          </w:tcPr>
          <w:p>
            <w:pPr>
              <w:spacing w:line="276" w:lineRule="auto" w:before="0" w:after="0"/>
            </w:pPr>
            <w:r/>
            <w:r>
              <w:rPr>
                <w:rFonts w:ascii="Figtree" w:hAnsi="Figtree"/>
                <w:b w:val="0"/>
                <w:i w:val="0"/>
                <w:sz w:val="20"/>
              </w:rPr>
              <w:t>Security review timeline</w:t>
            </w:r>
          </w:p>
        </w:tc>
        <w:tc>
          <w:tcPr>
            <w:tcW w:type="dxa" w:w="1949"/>
            <w:vAlign w:val="center"/>
          </w:tcPr>
          <w:p>
            <w:pPr>
              <w:spacing w:line="276" w:lineRule="auto" w:before="0" w:after="0"/>
            </w:pPr>
            <w:r/>
            <w:r>
              <w:rPr>
                <w:rFonts w:ascii="Figtree" w:hAnsi="Figtree"/>
                <w:b w:val="0"/>
                <w:i w:val="0"/>
                <w:sz w:val="20"/>
              </w:rPr>
              <w:t>3</w:t>
            </w:r>
          </w:p>
        </w:tc>
        <w:tc>
          <w:tcPr>
            <w:tcW w:type="dxa" w:w="1949"/>
            <w:vAlign w:val="center"/>
          </w:tcPr>
          <w:p>
            <w:pPr>
              <w:spacing w:line="276" w:lineRule="auto" w:before="0" w:after="0"/>
            </w:pPr>
            <w:r/>
            <w:r>
              <w:rPr>
                <w:rFonts w:ascii="Figtree" w:hAnsi="Figtree"/>
                <w:b w:val="0"/>
                <w:i w:val="0"/>
                <w:sz w:val="20"/>
              </w:rPr>
              <w:t>3</w:t>
            </w:r>
          </w:p>
        </w:tc>
        <w:tc>
          <w:tcPr>
            <w:tcW w:type="dxa" w:w="1949"/>
            <w:vAlign w:val="center"/>
          </w:tcPr>
          <w:p>
            <w:pPr>
              <w:spacing w:line="276" w:lineRule="auto" w:before="0" w:after="0"/>
            </w:pPr>
            <w:r/>
            <w:r>
              <w:rPr>
                <w:rFonts w:ascii="Figtree" w:hAnsi="Figtree"/>
                <w:b w:val="0"/>
                <w:i w:val="0"/>
                <w:sz w:val="20"/>
              </w:rPr>
              <w:t>Pre-share certifications; incremental testing</w:t>
            </w:r>
          </w:p>
        </w:tc>
      </w:tr>
      <w:tr>
        <w:trPr>
          <w:trHeight w:val="425" w:hRule="atLeast"/>
        </w:trPr>
        <w:tc>
          <w:tcPr>
            <w:tcW w:type="dxa" w:w="1949"/>
            <w:vAlign w:val="center"/>
          </w:tcPr>
          <w:p>
            <w:pPr>
              <w:spacing w:line="276" w:lineRule="auto" w:before="0" w:after="0"/>
            </w:pPr>
            <w:r/>
            <w:r>
              <w:rPr>
                <w:rFonts w:ascii="Figtree" w:hAnsi="Figtree"/>
                <w:b w:val="0"/>
                <w:i w:val="0"/>
                <w:sz w:val="20"/>
              </w:rPr>
              <w:t>R5</w:t>
            </w:r>
          </w:p>
        </w:tc>
        <w:tc>
          <w:tcPr>
            <w:tcW w:type="dxa" w:w="1949"/>
            <w:vAlign w:val="center"/>
          </w:tcPr>
          <w:p>
            <w:pPr>
              <w:spacing w:line="276" w:lineRule="auto" w:before="0" w:after="0"/>
            </w:pPr>
            <w:r/>
            <w:r>
              <w:rPr>
                <w:rFonts w:ascii="Figtree" w:hAnsi="Figtree"/>
                <w:b w:val="0"/>
                <w:i w:val="0"/>
                <w:sz w:val="20"/>
              </w:rPr>
              <w:t>Client resource availability</w:t>
            </w:r>
          </w:p>
        </w:tc>
        <w:tc>
          <w:tcPr>
            <w:tcW w:type="dxa" w:w="1949"/>
            <w:vAlign w:val="center"/>
          </w:tcPr>
          <w:p>
            <w:pPr>
              <w:spacing w:line="276" w:lineRule="auto" w:before="0" w:after="0"/>
            </w:pPr>
            <w:r/>
            <w:r>
              <w:rPr>
                <w:rFonts w:ascii="Figtree" w:hAnsi="Figtree"/>
                <w:b w:val="0"/>
                <w:i w:val="0"/>
                <w:sz w:val="20"/>
              </w:rPr>
              <w:t>3</w:t>
            </w:r>
          </w:p>
        </w:tc>
        <w:tc>
          <w:tcPr>
            <w:tcW w:type="dxa" w:w="1949"/>
            <w:vAlign w:val="center"/>
          </w:tcPr>
          <w:p>
            <w:pPr>
              <w:spacing w:line="276" w:lineRule="auto" w:before="0" w:after="0"/>
            </w:pPr>
            <w:r/>
            <w:r>
              <w:rPr>
                <w:rFonts w:ascii="Figtree" w:hAnsi="Figtree"/>
                <w:b w:val="0"/>
                <w:i w:val="0"/>
                <w:sz w:val="20"/>
              </w:rPr>
              <w:t>3</w:t>
            </w:r>
          </w:p>
        </w:tc>
        <w:tc>
          <w:tcPr>
            <w:tcW w:type="dxa" w:w="1949"/>
            <w:vAlign w:val="center"/>
          </w:tcPr>
          <w:p>
            <w:pPr>
              <w:spacing w:line="276" w:lineRule="auto" w:before="0" w:after="0"/>
            </w:pPr>
            <w:r/>
            <w:r>
              <w:rPr>
                <w:rFonts w:ascii="Figtree" w:hAnsi="Figtree"/>
                <w:b w:val="0"/>
                <w:i w:val="0"/>
                <w:sz w:val="20"/>
              </w:rPr>
              <w:t>Upfront effort estimates; escalation path</w:t>
            </w:r>
          </w:p>
        </w:tc>
      </w:tr>
    </w:tbl>
    <w:p>
      <w:pPr>
        <w:spacing w:before="0" w:after="0" w:line="120" w:lineRule="exact"/>
      </w:pPr>
    </w:p>
    <w:p>
      <w:r>
        <w:br w:type="page"/>
      </w:r>
    </w:p>
    <w:p>
      <w:pPr>
        <w:pStyle w:val="H2"/>
        <w:numPr>
          <w:ilvl w:val="1"/>
          <w:numId w:val="1"/>
        </w:numPr>
      </w:pPr>
      <w:r>
        <w:t>Current Coverage, Dependencies, and Qualified Gaps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73"/>
        <w:gridCol w:w="2457"/>
        <w:gridCol w:w="3118"/>
        <w:gridCol w:w="1323"/>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Gap</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Current State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Timeline</w:t>
            </w:r>
          </w:p>
        </w:tc>
      </w:tr>
      <w:tr>
        <w:trPr>
          <w:trHeight w:val="425" w:hRule="atLeast"/>
        </w:trPr>
        <w:tc>
          <w:tcPr>
            <w:tcW w:type="dxa" w:w="2436"/>
            <w:vAlign w:val="center"/>
          </w:tcPr>
          <w:p>
            <w:pPr>
              <w:spacing w:line="276" w:lineRule="auto" w:before="0" w:after="0"/>
            </w:pPr>
            <w:r/>
            <w:r>
              <w:rPr>
                <w:rFonts w:ascii="Figtree" w:hAnsi="Figtree"/>
                <w:b w:val="0"/>
                <w:i w:val="0"/>
                <w:sz w:val="20"/>
              </w:rPr>
              <w:t>SWIFT ISO 20022</w:t>
            </w:r>
          </w:p>
        </w:tc>
        <w:tc>
          <w:tcPr>
            <w:tcW w:type="dxa" w:w="2436"/>
            <w:vAlign w:val="center"/>
          </w:tcPr>
          <w:p>
            <w:pPr>
              <w:spacing w:line="276" w:lineRule="auto" w:before="0" w:after="0"/>
            </w:pPr>
            <w:r/>
            <w:r>
              <w:rPr>
                <w:rFonts w:ascii="Figtree" w:hAnsi="Figtree"/>
                <w:b w:val="0"/>
                <w:i w:val="0"/>
                <w:sz w:val="20"/>
              </w:rPr>
              <w:t>Middleware layer available</w:t>
            </w:r>
          </w:p>
        </w:tc>
        <w:tc>
          <w:tcPr>
            <w:tcW w:type="dxa" w:w="2436"/>
            <w:vAlign w:val="center"/>
          </w:tcPr>
          <w:p>
            <w:pPr>
              <w:spacing w:line="276" w:lineRule="auto" w:before="0" w:after="0"/>
            </w:pPr>
            <w:r/>
            <w:r>
              <w:rPr>
                <w:rFonts w:ascii="Figtree" w:hAnsi="Figtree"/>
                <w:b w:val="0"/>
                <w:i w:val="0"/>
                <w:sz w:val="20"/>
              </w:rPr>
              <w:t>Two clients deployed successfully</w:t>
            </w:r>
          </w:p>
        </w:tc>
        <w:tc>
          <w:tcPr>
            <w:tcW w:type="dxa" w:w="2436"/>
            <w:vAlign w:val="center"/>
          </w:tcPr>
          <w:p>
            <w:pPr>
              <w:spacing w:line="276" w:lineRule="auto" w:before="0" w:after="0"/>
            </w:pPr>
            <w:r/>
            <w:r>
              <w:rPr>
                <w:rFonts w:ascii="Figtree" w:hAnsi="Figtree"/>
                <w:b w:val="0"/>
                <w:i w:val="0"/>
                <w:sz w:val="20"/>
              </w:rPr>
              <w:t>Native Q3 2026</w:t>
            </w:r>
          </w:p>
        </w:tc>
      </w:tr>
      <w:tr>
        <w:trPr>
          <w:trHeight w:val="425" w:hRule="atLeast"/>
        </w:trPr>
        <w:tc>
          <w:tcPr>
            <w:tcW w:type="dxa" w:w="2436"/>
            <w:vAlign w:val="center"/>
          </w:tcPr>
          <w:p>
            <w:pPr>
              <w:spacing w:line="276" w:lineRule="auto" w:before="0" w:after="0"/>
            </w:pPr>
            <w:r/>
            <w:r>
              <w:rPr>
                <w:rFonts w:ascii="Figtree" w:hAnsi="Figtree"/>
                <w:b w:val="0"/>
                <w:i w:val="0"/>
                <w:sz w:val="20"/>
              </w:rPr>
              <w:t>Wealth management API</w:t>
            </w:r>
          </w:p>
        </w:tc>
        <w:tc>
          <w:tcPr>
            <w:tcW w:type="dxa" w:w="2436"/>
            <w:vAlign w:val="center"/>
          </w:tcPr>
          <w:p>
            <w:pPr>
              <w:spacing w:line="276" w:lineRule="auto" w:before="0" w:after="0"/>
            </w:pPr>
            <w:r/>
            <w:r>
              <w:rPr>
                <w:rFonts w:ascii="Figtree" w:hAnsi="Figtree"/>
                <w:b w:val="0"/>
                <w:i w:val="0"/>
                <w:sz w:val="20"/>
              </w:rPr>
              <w:t>REST API available</w:t>
            </w:r>
          </w:p>
        </w:tc>
        <w:tc>
          <w:tcPr>
            <w:tcW w:type="dxa" w:w="2436"/>
            <w:vAlign w:val="center"/>
          </w:tcPr>
          <w:p>
            <w:pPr>
              <w:spacing w:line="276" w:lineRule="auto" w:before="0" w:after="0"/>
            </w:pPr>
            <w:r/>
            <w:r>
              <w:rPr>
                <w:rFonts w:ascii="Figtree" w:hAnsi="Figtree"/>
                <w:b w:val="0"/>
                <w:i w:val="0"/>
                <w:sz w:val="20"/>
              </w:rPr>
              <w:t>Integration during Phase 4</w:t>
            </w:r>
          </w:p>
        </w:tc>
        <w:tc>
          <w:tcPr>
            <w:tcW w:type="dxa" w:w="2436"/>
            <w:vAlign w:val="center"/>
          </w:tcPr>
          <w:p>
            <w:pPr>
              <w:spacing w:line="276" w:lineRule="auto" w:before="0" w:after="0"/>
            </w:pPr>
            <w:r/>
            <w:r>
              <w:rPr>
                <w:rFonts w:ascii="Figtree" w:hAnsi="Figtree"/>
                <w:b w:val="0"/>
                <w:i w:val="0"/>
                <w:sz w:val="20"/>
              </w:rPr>
              <w:t>Implementation</w:t>
            </w:r>
          </w:p>
        </w:tc>
      </w:tr>
      <w:tr>
        <w:trPr>
          <w:trHeight w:val="425" w:hRule="atLeast"/>
        </w:trPr>
        <w:tc>
          <w:tcPr>
            <w:tcW w:type="dxa" w:w="2436"/>
            <w:vAlign w:val="center"/>
          </w:tcPr>
          <w:p>
            <w:pPr>
              <w:spacing w:line="276" w:lineRule="auto" w:before="0" w:after="0"/>
            </w:pPr>
            <w:r/>
            <w:r>
              <w:rPr>
                <w:rFonts w:ascii="Figtree" w:hAnsi="Figtree"/>
                <w:b w:val="0"/>
                <w:i w:val="0"/>
                <w:sz w:val="20"/>
              </w:rPr>
              <w:t>ADGM-specific templates</w:t>
            </w:r>
          </w:p>
        </w:tc>
        <w:tc>
          <w:tcPr>
            <w:tcW w:type="dxa" w:w="2436"/>
            <w:vAlign w:val="center"/>
          </w:tcPr>
          <w:p>
            <w:pPr>
              <w:spacing w:line="276" w:lineRule="auto" w:before="0" w:after="0"/>
            </w:pPr>
            <w:r/>
            <w:r>
              <w:rPr>
                <w:rFonts w:ascii="Figtree" w:hAnsi="Figtree"/>
                <w:b w:val="0"/>
                <w:i w:val="0"/>
                <w:sz w:val="20"/>
              </w:rPr>
              <w:t>Configurable engine</w:t>
            </w:r>
          </w:p>
        </w:tc>
        <w:tc>
          <w:tcPr>
            <w:tcW w:type="dxa" w:w="2436"/>
            <w:vAlign w:val="center"/>
          </w:tcPr>
          <w:p>
            <w:pPr>
              <w:spacing w:line="276" w:lineRule="auto" w:before="0" w:after="0"/>
            </w:pPr>
            <w:r/>
            <w:r>
              <w:rPr>
                <w:rFonts w:ascii="Figtree" w:hAnsi="Figtree"/>
                <w:b w:val="0"/>
                <w:i w:val="0"/>
                <w:sz w:val="20"/>
              </w:rPr>
              <w:t>Created during Phase 3</w:t>
            </w:r>
          </w:p>
        </w:tc>
        <w:tc>
          <w:tcPr>
            <w:tcW w:type="dxa" w:w="2436"/>
            <w:vAlign w:val="center"/>
          </w:tcPr>
          <w:p>
            <w:pPr>
              <w:spacing w:line="276" w:lineRule="auto" w:before="0" w:after="0"/>
            </w:pPr>
            <w:r/>
            <w:r>
              <w:rPr>
                <w:rFonts w:ascii="Figtree" w:hAnsi="Figtree"/>
                <w:b w:val="0"/>
                <w:i w:val="0"/>
                <w:sz w:val="20"/>
              </w:rPr>
              <w:t>Implementation</w:t>
            </w:r>
          </w:p>
        </w:tc>
      </w:tr>
    </w:tbl>
    <w:p>
      <w:pPr>
        <w:spacing w:before="0" w:after="0" w:line="120" w:lineRule="exact"/>
      </w:pPr>
    </w:p>
    <w:p>
      <w:r>
        <w:br w:type="page"/>
      </w:r>
    </w:p>
    <w:p>
      <w:pPr>
        <w:pStyle w:val="H2"/>
        <w:numPr>
          <w:ilvl w:val="1"/>
          <w:numId w:val="1"/>
        </w:numPr>
      </w:pPr>
      <w:r>
        <w:t>Compliance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15"/>
        <w:gridCol w:w="2654"/>
        <w:gridCol w:w="1179"/>
        <w:gridCol w:w="452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Req ID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Requirement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Response</w:t>
            </w:r>
          </w:p>
        </w:tc>
      </w:tr>
      <w:tr>
        <w:trPr>
          <w:trHeight w:val="425" w:hRule="atLeast"/>
        </w:trPr>
        <w:tc>
          <w:tcPr>
            <w:tcW w:type="dxa" w:w="2436"/>
            <w:vAlign w:val="center"/>
          </w:tcPr>
          <w:p>
            <w:pPr>
              <w:spacing w:line="276" w:lineRule="auto" w:before="0" w:after="0"/>
            </w:pPr>
            <w:r/>
            <w:r>
              <w:rPr>
                <w:rFonts w:ascii="Figtree" w:hAnsi="Figtree"/>
                <w:b w:val="0"/>
                <w:i w:val="0"/>
                <w:sz w:val="20"/>
              </w:rPr>
              <w:t>REQ-01</w:t>
            </w:r>
          </w:p>
        </w:tc>
        <w:tc>
          <w:tcPr>
            <w:tcW w:type="dxa" w:w="2436"/>
            <w:vAlign w:val="center"/>
          </w:tcPr>
          <w:p>
            <w:pPr>
              <w:spacing w:line="276" w:lineRule="auto" w:before="0" w:after="0"/>
            </w:pPr>
            <w:r/>
            <w:r>
              <w:rPr>
                <w:rFonts w:ascii="Figtree" w:hAnsi="Figtree"/>
                <w:b w:val="0"/>
                <w:i w:val="0"/>
                <w:sz w:val="20"/>
              </w:rPr>
              <w:t>Segregated environments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Independent instances per environment</w:t>
            </w:r>
          </w:p>
        </w:tc>
      </w:tr>
      <w:tr>
        <w:trPr>
          <w:trHeight w:val="425" w:hRule="atLeast"/>
        </w:trPr>
        <w:tc>
          <w:tcPr>
            <w:tcW w:type="dxa" w:w="2436"/>
            <w:vAlign w:val="center"/>
          </w:tcPr>
          <w:p>
            <w:pPr>
              <w:spacing w:line="276" w:lineRule="auto" w:before="0" w:after="0"/>
            </w:pPr>
            <w:r/>
            <w:r>
              <w:rPr>
                <w:rFonts w:ascii="Figtree" w:hAnsi="Figtree"/>
                <w:b w:val="0"/>
                <w:i w:val="0"/>
                <w:sz w:val="20"/>
              </w:rPr>
              <w:t>REQ-02</w:t>
            </w:r>
          </w:p>
        </w:tc>
        <w:tc>
          <w:tcPr>
            <w:tcW w:type="dxa" w:w="2436"/>
            <w:vAlign w:val="center"/>
          </w:tcPr>
          <w:p>
            <w:pPr>
              <w:spacing w:line="276" w:lineRule="auto" w:before="0" w:after="0"/>
            </w:pPr>
            <w:r/>
            <w:r>
              <w:rPr>
                <w:rFonts w:ascii="Figtree" w:hAnsi="Figtree"/>
                <w:b w:val="0"/>
                <w:i w:val="0"/>
                <w:sz w:val="20"/>
              </w:rPr>
              <w:t>API-first interfaces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DAPI, SDK, CLI, webhooks</w:t>
            </w:r>
          </w:p>
        </w:tc>
      </w:tr>
      <w:tr>
        <w:trPr>
          <w:trHeight w:val="425" w:hRule="atLeast"/>
        </w:trPr>
        <w:tc>
          <w:tcPr>
            <w:tcW w:type="dxa" w:w="2436"/>
            <w:vAlign w:val="center"/>
          </w:tcPr>
          <w:p>
            <w:pPr>
              <w:spacing w:line="276" w:lineRule="auto" w:before="0" w:after="0"/>
            </w:pPr>
            <w:r/>
            <w:r>
              <w:rPr>
                <w:rFonts w:ascii="Figtree" w:hAnsi="Figtree"/>
                <w:b w:val="0"/>
                <w:i w:val="0"/>
                <w:sz w:val="20"/>
              </w:rPr>
              <w:t>REQ-03</w:t>
            </w:r>
          </w:p>
        </w:tc>
        <w:tc>
          <w:tcPr>
            <w:tcW w:type="dxa" w:w="2436"/>
            <w:vAlign w:val="center"/>
          </w:tcPr>
          <w:p>
            <w:pPr>
              <w:spacing w:line="276" w:lineRule="auto" w:before="0" w:after="0"/>
            </w:pPr>
            <w:r/>
            <w:r>
              <w:rPr>
                <w:rFonts w:ascii="Figtree" w:hAnsi="Figtree"/>
                <w:b w:val="0"/>
                <w:i w:val="0"/>
                <w:sz w:val="20"/>
              </w:rPr>
              <w:t>RBAC, maker-checker, audit</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26 roles, wallet verification, immutable trail</w:t>
            </w:r>
          </w:p>
        </w:tc>
      </w:tr>
      <w:tr>
        <w:trPr>
          <w:trHeight w:val="425" w:hRule="atLeast"/>
        </w:trPr>
        <w:tc>
          <w:tcPr>
            <w:tcW w:type="dxa" w:w="2436"/>
            <w:vAlign w:val="center"/>
          </w:tcPr>
          <w:p>
            <w:pPr>
              <w:spacing w:line="276" w:lineRule="auto" w:before="0" w:after="0"/>
            </w:pPr>
            <w:r/>
            <w:r>
              <w:rPr>
                <w:rFonts w:ascii="Figtree" w:hAnsi="Figtree"/>
                <w:b w:val="0"/>
                <w:i w:val="0"/>
                <w:sz w:val="20"/>
              </w:rPr>
              <w:t>REQ-04</w:t>
            </w:r>
          </w:p>
        </w:tc>
        <w:tc>
          <w:tcPr>
            <w:tcW w:type="dxa" w:w="2436"/>
            <w:vAlign w:val="center"/>
          </w:tcPr>
          <w:p>
            <w:pPr>
              <w:spacing w:line="276" w:lineRule="auto" w:before="0" w:after="0"/>
            </w:pPr>
            <w:r/>
            <w:r>
              <w:rPr>
                <w:rFonts w:ascii="Figtree" w:hAnsi="Figtree"/>
                <w:b w:val="0"/>
                <w:i w:val="0"/>
                <w:sz w:val="20"/>
              </w:rPr>
              <w:t>Configurable lifecycle</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DALPAsset runtime config</w:t>
            </w:r>
          </w:p>
        </w:tc>
      </w:tr>
      <w:tr>
        <w:trPr>
          <w:trHeight w:val="425" w:hRule="atLeast"/>
        </w:trPr>
        <w:tc>
          <w:tcPr>
            <w:tcW w:type="dxa" w:w="2436"/>
            <w:vAlign w:val="center"/>
          </w:tcPr>
          <w:p>
            <w:pPr>
              <w:spacing w:line="276" w:lineRule="auto" w:before="0" w:after="0"/>
            </w:pPr>
            <w:r/>
            <w:r>
              <w:rPr>
                <w:rFonts w:ascii="Figtree" w:hAnsi="Figtree"/>
                <w:b w:val="0"/>
                <w:i w:val="0"/>
                <w:sz w:val="20"/>
              </w:rPr>
              <w:t>REQ-05</w:t>
            </w:r>
          </w:p>
        </w:tc>
        <w:tc>
          <w:tcPr>
            <w:tcW w:type="dxa" w:w="2436"/>
            <w:vAlign w:val="center"/>
          </w:tcPr>
          <w:p>
            <w:pPr>
              <w:spacing w:line="276" w:lineRule="auto" w:before="0" w:after="0"/>
            </w:pPr>
            <w:r/>
            <w:r>
              <w:rPr>
                <w:rFonts w:ascii="Figtree" w:hAnsi="Figtree"/>
                <w:b w:val="0"/>
                <w:i w:val="0"/>
                <w:sz w:val="20"/>
              </w:rPr>
              <w:t>Dependency disclosure</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Register provided</w:t>
            </w:r>
          </w:p>
        </w:tc>
      </w:tr>
      <w:tr>
        <w:trPr>
          <w:trHeight w:val="425" w:hRule="atLeast"/>
        </w:trPr>
        <w:tc>
          <w:tcPr>
            <w:tcW w:type="dxa" w:w="2436"/>
            <w:vAlign w:val="center"/>
          </w:tcPr>
          <w:p>
            <w:pPr>
              <w:spacing w:line="276" w:lineRule="auto" w:before="0" w:after="0"/>
            </w:pPr>
            <w:r/>
            <w:r>
              <w:rPr>
                <w:rFonts w:ascii="Figtree" w:hAnsi="Figtree"/>
                <w:b w:val="0"/>
                <w:i w:val="0"/>
                <w:sz w:val="20"/>
              </w:rPr>
              <w:t>REQ-06</w:t>
            </w:r>
          </w:p>
        </w:tc>
        <w:tc>
          <w:tcPr>
            <w:tcW w:type="dxa" w:w="2436"/>
            <w:vAlign w:val="center"/>
          </w:tcPr>
          <w:p>
            <w:pPr>
              <w:spacing w:line="276" w:lineRule="auto" w:before="0" w:after="0"/>
            </w:pPr>
            <w:r/>
            <w:r>
              <w:rPr>
                <w:rFonts w:ascii="Figtree" w:hAnsi="Figtree"/>
                <w:b w:val="0"/>
                <w:i w:val="0"/>
                <w:sz w:val="20"/>
              </w:rPr>
              <w:t>Resilience and monitoring</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Multi-AZ, Grafana, alerting</w:t>
            </w:r>
          </w:p>
        </w:tc>
      </w:tr>
      <w:tr>
        <w:trPr>
          <w:trHeight w:val="425" w:hRule="atLeast"/>
        </w:trPr>
        <w:tc>
          <w:tcPr>
            <w:tcW w:type="dxa" w:w="2436"/>
            <w:vAlign w:val="center"/>
          </w:tcPr>
          <w:p>
            <w:pPr>
              <w:spacing w:line="276" w:lineRule="auto" w:before="0" w:after="0"/>
            </w:pPr>
            <w:r/>
            <w:r>
              <w:rPr>
                <w:rFonts w:ascii="Figtree" w:hAnsi="Figtree"/>
                <w:b w:val="0"/>
                <w:i w:val="0"/>
                <w:sz w:val="20"/>
              </w:rPr>
              <w:t>REQ-07</w:t>
            </w:r>
          </w:p>
        </w:tc>
        <w:tc>
          <w:tcPr>
            <w:tcW w:type="dxa" w:w="2436"/>
            <w:vAlign w:val="center"/>
          </w:tcPr>
          <w:p>
            <w:pPr>
              <w:spacing w:line="276" w:lineRule="auto" w:before="0" w:after="0"/>
            </w:pPr>
            <w:r/>
            <w:r>
              <w:rPr>
                <w:rFonts w:ascii="Figtree" w:hAnsi="Figtree"/>
                <w:b w:val="0"/>
                <w:i w:val="0"/>
                <w:sz w:val="20"/>
              </w:rPr>
              <w:t>Phased implementation</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19-week methodology</w:t>
            </w:r>
          </w:p>
        </w:tc>
      </w:tr>
      <w:tr>
        <w:trPr>
          <w:trHeight w:val="425" w:hRule="atLeast"/>
        </w:trPr>
        <w:tc>
          <w:tcPr>
            <w:tcW w:type="dxa" w:w="2436"/>
            <w:vAlign w:val="center"/>
          </w:tcPr>
          <w:p>
            <w:pPr>
              <w:spacing w:line="276" w:lineRule="auto" w:before="0" w:after="0"/>
            </w:pPr>
            <w:r/>
            <w:r>
              <w:rPr>
                <w:rFonts w:ascii="Figtree" w:hAnsi="Figtree"/>
                <w:b w:val="0"/>
                <w:i w:val="0"/>
                <w:sz w:val="20"/>
              </w:rPr>
              <w:t>REQ-08</w:t>
            </w:r>
          </w:p>
        </w:tc>
        <w:tc>
          <w:tcPr>
            <w:tcW w:type="dxa" w:w="2436"/>
            <w:vAlign w:val="center"/>
          </w:tcPr>
          <w:p>
            <w:pPr>
              <w:spacing w:line="276" w:lineRule="auto" w:before="0" w:after="0"/>
            </w:pPr>
            <w:r/>
            <w:r>
              <w:rPr>
                <w:rFonts w:ascii="Figtree" w:hAnsi="Figtree"/>
                <w:b w:val="0"/>
                <w:i w:val="0"/>
                <w:sz w:val="20"/>
              </w:rPr>
              <w:t>Audit evidence</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On-chain + off-chain evidence</w:t>
            </w:r>
          </w:p>
        </w:tc>
      </w:tr>
      <w:tr>
        <w:trPr>
          <w:trHeight w:val="425" w:hRule="atLeast"/>
        </w:trPr>
        <w:tc>
          <w:tcPr>
            <w:tcW w:type="dxa" w:w="2436"/>
            <w:vAlign w:val="center"/>
          </w:tcPr>
          <w:p>
            <w:pPr>
              <w:spacing w:line="276" w:lineRule="auto" w:before="0" w:after="0"/>
            </w:pPr>
            <w:r/>
            <w:r>
              <w:rPr>
                <w:rFonts w:ascii="Figtree" w:hAnsi="Figtree"/>
                <w:b w:val="0"/>
                <w:i w:val="0"/>
                <w:sz w:val="20"/>
              </w:rPr>
              <w:t>REQ-09</w:t>
            </w:r>
          </w:p>
        </w:tc>
        <w:tc>
          <w:tcPr>
            <w:tcW w:type="dxa" w:w="2436"/>
            <w:vAlign w:val="center"/>
          </w:tcPr>
          <w:p>
            <w:pPr>
              <w:spacing w:line="276" w:lineRule="auto" w:before="0" w:after="0"/>
            </w:pPr>
            <w:r/>
            <w:r>
              <w:rPr>
                <w:rFonts w:ascii="Figtree" w:hAnsi="Figtree"/>
                <w:b w:val="0"/>
                <w:i w:val="0"/>
                <w:sz w:val="20"/>
              </w:rPr>
              <w:t>Institutional custody</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Key Guardian + DFNS/Fireblocks</w:t>
            </w:r>
          </w:p>
        </w:tc>
      </w:tr>
      <w:tr>
        <w:trPr>
          <w:trHeight w:val="425" w:hRule="atLeast"/>
        </w:trPr>
        <w:tc>
          <w:tcPr>
            <w:tcW w:type="dxa" w:w="2436"/>
            <w:vAlign w:val="center"/>
          </w:tcPr>
          <w:p>
            <w:pPr>
              <w:spacing w:line="276" w:lineRule="auto" w:before="0" w:after="0"/>
            </w:pPr>
            <w:r/>
            <w:r>
              <w:rPr>
                <w:rFonts w:ascii="Figtree" w:hAnsi="Figtree"/>
                <w:b w:val="0"/>
                <w:i w:val="0"/>
                <w:sz w:val="20"/>
              </w:rPr>
              <w:t>REQ-10</w:t>
            </w:r>
          </w:p>
        </w:tc>
        <w:tc>
          <w:tcPr>
            <w:tcW w:type="dxa" w:w="2436"/>
            <w:vAlign w:val="center"/>
          </w:tcPr>
          <w:p>
            <w:pPr>
              <w:spacing w:line="276" w:lineRule="auto" w:before="0" w:after="0"/>
            </w:pPr>
            <w:r/>
            <w:r>
              <w:rPr>
                <w:rFonts w:ascii="Figtree" w:hAnsi="Figtree"/>
                <w:b w:val="0"/>
                <w:i w:val="0"/>
                <w:sz w:val="20"/>
              </w:rPr>
              <w:t>Private banking eligibility</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Compliance modules + OnchainID</w:t>
            </w:r>
          </w:p>
        </w:tc>
      </w:tr>
      <w:tr>
        <w:trPr>
          <w:trHeight w:val="425" w:hRule="atLeast"/>
        </w:trPr>
        <w:tc>
          <w:tcPr>
            <w:tcW w:type="dxa" w:w="2436"/>
            <w:vAlign w:val="center"/>
          </w:tcPr>
          <w:p>
            <w:pPr>
              <w:spacing w:line="276" w:lineRule="auto" w:before="0" w:after="0"/>
            </w:pPr>
            <w:r/>
            <w:r>
              <w:rPr>
                <w:rFonts w:ascii="Figtree" w:hAnsi="Figtree"/>
                <w:b w:val="0"/>
                <w:i w:val="0"/>
                <w:sz w:val="20"/>
              </w:rPr>
              <w:t>REQ-11</w:t>
            </w:r>
          </w:p>
        </w:tc>
        <w:tc>
          <w:tcPr>
            <w:tcW w:type="dxa" w:w="2436"/>
            <w:vAlign w:val="center"/>
          </w:tcPr>
          <w:p>
            <w:pPr>
              <w:spacing w:line="276" w:lineRule="auto" w:before="0" w:after="0"/>
            </w:pPr>
            <w:r/>
            <w:r>
              <w:rPr>
                <w:rFonts w:ascii="Figtree" w:hAnsi="Figtree"/>
                <w:b w:val="0"/>
                <w:i w:val="0"/>
                <w:sz w:val="20"/>
              </w:rPr>
              <w:t>WM system integration</w:t>
            </w:r>
          </w:p>
        </w:tc>
        <w:tc>
          <w:tcPr>
            <w:tcW w:type="dxa" w:w="2436"/>
            <w:vAlign w:val="center"/>
          </w:tcPr>
          <w:p>
            <w:pPr>
              <w:spacing w:line="276" w:lineRule="auto" w:before="0" w:after="0"/>
            </w:pPr>
            <w:r/>
            <w:r>
              <w:rPr>
                <w:rFonts w:ascii="Figtree" w:hAnsi="Figtree"/>
                <w:b w:val="0"/>
                <w:i w:val="0"/>
                <w:sz w:val="20"/>
              </w:rPr>
              <w:t>Configurable</w:t>
            </w:r>
          </w:p>
        </w:tc>
        <w:tc>
          <w:tcPr>
            <w:tcW w:type="dxa" w:w="2436"/>
            <w:vAlign w:val="center"/>
          </w:tcPr>
          <w:p>
            <w:pPr>
              <w:spacing w:line="276" w:lineRule="auto" w:before="0" w:after="0"/>
            </w:pPr>
            <w:r/>
            <w:r>
              <w:rPr>
                <w:rFonts w:ascii="Figtree" w:hAnsi="Figtree"/>
                <w:b w:val="0"/>
                <w:i w:val="0"/>
                <w:sz w:val="20"/>
              </w:rPr>
              <w:t>Phase 4 integration</w:t>
            </w:r>
          </w:p>
        </w:tc>
      </w:tr>
    </w:tbl>
    <w:p>
      <w:pPr>
        <w:spacing w:before="0" w:after="0" w:line="120" w:lineRule="exact"/>
      </w:pPr>
    </w:p>
    <w:p>
      <w:r>
        <w:br w:type="page"/>
      </w:r>
    </w:p>
    <w:p>
      <w:pPr>
        <w:pStyle w:val="H2"/>
        <w:numPr>
          <w:ilvl w:val="1"/>
          <w:numId w:val="1"/>
        </w:numPr>
      </w:pPr>
      <w:r>
        <w:t>Appendices</w:t>
      </w:r>
    </w:p>
    <w:p>
      <w:pPr>
        <w:pStyle w:val="H3"/>
        <w:numPr>
          <w:ilvl w:val="2"/>
          <w:numId w:val="1"/>
        </w:numPr>
      </w:pPr>
      <w:r>
        <w:t>Glossary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10"/>
        <w:gridCol w:w="6561"/>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Term</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Definition</w:t>
            </w:r>
          </w:p>
        </w:tc>
      </w:tr>
      <w:tr>
        <w:trPr>
          <w:trHeight w:val="425" w:hRule="atLeast"/>
        </w:trPr>
        <w:tc>
          <w:tcPr>
            <w:tcW w:type="dxa" w:w="4873"/>
            <w:vAlign w:val="center"/>
          </w:tcPr>
          <w:p>
            <w:pPr>
              <w:spacing w:line="276" w:lineRule="auto" w:before="0" w:after="0"/>
            </w:pPr>
            <w:r/>
            <w:r>
              <w:rPr>
                <w:rFonts w:ascii="Figtree" w:hAnsi="Figtree"/>
                <w:b w:val="0"/>
                <w:i w:val="0"/>
                <w:sz w:val="20"/>
              </w:rPr>
              <w:t>DALP</w:t>
            </w:r>
          </w:p>
        </w:tc>
        <w:tc>
          <w:tcPr>
            <w:tcW w:type="dxa" w:w="4873"/>
            <w:vAlign w:val="center"/>
          </w:tcPr>
          <w:p>
            <w:pPr>
              <w:spacing w:line="276" w:lineRule="auto" w:before="0" w:after="0"/>
            </w:pPr>
            <w:r/>
            <w:r>
              <w:rPr>
                <w:rFonts w:ascii="Figtree" w:hAnsi="Figtree"/>
                <w:b w:val="0"/>
                <w:i w:val="0"/>
                <w:sz w:val="20"/>
              </w:rPr>
              <w:t>Digital Asset Lifecycle Platform</w:t>
            </w:r>
          </w:p>
        </w:tc>
      </w:tr>
      <w:tr>
        <w:trPr>
          <w:trHeight w:val="425" w:hRule="atLeast"/>
        </w:trPr>
        <w:tc>
          <w:tcPr>
            <w:tcW w:type="dxa" w:w="4873"/>
            <w:vAlign w:val="center"/>
          </w:tcPr>
          <w:p>
            <w:pPr>
              <w:spacing w:line="276" w:lineRule="auto" w:before="0" w:after="0"/>
            </w:pPr>
            <w:r/>
            <w:r>
              <w:rPr>
                <w:rFonts w:ascii="Figtree" w:hAnsi="Figtree"/>
                <w:b w:val="0"/>
                <w:i w:val="0"/>
                <w:sz w:val="20"/>
              </w:rPr>
              <w:t>Key Guardian</w:t>
            </w:r>
          </w:p>
        </w:tc>
        <w:tc>
          <w:tcPr>
            <w:tcW w:type="dxa" w:w="4873"/>
            <w:vAlign w:val="center"/>
          </w:tcPr>
          <w:p>
            <w:pPr>
              <w:spacing w:line="276" w:lineRule="auto" w:before="0" w:after="0"/>
            </w:pPr>
            <w:r/>
            <w:r>
              <w:rPr>
                <w:rFonts w:ascii="Figtree" w:hAnsi="Figtree"/>
                <w:b w:val="0"/>
                <w:i w:val="0"/>
                <w:sz w:val="20"/>
              </w:rPr>
              <w:t>DALP's tiered key management service</w:t>
            </w:r>
          </w:p>
        </w:tc>
      </w:tr>
      <w:tr>
        <w:trPr>
          <w:trHeight w:val="425" w:hRule="atLeast"/>
        </w:trPr>
        <w:tc>
          <w:tcPr>
            <w:tcW w:type="dxa" w:w="4873"/>
            <w:vAlign w:val="center"/>
          </w:tcPr>
          <w:p>
            <w:pPr>
              <w:spacing w:line="276" w:lineRule="auto" w:before="0" w:after="0"/>
            </w:pPr>
            <w:r/>
            <w:r>
              <w:rPr>
                <w:rFonts w:ascii="Figtree" w:hAnsi="Figtree"/>
                <w:b w:val="0"/>
                <w:i w:val="0"/>
                <w:sz w:val="20"/>
              </w:rPr>
              <w:t>SMART Protocol</w:t>
            </w:r>
          </w:p>
        </w:tc>
        <w:tc>
          <w:tcPr>
            <w:tcW w:type="dxa" w:w="4873"/>
            <w:vAlign w:val="center"/>
          </w:tcPr>
          <w:p>
            <w:pPr>
              <w:spacing w:line="276" w:lineRule="auto" w:before="0" w:after="0"/>
            </w:pPr>
            <w:r/>
            <w:r>
              <w:rPr>
                <w:rFonts w:ascii="Figtree" w:hAnsi="Figtree"/>
                <w:b w:val="0"/>
                <w:i w:val="0"/>
                <w:sz w:val="20"/>
              </w:rPr>
              <w:t>SettleMint Adaptable Regulated Token (ERC-3643)</w:t>
            </w:r>
          </w:p>
        </w:tc>
      </w:tr>
      <w:tr>
        <w:trPr>
          <w:trHeight w:val="425" w:hRule="atLeast"/>
        </w:trPr>
        <w:tc>
          <w:tcPr>
            <w:tcW w:type="dxa" w:w="4873"/>
            <w:vAlign w:val="center"/>
          </w:tcPr>
          <w:p>
            <w:pPr>
              <w:spacing w:line="276" w:lineRule="auto" w:before="0" w:after="0"/>
            </w:pPr>
            <w:r/>
            <w:r>
              <w:rPr>
                <w:rFonts w:ascii="Figtree" w:hAnsi="Figtree"/>
                <w:b w:val="0"/>
                <w:i w:val="0"/>
                <w:sz w:val="20"/>
              </w:rPr>
              <w:t>DALPAsset</w:t>
            </w:r>
          </w:p>
        </w:tc>
        <w:tc>
          <w:tcPr>
            <w:tcW w:type="dxa" w:w="4873"/>
            <w:vAlign w:val="center"/>
          </w:tcPr>
          <w:p>
            <w:pPr>
              <w:spacing w:line="276" w:lineRule="auto" w:before="0" w:after="0"/>
            </w:pPr>
            <w:r/>
            <w:r>
              <w:rPr>
                <w:rFonts w:ascii="Figtree" w:hAnsi="Figtree"/>
                <w:b w:val="0"/>
                <w:i w:val="0"/>
                <w:sz w:val="20"/>
              </w:rPr>
              <w:t>Configurable token contract</w:t>
            </w:r>
          </w:p>
        </w:tc>
      </w:tr>
      <w:tr>
        <w:trPr>
          <w:trHeight w:val="425" w:hRule="atLeast"/>
        </w:trPr>
        <w:tc>
          <w:tcPr>
            <w:tcW w:type="dxa" w:w="4873"/>
            <w:vAlign w:val="center"/>
          </w:tcPr>
          <w:p>
            <w:pPr>
              <w:spacing w:line="276" w:lineRule="auto" w:before="0" w:after="0"/>
            </w:pPr>
            <w:r/>
            <w:r>
              <w:rPr>
                <w:rFonts w:ascii="Figtree" w:hAnsi="Figtree"/>
                <w:b w:val="0"/>
                <w:i w:val="0"/>
                <w:sz w:val="20"/>
              </w:rPr>
              <w:t>OnchainID</w:t>
            </w:r>
          </w:p>
        </w:tc>
        <w:tc>
          <w:tcPr>
            <w:tcW w:type="dxa" w:w="4873"/>
            <w:vAlign w:val="center"/>
          </w:tcPr>
          <w:p>
            <w:pPr>
              <w:spacing w:line="276" w:lineRule="auto" w:before="0" w:after="0"/>
            </w:pPr>
            <w:r/>
            <w:r>
              <w:rPr>
                <w:rFonts w:ascii="Figtree" w:hAnsi="Figtree"/>
                <w:b w:val="0"/>
                <w:i w:val="0"/>
                <w:sz w:val="20"/>
              </w:rPr>
              <w:t>On-chain identity (ERC-734/735)</w:t>
            </w:r>
          </w:p>
        </w:tc>
      </w:tr>
      <w:tr>
        <w:trPr>
          <w:trHeight w:val="425" w:hRule="atLeast"/>
        </w:trPr>
        <w:tc>
          <w:tcPr>
            <w:tcW w:type="dxa" w:w="4873"/>
            <w:vAlign w:val="center"/>
          </w:tcPr>
          <w:p>
            <w:pPr>
              <w:spacing w:line="276" w:lineRule="auto" w:before="0" w:after="0"/>
            </w:pPr>
            <w:r/>
            <w:r>
              <w:rPr>
                <w:rFonts w:ascii="Figtree" w:hAnsi="Figtree"/>
                <w:b w:val="0"/>
                <w:i w:val="0"/>
                <w:sz w:val="20"/>
              </w:rPr>
              <w:t>XvP</w:t>
            </w:r>
          </w:p>
        </w:tc>
        <w:tc>
          <w:tcPr>
            <w:tcW w:type="dxa" w:w="4873"/>
            <w:vAlign w:val="center"/>
          </w:tcPr>
          <w:p>
            <w:pPr>
              <w:spacing w:line="276" w:lineRule="auto" w:before="0" w:after="0"/>
            </w:pPr>
            <w:r/>
            <w:r>
              <w:rPr>
                <w:rFonts w:ascii="Figtree" w:hAnsi="Figtree"/>
                <w:b w:val="0"/>
                <w:i w:val="0"/>
                <w:sz w:val="20"/>
              </w:rPr>
              <w:t>Exchange versus Payment (atomic settlement)</w:t>
            </w:r>
          </w:p>
        </w:tc>
      </w:tr>
      <w:tr>
        <w:trPr>
          <w:trHeight w:val="425" w:hRule="atLeast"/>
        </w:trPr>
        <w:tc>
          <w:tcPr>
            <w:tcW w:type="dxa" w:w="4873"/>
            <w:vAlign w:val="center"/>
          </w:tcPr>
          <w:p>
            <w:pPr>
              <w:spacing w:line="276" w:lineRule="auto" w:before="0" w:after="0"/>
            </w:pPr>
            <w:r/>
            <w:r>
              <w:rPr>
                <w:rFonts w:ascii="Figtree" w:hAnsi="Figtree"/>
                <w:b w:val="0"/>
                <w:i w:val="0"/>
                <w:sz w:val="20"/>
              </w:rPr>
              <w:t>MPC</w:t>
            </w:r>
          </w:p>
        </w:tc>
        <w:tc>
          <w:tcPr>
            <w:tcW w:type="dxa" w:w="4873"/>
            <w:vAlign w:val="center"/>
          </w:tcPr>
          <w:p>
            <w:pPr>
              <w:spacing w:line="276" w:lineRule="auto" w:before="0" w:after="0"/>
            </w:pPr>
            <w:r/>
            <w:r>
              <w:rPr>
                <w:rFonts w:ascii="Figtree" w:hAnsi="Figtree"/>
                <w:b w:val="0"/>
                <w:i w:val="0"/>
                <w:sz w:val="20"/>
              </w:rPr>
              <w:t>Multi-Party Computation (custody)</w:t>
            </w:r>
          </w:p>
        </w:tc>
      </w:tr>
      <w:tr>
        <w:trPr>
          <w:trHeight w:val="425" w:hRule="atLeast"/>
        </w:trPr>
        <w:tc>
          <w:tcPr>
            <w:tcW w:type="dxa" w:w="4873"/>
            <w:vAlign w:val="center"/>
          </w:tcPr>
          <w:p>
            <w:pPr>
              <w:spacing w:line="276" w:lineRule="auto" w:before="0" w:after="0"/>
            </w:pPr>
            <w:r/>
            <w:r>
              <w:rPr>
                <w:rFonts w:ascii="Figtree" w:hAnsi="Figtree"/>
                <w:b w:val="0"/>
                <w:i w:val="0"/>
                <w:sz w:val="20"/>
              </w:rPr>
              <w:t>IBFT</w:t>
            </w:r>
          </w:p>
        </w:tc>
        <w:tc>
          <w:tcPr>
            <w:tcW w:type="dxa" w:w="4873"/>
            <w:vAlign w:val="center"/>
          </w:tcPr>
          <w:p>
            <w:pPr>
              <w:spacing w:line="276" w:lineRule="auto" w:before="0" w:after="0"/>
            </w:pPr>
            <w:r/>
            <w:r>
              <w:rPr>
                <w:rFonts w:ascii="Figtree" w:hAnsi="Figtree"/>
                <w:b w:val="0"/>
                <w:i w:val="0"/>
                <w:sz w:val="20"/>
              </w:rPr>
              <w:t>Istanbul Byzantine Fault Tolerant (consensus)</w:t>
            </w:r>
          </w:p>
        </w:tc>
      </w:tr>
    </w:tbl>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