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Investment Rationale</w:t>
          </w:r>
          <w:r>
            <w:tab/>
          </w:r>
          <w:r>
            <w:t xml:space="preserve">4</w:t>
          </w:r>
        </w:p>
        <w:p>
          <w:pPr>
            <w:pStyle w:val="TOC2"/>
            <w:tabs>
              <w:tab w:val="right" w:leader="dot" w:pos="9072"/>
            </w:tabs>
          </w:pPr>
          <w:r>
            <w:t xml:space="preserve">Cost of Current Approach</w:t>
          </w:r>
          <w:r>
            <w:tab/>
          </w:r>
          <w:r>
            <w:t xml:space="preserve">5</w:t>
          </w:r>
        </w:p>
        <w:p>
          <w:pPr>
            <w:pStyle w:val="TOC2"/>
            <w:tabs>
              <w:tab w:val="right" w:leader="dot" w:pos="9072"/>
            </w:tabs>
          </w:pPr>
          <w:r>
            <w:t xml:space="preserve">Why DALP Changes Economics</w:t>
          </w:r>
          <w:r>
            <w:tab/>
          </w:r>
          <w:r>
            <w:t xml:space="preserve">6</w:t>
          </w:r>
        </w:p>
        <w:p>
          <w:pPr>
            <w:pStyle w:val="TOC2"/>
            <w:tabs>
              <w:tab w:val="right" w:leader="dot" w:pos="9072"/>
            </w:tabs>
          </w:pPr>
          <w:r>
            <w:t xml:space="preserve">ROI Framework</w:t>
          </w:r>
          <w:r>
            <w:tab/>
          </w:r>
          <w:r>
            <w:t xml:space="preserve">7</w:t>
          </w:r>
        </w:p>
        <w:p>
          <w:pPr>
            <w:pStyle w:val="TOC1"/>
            <w:tabs>
              <w:tab w:val="right" w:leader="dot" w:pos="9072"/>
            </w:tabs>
          </w:pPr>
          <w:r>
            <w:t xml:space="preserve">Licensing Model</w:t>
          </w:r>
          <w:r>
            <w:tab/>
          </w:r>
          <w:r>
            <w:t xml:space="preserve">8</w:t>
          </w:r>
        </w:p>
        <w:p>
          <w:pPr>
            <w:pStyle w:val="TOC2"/>
            <w:tabs>
              <w:tab w:val="right" w:leader="dot" w:pos="9072"/>
            </w:tabs>
          </w:pPr>
          <w:r>
            <w:t xml:space="preserve">Philosophy</w:t>
          </w:r>
          <w:r>
            <w:tab/>
          </w:r>
          <w:r>
            <w:t xml:space="preserve">9</w:t>
          </w:r>
        </w:p>
        <w:p>
          <w:pPr>
            <w:pStyle w:val="TOC2"/>
            <w:tabs>
              <w:tab w:val="right" w:leader="dot" w:pos="9072"/>
            </w:tabs>
          </w:pPr>
          <w:r>
            <w:t xml:space="preserve">What Is Included</w:t>
          </w:r>
          <w:r>
            <w:tab/>
          </w:r>
          <w:r>
            <w:t xml:space="preserve">10</w:t>
          </w:r>
        </w:p>
        <w:p>
          <w:pPr>
            <w:pStyle w:val="TOC2"/>
            <w:tabs>
              <w:tab w:val="right" w:leader="dot" w:pos="9072"/>
            </w:tabs>
          </w:pPr>
          <w:r>
            <w:t xml:space="preserve">Platform Tiers</w:t>
          </w:r>
          <w:r>
            <w:tab/>
          </w:r>
          <w:r>
            <w:t xml:space="preserve">11</w:t>
          </w:r>
        </w:p>
        <w:p>
          <w:pPr>
            <w:pStyle w:val="TOC1"/>
            <w:tabs>
              <w:tab w:val="right" w:leader="dot" w:pos="9072"/>
            </w:tabs>
          </w:pPr>
          <w:r>
            <w:t xml:space="preserve">Deployment Options and Pricing</w:t>
          </w:r>
          <w:r>
            <w:tab/>
          </w:r>
          <w:r>
            <w:t xml:space="preserve">12</w:t>
          </w:r>
        </w:p>
        <w:p>
          <w:pPr>
            <w:pStyle w:val="TOC2"/>
            <w:tabs>
              <w:tab w:val="right" w:leader="dot" w:pos="9072"/>
            </w:tabs>
          </w:pPr>
          <w:r>
            <w:t xml:space="preserve">Recommended: Dedicated Cloud (South Africa-Resident)</w:t>
          </w:r>
          <w:r>
            <w:tab/>
          </w:r>
          <w:r>
            <w:t xml:space="preserve">13</w:t>
          </w:r>
        </w:p>
        <w:p>
          <w:pPr>
            <w:pStyle w:val="TOC2"/>
            <w:tabs>
              <w:tab w:val="right" w:leader="dot" w:pos="9072"/>
            </w:tabs>
          </w:pPr>
          <w:r>
            <w:t xml:space="preserve">Cost Structure</w:t>
          </w:r>
          <w:r>
            <w:tab/>
          </w:r>
          <w:r>
            <w:t xml:space="preserve">14</w:t>
          </w:r>
        </w:p>
        <w:p>
          <w:pPr>
            <w:pStyle w:val="TOC1"/>
            <w:tabs>
              <w:tab w:val="right" w:leader="dot" w:pos="9072"/>
            </w:tabs>
          </w:pPr>
          <w:r>
            <w:t xml:space="preserve">Support and SLA Framework</w:t>
          </w:r>
          <w:r>
            <w:tab/>
          </w:r>
          <w:r>
            <w:t xml:space="preserve">15</w:t>
          </w:r>
        </w:p>
        <w:p>
          <w:pPr>
            <w:pStyle w:val="TOC1"/>
            <w:tabs>
              <w:tab w:val="right" w:leader="dot" w:pos="9072"/>
            </w:tabs>
          </w:pPr>
          <w:r>
            <w:t xml:space="preserve">Implementation Investment</w:t>
          </w:r>
          <w:r>
            <w:tab/>
          </w:r>
          <w:r>
            <w:t xml:space="preserve">16</w:t>
          </w:r>
        </w:p>
        <w:p>
          <w:pPr>
            <w:pStyle w:val="TOC1"/>
            <w:tabs>
              <w:tab w:val="right" w:leader="dot" w:pos="9072"/>
            </w:tabs>
          </w:pPr>
          <w:r>
            <w:t xml:space="preserve">Commercial Terms</w:t>
          </w:r>
          <w:r>
            <w:tab/>
          </w:r>
          <w:r>
            <w:t xml:space="preserve">17</w:t>
          </w:r>
        </w:p>
        <w:p>
          <w:pPr>
            <w:pStyle w:val="TOC2"/>
            <w:tabs>
              <w:tab w:val="right" w:leader="dot" w:pos="9072"/>
            </w:tabs>
          </w:pPr>
          <w:r>
            <w:t xml:space="preserve">Contract Structure</w:t>
          </w:r>
          <w:r>
            <w:tab/>
          </w:r>
          <w:r>
            <w:t xml:space="preserve">18</w:t>
          </w:r>
        </w:p>
        <w:p>
          <w:pPr>
            <w:pStyle w:val="TOC2"/>
            <w:tabs>
              <w:tab w:val="right" w:leader="dot" w:pos="9072"/>
            </w:tabs>
          </w:pPr>
          <w:r>
            <w:t xml:space="preserve">Key Terms</w:t>
          </w:r>
          <w:r>
            <w:tab/>
          </w:r>
          <w:r>
            <w:t xml:space="preserve">19</w:t>
          </w:r>
        </w:p>
        <w:p>
          <w:pPr>
            <w:pStyle w:val="TOC1"/>
            <w:tabs>
              <w:tab w:val="right" w:leader="dot" w:pos="9072"/>
            </w:tabs>
          </w:pPr>
          <w:r>
            <w:t xml:space="preserve">Total Cost of Ownership</w:t>
          </w:r>
          <w:r>
            <w:tab/>
          </w:r>
          <w:r>
            <w:t xml:space="preserve">20</w:t>
          </w:r>
        </w:p>
        <w:p>
          <w:pPr>
            <w:pStyle w:val="TOC2"/>
            <w:tabs>
              <w:tab w:val="right" w:leader="dot" w:pos="9072"/>
            </w:tabs>
          </w:pPr>
          <w:r>
            <w:t xml:space="preserve">Comparative Analysis</w:t>
          </w:r>
          <w:r>
            <w:tab/>
          </w:r>
          <w:r>
            <w:t xml:space="preserve">21</w:t>
          </w:r>
        </w:p>
        <w:p>
          <w:pPr>
            <w:pStyle w:val="TOC1"/>
            <w:tabs>
              <w:tab w:val="right" w:leader="dot" w:pos="9072"/>
            </w:tabs>
          </w:pPr>
          <w:r>
            <w:t xml:space="preserve">Customer References</w:t>
          </w:r>
          <w:r>
            <w:tab/>
          </w:r>
          <w:r>
            <w:t xml:space="preserve">22</w:t>
          </w:r>
        </w:p>
        <w:p>
          <w:pPr>
            <w:pStyle w:val="TOC1"/>
            <w:tabs>
              <w:tab w:val="right" w:leader="dot" w:pos="9072"/>
            </w:tabs>
          </w:pPr>
          <w:r>
            <w:t xml:space="preserve">Next Steps</w:t>
          </w:r>
          <w:r>
            <w:tab/>
          </w:r>
          <w:r>
            <w:t xml:space="preserve">23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2"/>
        <w:gridCol w:w="714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Digital Bond Platform for Wholesale and Treasury Issuance</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FirstRand (South Africa)</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FIRSTRAND-RFP-DIGITAL-BOND-PLATFORM-202603</w:t>
            </w:r>
          </w:p>
        </w:tc>
      </w:tr>
    </w:tbl>
    <w:p>
      <w:pPr>
        <w:spacing w:before="0" w:after="0" w:line="120" w:lineRule="exact"/>
      </w:pPr>
    </w:p>
    <w:p>
      <w:r>
        <w:br w:type="page"/>
      </w:r>
    </w:p>
    <w:p>
      <w:pPr>
        <w:pStyle w:val="H1"/>
        <w:numPr>
          <w:ilvl w:val="0"/>
          <w:numId w:val="1"/>
        </w:numPr>
      </w:pPr>
      <w:r>
        <w:t>Executive Summary</w:t>
      </w:r>
    </w:p>
    <w:p>
      <w:r>
        <w:rPr>
          <w:rFonts w:ascii="Figtree" w:hAnsi="Figtree"/>
          <w:b w:val="0"/>
          <w:i w:val="0"/>
          <w:sz w:val="22"/>
        </w:rPr>
        <w:t>FirstRand requires a platform and delivery partner capable of bringing a digital bond platform for wholesale and treasury issuance to production with the discipline expected of a core regulated system operating under SARB and FSCA oversight. This commercial proposal presents SettleMint's licensing, implementation, and support model for DALP, structured to provide predictable costs and clear total cost of ownership.</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supporting multiple bond types, environments, and custody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South Africa-resident infrastructure</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16x5 coverage, 2-hour P1 response</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To be finalized during commercial discussions</w:t>
      </w:r>
    </w:p>
    <w:p>
      <w:r>
        <w:rPr>
          <w:rFonts w:ascii="Figtree" w:hAnsi="Figtree"/>
          <w:b w:val="0"/>
          <w:i w:val="0"/>
          <w:sz w:val="22"/>
        </w:rPr>
        <w:t>The DALP licensing model uses predictable annual subscription pricing with no per-transaction, per-token, or per-asset fees. FirstRand can scale issuance volume, instrument range, and investor base without incremental platform costs.</w:t>
      </w:r>
    </w:p>
    <w:p>
      <w:r>
        <w:br w:type="page"/>
      </w:r>
    </w:p>
    <w:p>
      <w:pPr>
        <w:pStyle w:val="H1"/>
        <w:numPr>
          <w:ilvl w:val="0"/>
          <w:numId w:val="1"/>
        </w:numPr>
      </w:pPr>
      <w:r>
        <w:t>Investment Rationale</w:t>
      </w:r>
    </w:p>
    <w:p>
      <w:pPr>
        <w:pStyle w:val="H2"/>
        <w:numPr>
          <w:ilvl w:val="1"/>
          <w:numId w:val="1"/>
        </w:numPr>
      </w:pPr>
      <w:r>
        <w:t>Cost of Current Approach</w:t>
      </w:r>
    </w:p>
    <w:p>
      <w:r>
        <w:rPr>
          <w:rFonts w:ascii="Figtree" w:hAnsi="Figtree"/>
          <w:b w:val="0"/>
          <w:i w:val="0"/>
          <w:sz w:val="22"/>
        </w:rPr>
        <w:t>Internal development of wholesale bond infrastructure requires 18 to 24 months of custom development with a dedicated engineering team of 5 to 8 specialists. Multi-vendor assembly reduces development time but introduces integration overhead, SLA gaps, and permanent reconciliation costs. Both approaches carry significant hidden costs in vendor coordination, compliance maintenance, and audit preparation.</w:t>
      </w:r>
    </w:p>
    <w:p>
      <w:pPr>
        <w:pStyle w:val="H2"/>
        <w:numPr>
          <w:ilvl w:val="1"/>
          <w:numId w:val="1"/>
        </w:numPr>
      </w:pPr>
      <w:r>
        <w:t>Why DALP Changes Economics</w:t>
      </w:r>
    </w:p>
    <w:p>
      <w:r>
        <w:rPr>
          <w:rFonts w:ascii="Figtree" w:hAnsi="Figtree"/>
          <w:b w:val="0"/>
          <w:i w:val="0"/>
          <w:sz w:val="22"/>
        </w:rPr>
        <w:t>DALP eliminates the integration tax by consolidating issuance, compliance, custody orchestration, settlement, and servicing in one platform. Included lifecycle capabilities remove the need for separate procurement of coupon calculation, maturity processing, and compliance enforcement. Reuse across asset classes means expanding from bonds to equities or deposits requires configuration, not new procurement. The predictable subscription model enables budget planning without volume-driven surprises.</w:t>
      </w:r>
    </w:p>
    <w:p>
      <w:pPr>
        <w:pStyle w:val="H2"/>
        <w:numPr>
          <w:ilvl w:val="1"/>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36"/>
        <w:gridCol w:w="3161"/>
        <w:gridCol w:w="24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ROI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Without 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 DALP</w:t>
            </w:r>
          </w:p>
        </w:tc>
      </w:tr>
      <w:tr>
        <w:trPr>
          <w:trHeight w:val="425" w:hRule="atLeast"/>
        </w:trPr>
        <w:tc>
          <w:tcPr>
            <w:tcW w:type="dxa" w:w="3249"/>
            <w:vAlign w:val="center"/>
          </w:tcPr>
          <w:p>
            <w:pPr>
              <w:spacing w:line="276" w:lineRule="auto" w:before="0" w:after="0"/>
            </w:pPr>
            <w:r/>
            <w:r>
              <w:rPr>
                <w:rFonts w:ascii="Figtree" w:hAnsi="Figtree"/>
                <w:b w:val="0"/>
                <w:i w:val="0"/>
                <w:sz w:val="20"/>
              </w:rPr>
              <w:t>Time-to-market</w:t>
            </w:r>
          </w:p>
        </w:tc>
        <w:tc>
          <w:tcPr>
            <w:tcW w:type="dxa" w:w="3249"/>
            <w:vAlign w:val="center"/>
          </w:tcPr>
          <w:p>
            <w:pPr>
              <w:spacing w:line="276" w:lineRule="auto" w:before="0" w:after="0"/>
            </w:pPr>
            <w:r/>
            <w:r>
              <w:rPr>
                <w:rFonts w:ascii="Figtree" w:hAnsi="Figtree"/>
                <w:b w:val="0"/>
                <w:i w:val="0"/>
                <w:sz w:val="20"/>
              </w:rPr>
              <w:t>18 to 24 months</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T+2 with reconciliation</w:t>
            </w:r>
          </w:p>
        </w:tc>
        <w:tc>
          <w:tcPr>
            <w:tcW w:type="dxa" w:w="3249"/>
            <w:vAlign w:val="center"/>
          </w:tcPr>
          <w:p>
            <w:pPr>
              <w:spacing w:line="276" w:lineRule="auto" w:before="0" w:after="0"/>
            </w:pPr>
            <w:r/>
            <w:r>
              <w:rPr>
                <w:rFonts w:ascii="Figtree" w:hAnsi="Figtree"/>
                <w:b w:val="0"/>
                <w:i w:val="0"/>
                <w:sz w:val="20"/>
              </w:rPr>
              <w:t>T+0, deterministic</w:t>
            </w:r>
          </w:p>
        </w:tc>
      </w:tr>
      <w:tr>
        <w:trPr>
          <w:trHeight w:val="425" w:hRule="atLeast"/>
        </w:trPr>
        <w:tc>
          <w:tcPr>
            <w:tcW w:type="dxa" w:w="3249"/>
            <w:vAlign w:val="center"/>
          </w:tcPr>
          <w:p>
            <w:pPr>
              <w:spacing w:line="276" w:lineRule="auto" w:before="0" w:after="0"/>
            </w:pPr>
            <w:r/>
            <w:r>
              <w:rPr>
                <w:rFonts w:ascii="Figtree" w:hAnsi="Figtree"/>
                <w:b w:val="0"/>
                <w:i w:val="0"/>
                <w:sz w:val="20"/>
              </w:rPr>
              <w:t>Compliance ops</w:t>
            </w:r>
          </w:p>
        </w:tc>
        <w:tc>
          <w:tcPr>
            <w:tcW w:type="dxa" w:w="3249"/>
            <w:vAlign w:val="center"/>
          </w:tcPr>
          <w:p>
            <w:pPr>
              <w:spacing w:line="276" w:lineRule="auto" w:before="0" w:after="0"/>
            </w:pPr>
            <w:r/>
            <w:r>
              <w:rPr>
                <w:rFonts w:ascii="Figtree" w:hAnsi="Figtree"/>
                <w:b w:val="0"/>
                <w:i w:val="0"/>
                <w:sz w:val="20"/>
              </w:rPr>
              <w:t>Manual review</w:t>
            </w:r>
          </w:p>
        </w:tc>
        <w:tc>
          <w:tcPr>
            <w:tcW w:type="dxa" w:w="3249"/>
            <w:vAlign w:val="center"/>
          </w:tcPr>
          <w:p>
            <w:pPr>
              <w:spacing w:line="276" w:lineRule="auto" w:before="0" w:after="0"/>
            </w:pPr>
            <w:r/>
            <w:r>
              <w:rPr>
                <w:rFonts w:ascii="Figtree" w:hAnsi="Figtree"/>
                <w:b w:val="0"/>
                <w:i w:val="0"/>
                <w:sz w:val="20"/>
              </w:rPr>
              <w:t>Automated ex-ante</w:t>
            </w:r>
          </w:p>
        </w:tc>
      </w:tr>
      <w:tr>
        <w:trPr>
          <w:trHeight w:val="425" w:hRule="atLeast"/>
        </w:trPr>
        <w:tc>
          <w:tcPr>
            <w:tcW w:type="dxa" w:w="3249"/>
            <w:vAlign w:val="center"/>
          </w:tcPr>
          <w:p>
            <w:pPr>
              <w:spacing w:line="276" w:lineRule="auto" w:before="0" w:after="0"/>
            </w:pPr>
            <w:r/>
            <w:r>
              <w:rPr>
                <w:rFonts w:ascii="Figtree" w:hAnsi="Figtree"/>
                <w:b w:val="0"/>
                <w:i w:val="0"/>
                <w:sz w:val="20"/>
              </w:rPr>
              <w:t>Operational headcount</w:t>
            </w:r>
          </w:p>
        </w:tc>
        <w:tc>
          <w:tcPr>
            <w:tcW w:type="dxa" w:w="3249"/>
            <w:vAlign w:val="center"/>
          </w:tcPr>
          <w:p>
            <w:pPr>
              <w:spacing w:line="276" w:lineRule="auto" w:before="0" w:after="0"/>
            </w:pPr>
            <w:r/>
            <w:r>
              <w:rPr>
                <w:rFonts w:ascii="Figtree" w:hAnsi="Figtree"/>
                <w:b w:val="0"/>
                <w:i w:val="0"/>
                <w:sz w:val="20"/>
              </w:rPr>
              <w:t>5 to 8 specialists</w:t>
            </w:r>
          </w:p>
        </w:tc>
        <w:tc>
          <w:tcPr>
            <w:tcW w:type="dxa" w:w="3249"/>
            <w:vAlign w:val="center"/>
          </w:tcPr>
          <w:p>
            <w:pPr>
              <w:spacing w:line="276" w:lineRule="auto" w:before="0" w:after="0"/>
            </w:pPr>
            <w:r/>
            <w:r>
              <w:rPr>
                <w:rFonts w:ascii="Figtree" w:hAnsi="Figtree"/>
                <w:b w:val="0"/>
                <w:i w:val="0"/>
                <w:sz w:val="20"/>
              </w:rPr>
              <w:t>2 to 3 operators</w:t>
            </w:r>
          </w:p>
        </w:tc>
      </w:tr>
      <w:tr>
        <w:trPr>
          <w:trHeight w:val="425" w:hRule="atLeast"/>
        </w:trPr>
        <w:tc>
          <w:tcPr>
            <w:tcW w:type="dxa" w:w="3249"/>
            <w:vAlign w:val="center"/>
          </w:tcPr>
          <w:p>
            <w:pPr>
              <w:spacing w:line="276" w:lineRule="auto" w:before="0" w:after="0"/>
            </w:pPr>
            <w:r/>
            <w:r>
              <w:rPr>
                <w:rFonts w:ascii="Figtree" w:hAnsi="Figtree"/>
                <w:b w:val="0"/>
                <w:i w:val="0"/>
                <w:sz w:val="20"/>
              </w:rPr>
              <w:t>Multi-vendor coordination</w:t>
            </w:r>
          </w:p>
        </w:tc>
        <w:tc>
          <w:tcPr>
            <w:tcW w:type="dxa" w:w="3249"/>
            <w:vAlign w:val="center"/>
          </w:tcPr>
          <w:p>
            <w:pPr>
              <w:spacing w:line="276" w:lineRule="auto" w:before="0" w:after="0"/>
            </w:pPr>
            <w:r/>
            <w:r>
              <w:rPr>
                <w:rFonts w:ascii="Figtree" w:hAnsi="Figtree"/>
                <w:b w:val="0"/>
                <w:i w:val="0"/>
                <w:sz w:val="20"/>
              </w:rPr>
              <w:t>3+ vendors</w:t>
            </w:r>
          </w:p>
        </w:tc>
        <w:tc>
          <w:tcPr>
            <w:tcW w:type="dxa" w:w="3249"/>
            <w:vAlign w:val="center"/>
          </w:tcPr>
          <w:p>
            <w:pPr>
              <w:spacing w:line="276" w:lineRule="auto" w:before="0" w:after="0"/>
            </w:pPr>
            <w:r/>
            <w:r>
              <w:rPr>
                <w:rFonts w:ascii="Figtree" w:hAnsi="Figtree"/>
                <w:b w:val="0"/>
                <w:i w:val="0"/>
                <w:sz w:val="20"/>
              </w:rPr>
              <w:t>Single partner</w:t>
            </w:r>
          </w:p>
        </w:tc>
      </w:tr>
    </w:tbl>
    <w:p>
      <w:pPr>
        <w:spacing w:before="0" w:after="0" w:line="120" w:lineRule="exact"/>
      </w:pPr>
    </w:p>
    <w:p>
      <w:r>
        <w:br w:type="page"/>
      </w:r>
    </w:p>
    <w:p>
      <w:pPr>
        <w:pStyle w:val="H1"/>
        <w:numPr>
          <w:ilvl w:val="0"/>
          <w:numId w:val="1"/>
        </w:numPr>
      </w:pPr>
      <w:r>
        <w:t>Licensing Model</w:t>
      </w:r>
    </w:p>
    <w:p>
      <w:pPr>
        <w:pStyle w:val="H2"/>
        <w:numPr>
          <w:ilvl w:val="1"/>
          <w:numId w:val="1"/>
        </w:numPr>
      </w:pPr>
      <w:r>
        <w:t>Philosophy</w:t>
      </w:r>
    </w:p>
    <w:p>
      <w:r>
        <w:rPr>
          <w:rFonts w:ascii="Figtree" w:hAnsi="Figtree"/>
          <w:b w:val="0"/>
          <w:i w:val="0"/>
          <w:sz w:val="22"/>
        </w:rPr>
        <w:t>Platform licensing with no per-transaction, per-token, per-user, or per-asset fees. Predictable annual subscription designed for regulated institutions where volume-based pricing inhibits operational scaling.</w:t>
      </w:r>
    </w:p>
    <w:p>
      <w:pPr>
        <w:pStyle w:val="H2"/>
        <w:numPr>
          <w:ilvl w:val="1"/>
          <w:numId w:val="1"/>
        </w:numPr>
      </w:pPr>
      <w:r>
        <w:t>What Is Included</w:t>
      </w:r>
    </w:p>
    <w:p>
      <w:r>
        <w:rPr>
          <w:rFonts w:ascii="Figtree" w:hAnsi="Figtree"/>
          <w:b w:val="0"/>
          <w:i w:val="0"/>
          <w:sz w:val="22"/>
        </w:rPr>
        <w:t>All lifecycle pillars (issuance, compliance, custody orchestration, settlement, servicing), all 7 asset class templates plus configurable token, all 18 compliance module types, full API surface, SDK and CLI, observability stack, and platform updates.</w:t>
      </w:r>
    </w:p>
    <w:p>
      <w:pPr>
        <w:pStyle w:val="H2"/>
        <w:numPr>
          <w:ilvl w:val="1"/>
          <w:numId w:val="1"/>
        </w:numPr>
      </w:pPr>
      <w:r>
        <w:t>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9"/>
        <w:gridCol w:w="2103"/>
        <w:gridCol w:w="3155"/>
        <w:gridCol w:w="210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Asset classes</w:t>
            </w:r>
          </w:p>
        </w:tc>
        <w:tc>
          <w:tcPr>
            <w:tcW w:type="dxa" w:w="2436"/>
            <w:vAlign w:val="center"/>
          </w:tcPr>
          <w:p>
            <w:pPr>
              <w:spacing w:line="276" w:lineRule="auto" w:before="0" w:after="0"/>
            </w:pPr>
            <w:r/>
            <w:r>
              <w:rPr>
                <w:rFonts w:ascii="Figtree" w:hAnsi="Figtree"/>
                <w:b w:val="0"/>
                <w:i w:val="0"/>
                <w:sz w:val="20"/>
              </w:rPr>
              <w:t>Up to 2</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 custom</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Dev + production</w:t>
            </w:r>
          </w:p>
        </w:tc>
        <w:tc>
          <w:tcPr>
            <w:tcW w:type="dxa" w:w="2436"/>
            <w:vAlign w:val="center"/>
          </w:tcPr>
          <w:p>
            <w:pPr>
              <w:spacing w:line="276" w:lineRule="auto" w:before="0" w:after="0"/>
            </w:pPr>
            <w:r/>
            <w:r>
              <w:rPr>
                <w:rFonts w:ascii="Figtree" w:hAnsi="Figtree"/>
                <w:b w:val="0"/>
                <w:i w:val="0"/>
                <w:sz w:val="20"/>
              </w:rPr>
              <w:t>Full segregation</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Custody</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Full HSM + multi</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 24/7</w:t>
            </w:r>
          </w:p>
        </w:tc>
      </w:tr>
    </w:tbl>
    <w:p>
      <w:pPr>
        <w:spacing w:before="0" w:after="0" w:line="120" w:lineRule="exact"/>
      </w:pPr>
    </w:p>
    <w:p>
      <w:r>
        <w:br w:type="page"/>
      </w:r>
    </w:p>
    <w:p>
      <w:pPr>
        <w:pStyle w:val="H1"/>
        <w:numPr>
          <w:ilvl w:val="0"/>
          <w:numId w:val="1"/>
        </w:numPr>
      </w:pPr>
      <w:r>
        <w:t>Deployment Options and Pricing</w:t>
      </w:r>
    </w:p>
    <w:p>
      <w:pPr>
        <w:pStyle w:val="H2"/>
        <w:numPr>
          <w:ilvl w:val="1"/>
          <w:numId w:val="1"/>
        </w:numPr>
      </w:pPr>
      <w:r>
        <w:t>Recommended: Dedicated Cloud (South Africa-Resident)</w:t>
      </w:r>
    </w:p>
    <w:p>
      <w:r>
        <w:rPr>
          <w:rFonts w:ascii="Figtree" w:hAnsi="Figtree"/>
          <w:b w:val="0"/>
          <w:i w:val="0"/>
          <w:sz w:val="22"/>
        </w:rPr>
        <w:t>All deployment models deliver identical capabilities. Dedicated cloud provides data sovereignty compliance with SARB requirements while SettleMint manages platform operations.</w:t>
      </w:r>
    </w:p>
    <w:p>
      <w:pPr>
        <w:pStyle w:val="H2"/>
        <w:numPr>
          <w:ilvl w:val="1"/>
          <w:numId w:val="1"/>
        </w:numPr>
      </w:pPr>
      <w:r>
        <w:t>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0"/>
        <w:gridCol w:w="524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Type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w:t>
            </w:r>
          </w:p>
        </w:tc>
        <w:tc>
          <w:tcPr>
            <w:tcW w:type="dxa" w:w="4873"/>
            <w:vAlign w:val="center"/>
          </w:tcPr>
          <w:p>
            <w:pPr>
              <w:spacing w:line="276" w:lineRule="auto" w:before="0" w:after="0"/>
            </w:pPr>
            <w:r/>
            <w:r>
              <w:rPr>
                <w:rFonts w:ascii="Figtree" w:hAnsi="Figtree"/>
                <w:b w:val="0"/>
                <w:i w:val="0"/>
                <w:sz w:val="20"/>
              </w:rPr>
              <w:t>Annual recurring</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One-time (milestone-based)</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w:t>
            </w:r>
          </w:p>
        </w:tc>
        <w:tc>
          <w:tcPr>
            <w:tcW w:type="dxa" w:w="4873"/>
            <w:vAlign w:val="center"/>
          </w:tcPr>
          <w:p>
            <w:pPr>
              <w:spacing w:line="276" w:lineRule="auto" w:before="0" w:after="0"/>
            </w:pPr>
            <w:r/>
            <w:r>
              <w:rPr>
                <w:rFonts w:ascii="Figtree" w:hAnsi="Figtree"/>
                <w:b w:val="0"/>
                <w:i w:val="0"/>
                <w:sz w:val="20"/>
              </w:rPr>
              <w:t>Annual recurring</w:t>
            </w:r>
          </w:p>
        </w:tc>
      </w:tr>
      <w:tr>
        <w:trPr>
          <w:trHeight w:val="425" w:hRule="atLeast"/>
        </w:trPr>
        <w:tc>
          <w:tcPr>
            <w:tcW w:type="dxa" w:w="4873"/>
            <w:vAlign w:val="center"/>
          </w:tcPr>
          <w:p>
            <w:pPr>
              <w:spacing w:line="276" w:lineRule="auto" w:before="0" w:after="0"/>
            </w:pPr>
            <w:r/>
            <w:r>
              <w:rPr>
                <w:rFonts w:ascii="Figtree" w:hAnsi="Figtree"/>
                <w:b w:val="0"/>
                <w:i w:val="0"/>
                <w:sz w:val="20"/>
              </w:rPr>
              <w:t>Support (Premium)</w:t>
            </w:r>
          </w:p>
        </w:tc>
        <w:tc>
          <w:tcPr>
            <w:tcW w:type="dxa" w:w="4873"/>
            <w:vAlign w:val="center"/>
          </w:tcPr>
          <w:p>
            <w:pPr>
              <w:spacing w:line="276" w:lineRule="auto" w:before="0" w:after="0"/>
            </w:pPr>
            <w:r/>
            <w:r>
              <w:rPr>
                <w:rFonts w:ascii="Figtree" w:hAnsi="Figtree"/>
                <w:b w:val="0"/>
                <w:i w:val="0"/>
                <w:sz w:val="20"/>
              </w:rPr>
              <w:t>Annual recurring</w:t>
            </w:r>
          </w:p>
        </w:tc>
      </w:tr>
      <w:tr>
        <w:trPr>
          <w:trHeight w:val="425" w:hRule="atLeast"/>
        </w:trPr>
        <w:tc>
          <w:tcPr>
            <w:tcW w:type="dxa" w:w="4873"/>
            <w:vAlign w:val="center"/>
          </w:tcPr>
          <w:p>
            <w:pPr>
              <w:spacing w:line="276" w:lineRule="auto" w:before="0" w:after="0"/>
            </w:pPr>
            <w:r/>
            <w:r>
              <w:rPr>
                <w:rFonts w:ascii="Figtree" w:hAnsi="Figtree"/>
                <w:b w:val="0"/>
                <w:i w:val="0"/>
                <w:sz w:val="20"/>
              </w:rPr>
              <w:t>Training</w:t>
            </w:r>
          </w:p>
        </w:tc>
        <w:tc>
          <w:tcPr>
            <w:tcW w:type="dxa" w:w="4873"/>
            <w:vAlign w:val="center"/>
          </w:tcPr>
          <w:p>
            <w:pPr>
              <w:spacing w:line="276" w:lineRule="auto" w:before="0" w:after="0"/>
            </w:pPr>
            <w:r/>
            <w:r>
              <w:rPr>
                <w:rFonts w:ascii="Figtree" w:hAnsi="Figtree"/>
                <w:b w:val="0"/>
                <w:i w:val="0"/>
                <w:sz w:val="20"/>
              </w:rPr>
              <w:t>One-time</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Pass-through</w:t>
            </w:r>
          </w:p>
        </w:tc>
      </w:tr>
    </w:tbl>
    <w:p>
      <w:pPr>
        <w:spacing w:before="0" w:after="0" w:line="120" w:lineRule="exact"/>
      </w:pPr>
    </w:p>
    <w:p>
      <w:r>
        <w:br w:type="page"/>
      </w:r>
    </w:p>
    <w:p>
      <w:pPr>
        <w:pStyle w:val="H1"/>
        <w:numPr>
          <w:ilvl w:val="0"/>
          <w:numId w:val="1"/>
        </w:numPr>
      </w:pPr>
      <w:r>
        <w:t>Support and SLA Framework</w:t>
      </w:r>
    </w:p>
    <w:p>
      <w:r>
        <w:rPr>
          <w:rFonts w:ascii="Figtree" w:hAnsi="Figtree"/>
          <w:b w:val="0"/>
          <w:i w:val="0"/>
          <w:sz w:val="22"/>
        </w:rPr>
        <w:t>Premium Support recommended. 07:00 to 22:00 CET coverage, P1 weekend on-call, dedicated engineer, 99.95% uptime, 2-hour P1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60"/>
        <w:gridCol w:w="3721"/>
        <w:gridCol w:w="34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2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8 hours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8 business hours</w:t>
            </w:r>
          </w:p>
        </w:tc>
        <w:tc>
          <w:tcPr>
            <w:tcW w:type="dxa" w:w="3249"/>
            <w:vAlign w:val="center"/>
          </w:tcPr>
          <w:p>
            <w:pPr>
              <w:spacing w:line="276" w:lineRule="auto" w:before="0" w:after="0"/>
            </w:pPr>
            <w:r/>
            <w:r>
              <w:rPr>
                <w:rFonts w:ascii="Figtree" w:hAnsi="Figtree"/>
                <w:b w:val="0"/>
                <w:i w:val="0"/>
                <w:sz w:val="20"/>
              </w:rPr>
              <w:t>3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2 business days</w:t>
            </w:r>
          </w:p>
        </w:tc>
        <w:tc>
          <w:tcPr>
            <w:tcW w:type="dxa" w:w="3249"/>
            <w:vAlign w:val="center"/>
          </w:tcPr>
          <w:p>
            <w:pPr>
              <w:spacing w:line="276" w:lineRule="auto" w:before="0" w:after="0"/>
            </w:pPr>
            <w:r/>
            <w:r>
              <w:rPr>
                <w:rFonts w:ascii="Figtree" w:hAnsi="Figtree"/>
                <w:b w:val="0"/>
                <w:i w:val="0"/>
                <w:sz w:val="20"/>
              </w:rPr>
              <w:t>Next release</w:t>
            </w:r>
          </w:p>
        </w:tc>
      </w:tr>
    </w:tbl>
    <w:p>
      <w:pPr>
        <w:spacing w:before="0" w:after="0" w:line="120" w:lineRule="exact"/>
      </w:pPr>
    </w:p>
    <w:p>
      <w:r>
        <w:br w:type="page"/>
      </w:r>
    </w:p>
    <w:p>
      <w:pPr>
        <w:pStyle w:val="H1"/>
        <w:numPr>
          <w:ilvl w:val="0"/>
          <w:numId w:val="1"/>
        </w:numPr>
      </w:pPr>
      <w:r>
        <w:t>Implementation Investment</w:t>
      </w:r>
    </w:p>
    <w:p>
      <w:r>
        <w:rPr>
          <w:rFonts w:ascii="Figtree" w:hAnsi="Figtree"/>
          <w:b w:val="0"/>
          <w:i w:val="0"/>
          <w:sz w:val="22"/>
        </w:rPr>
        <w:t>19-week phase-gated delivery. Milestone-based pricing payable upon phase completion. Phases: Discovery (3 weeks), Foundation (4 weeks), Integration (4 weeks), Testing (4 weeks), Go-Live (2 weeks), Hypercare (4 weeks).</w:t>
      </w:r>
    </w:p>
    <w:p>
      <w:r>
        <w:br w:type="page"/>
      </w:r>
    </w:p>
    <w:p>
      <w:pPr>
        <w:pStyle w:val="H1"/>
        <w:numPr>
          <w:ilvl w:val="0"/>
          <w:numId w:val="1"/>
        </w:numPr>
      </w:pPr>
      <w:r>
        <w:t>Commercial Terms</w:t>
      </w:r>
    </w:p>
    <w:p>
      <w:pPr>
        <w:pStyle w:val="H2"/>
        <w:numPr>
          <w:ilvl w:val="1"/>
          <w:numId w:val="1"/>
        </w:numPr>
      </w:pPr>
      <w:r>
        <w:t>Contract Structure</w:t>
      </w:r>
    </w:p>
    <w:p>
      <w:r>
        <w:rPr>
          <w:rFonts w:ascii="Figtree" w:hAnsi="Figtree"/>
          <w:b w:val="0"/>
          <w:i w:val="0"/>
          <w:sz w:val="22"/>
        </w:rPr>
        <w:t>Three agreements: Platform License (annual), Implementation Services (project), Support Services (ongoing). Co-terminable or independently renewable.</w:t>
      </w:r>
    </w:p>
    <w:p>
      <w:pPr>
        <w:pStyle w:val="H2"/>
        <w:numPr>
          <w:ilvl w:val="1"/>
          <w:numId w:val="1"/>
        </w:numPr>
      </w:pPr>
      <w:r>
        <w:t>Key Terms</w:t>
      </w:r>
    </w:p>
    <w:p>
      <w:pPr>
        <w:pStyle w:val="ListParagraph"/>
        <w:numPr>
          <w:ilvl w:val="0"/>
          <w:numId w:val="4"/>
        </w:numPr>
      </w:pPr>
      <w:r>
        <w:rPr>
          <w:rFonts w:ascii="Figtree" w:hAnsi="Figtree"/>
          <w:b/>
          <w:i w:val="0"/>
          <w:sz w:val="22"/>
        </w:rPr>
        <w:t>Duration:</w:t>
      </w:r>
      <w:r>
        <w:rPr>
          <w:rFonts w:ascii="Figtree" w:hAnsi="Figtree"/>
          <w:b w:val="0"/>
          <w:i w:val="0"/>
          <w:sz w:val="22"/>
        </w:rPr>
        <w:t xml:space="preserve"> 3-year initial term recommended</w:t>
      </w:r>
    </w:p>
    <w:p>
      <w:pPr>
        <w:pStyle w:val="ListParagraph"/>
        <w:numPr>
          <w:ilvl w:val="0"/>
          <w:numId w:val="4"/>
        </w:numPr>
      </w:pPr>
      <w:r>
        <w:rPr>
          <w:rFonts w:ascii="Figtree" w:hAnsi="Figtree"/>
          <w:b/>
          <w:i w:val="0"/>
          <w:sz w:val="22"/>
        </w:rPr>
        <w:t>Payment:</w:t>
      </w:r>
      <w:r>
        <w:rPr>
          <w:rFonts w:ascii="Figtree" w:hAnsi="Figtree"/>
          <w:b w:val="0"/>
          <w:i w:val="0"/>
          <w:sz w:val="22"/>
        </w:rPr>
        <w:t xml:space="preserve"> Annual license on execution; implementation milestone-based; support on go-live</w:t>
      </w:r>
    </w:p>
    <w:p>
      <w:pPr>
        <w:pStyle w:val="ListParagraph"/>
        <w:numPr>
          <w:ilvl w:val="0"/>
          <w:numId w:val="4"/>
        </w:numPr>
      </w:pPr>
      <w:r>
        <w:rPr>
          <w:rFonts w:ascii="Figtree" w:hAnsi="Figtree"/>
          <w:b/>
          <w:i w:val="0"/>
          <w:sz w:val="22"/>
        </w:rPr>
        <w:t>Renewal:</w:t>
      </w:r>
      <w:r>
        <w:rPr>
          <w:rFonts w:ascii="Figtree" w:hAnsi="Figtree"/>
          <w:b w:val="0"/>
          <w:i w:val="0"/>
          <w:sz w:val="22"/>
        </w:rPr>
        <w:t xml:space="preserve"> 90-day notice, loyalty adjustments</w:t>
      </w:r>
    </w:p>
    <w:p>
      <w:pPr>
        <w:pStyle w:val="ListParagraph"/>
        <w:numPr>
          <w:ilvl w:val="0"/>
          <w:numId w:val="4"/>
        </w:numPr>
      </w:pPr>
      <w:r>
        <w:rPr>
          <w:rFonts w:ascii="Figtree" w:hAnsi="Figtree"/>
          <w:b/>
          <w:i w:val="0"/>
          <w:sz w:val="22"/>
        </w:rPr>
        <w:t>Termination:</w:t>
      </w:r>
      <w:r>
        <w:rPr>
          <w:rFonts w:ascii="Figtree" w:hAnsi="Figtree"/>
          <w:b w:val="0"/>
          <w:i w:val="0"/>
          <w:sz w:val="22"/>
        </w:rPr>
        <w:t xml:space="preserve"> 30-day cure period, 90-day data export support</w:t>
      </w:r>
    </w:p>
    <w:p>
      <w:pPr>
        <w:pStyle w:val="ListParagraph"/>
        <w:numPr>
          <w:ilvl w:val="0"/>
          <w:numId w:val="4"/>
        </w:numPr>
      </w:pPr>
      <w:r>
        <w:rPr>
          <w:rFonts w:ascii="Figtree" w:hAnsi="Figtree"/>
          <w:b/>
          <w:i w:val="0"/>
          <w:sz w:val="22"/>
        </w:rPr>
        <w:t>IP:</w:t>
      </w:r>
      <w:r>
        <w:rPr>
          <w:rFonts w:ascii="Figtree" w:hAnsi="Figtree"/>
          <w:b w:val="0"/>
          <w:i w:val="0"/>
          <w:sz w:val="22"/>
        </w:rPr>
        <w:t xml:space="preserve"> Platform IP remains SettleMint; data remains FirstRand; configurations jointly usable</w:t>
      </w:r>
    </w:p>
    <w:p>
      <w:pPr>
        <w:pStyle w:val="ListParagraph"/>
        <w:numPr>
          <w:ilvl w:val="0"/>
          <w:numId w:val="4"/>
        </w:numPr>
      </w:pPr>
      <w:r>
        <w:rPr>
          <w:rFonts w:ascii="Figtree" w:hAnsi="Figtree"/>
          <w:b/>
          <w:i w:val="0"/>
          <w:sz w:val="22"/>
        </w:rPr>
        <w:t>Liability:</w:t>
      </w:r>
      <w:r>
        <w:rPr>
          <w:rFonts w:ascii="Figtree" w:hAnsi="Figtree"/>
          <w:b w:val="0"/>
          <w:i w:val="0"/>
          <w:sz w:val="22"/>
        </w:rPr>
        <w:t xml:space="preserve"> Capped at 12-month fees; consequential damages excluded</w:t>
      </w:r>
    </w:p>
    <w:p>
      <w:pPr>
        <w:pStyle w:val="ListParagraph"/>
        <w:numPr>
          <w:ilvl w:val="0"/>
          <w:numId w:val="4"/>
        </w:numPr>
      </w:pPr>
      <w:r>
        <w:rPr>
          <w:rFonts w:ascii="Figtree" w:hAnsi="Figtree"/>
          <w:b/>
          <w:i w:val="0"/>
          <w:sz w:val="22"/>
        </w:rPr>
        <w:t>Escrow:</w:t>
      </w:r>
      <w:r>
        <w:rPr>
          <w:rFonts w:ascii="Figtree" w:hAnsi="Figtree"/>
          <w:b w:val="0"/>
          <w:i w:val="0"/>
          <w:sz w:val="22"/>
        </w:rPr>
        <w:t xml:space="preserve"> Available upon request</w:t>
      </w:r>
    </w:p>
    <w:p>
      <w:r>
        <w:br w:type="page"/>
      </w:r>
    </w:p>
    <w:p>
      <w:pPr>
        <w:pStyle w:val="H1"/>
        <w:numPr>
          <w:ilvl w:val="0"/>
          <w:numId w:val="1"/>
        </w:numPr>
      </w:pPr>
      <w:r>
        <w:t>Total Cost of Ownership</w:t>
      </w:r>
    </w:p>
    <w:p>
      <w:pPr>
        <w:pStyle w:val="H2"/>
        <w:numPr>
          <w:ilvl w:val="1"/>
          <w:numId w:val="1"/>
        </w:numPr>
      </w:pPr>
      <w:r>
        <w:t>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2646"/>
        <w:gridCol w:w="1890"/>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19 weeks</w:t>
            </w:r>
          </w:p>
        </w:tc>
        <w:tc>
          <w:tcPr>
            <w:tcW w:type="dxa" w:w="2436"/>
            <w:vAlign w:val="center"/>
          </w:tcPr>
          <w:p>
            <w:pPr>
              <w:spacing w:line="276" w:lineRule="auto" w:before="0" w:after="0"/>
            </w:pPr>
            <w:r/>
            <w:r>
              <w:rPr>
                <w:rFonts w:ascii="Figtree" w:hAnsi="Figtree"/>
                <w:b w:val="0"/>
                <w:i w:val="0"/>
                <w:sz w:val="20"/>
              </w:rPr>
              <w:t>18 to 24 months</w:t>
            </w:r>
          </w:p>
        </w:tc>
        <w:tc>
          <w:tcPr>
            <w:tcW w:type="dxa" w:w="2436"/>
            <w:vAlign w:val="center"/>
          </w:tcPr>
          <w:p>
            <w:pPr>
              <w:spacing w:line="276" w:lineRule="auto" w:before="0" w:after="0"/>
            </w:pPr>
            <w:r/>
            <w:r>
              <w:rPr>
                <w:rFonts w:ascii="Figtree" w:hAnsi="Figtree"/>
                <w:b w:val="0"/>
                <w:i w:val="0"/>
                <w:sz w:val="20"/>
              </w:rPr>
              <w:t>9 to 12 months</w:t>
            </w:r>
          </w:p>
        </w:tc>
      </w:tr>
      <w:tr>
        <w:trPr>
          <w:trHeight w:val="425" w:hRule="atLeast"/>
        </w:trPr>
        <w:tc>
          <w:tcPr>
            <w:tcW w:type="dxa" w:w="2436"/>
            <w:vAlign w:val="center"/>
          </w:tcPr>
          <w:p>
            <w:pPr>
              <w:spacing w:line="276" w:lineRule="auto" w:before="0" w:after="0"/>
            </w:pPr>
            <w:r/>
            <w:r>
              <w:rPr>
                <w:rFonts w:ascii="Figtree" w:hAnsi="Figtree"/>
                <w:b w:val="0"/>
                <w:i w:val="0"/>
                <w:sz w:val="20"/>
              </w:rPr>
              <w:t>Engineering</w:t>
            </w:r>
          </w:p>
        </w:tc>
        <w:tc>
          <w:tcPr>
            <w:tcW w:type="dxa" w:w="2436"/>
            <w:vAlign w:val="center"/>
          </w:tcPr>
          <w:p>
            <w:pPr>
              <w:spacing w:line="276" w:lineRule="auto" w:before="0" w:after="0"/>
            </w:pPr>
            <w:r/>
            <w:r>
              <w:rPr>
                <w:rFonts w:ascii="Figtree" w:hAnsi="Figtree"/>
                <w:b w:val="0"/>
                <w:i w:val="0"/>
                <w:sz w:val="20"/>
              </w:rPr>
              <w:t>2 to 3 operators</w:t>
            </w:r>
          </w:p>
        </w:tc>
        <w:tc>
          <w:tcPr>
            <w:tcW w:type="dxa" w:w="2436"/>
            <w:vAlign w:val="center"/>
          </w:tcPr>
          <w:p>
            <w:pPr>
              <w:spacing w:line="276" w:lineRule="auto" w:before="0" w:after="0"/>
            </w:pPr>
            <w:r/>
            <w:r>
              <w:rPr>
                <w:rFonts w:ascii="Figtree" w:hAnsi="Figtree"/>
                <w:b w:val="0"/>
                <w:i w:val="0"/>
                <w:sz w:val="20"/>
              </w:rPr>
              <w:t>5 to 8 team</w:t>
            </w:r>
          </w:p>
        </w:tc>
        <w:tc>
          <w:tcPr>
            <w:tcW w:type="dxa" w:w="2436"/>
            <w:vAlign w:val="center"/>
          </w:tcPr>
          <w:p>
            <w:pPr>
              <w:spacing w:line="276" w:lineRule="auto" w:before="0" w:after="0"/>
            </w:pPr>
            <w:r/>
            <w:r>
              <w:rPr>
                <w:rFonts w:ascii="Figtree" w:hAnsi="Figtree"/>
                <w:b w:val="0"/>
                <w:i w:val="0"/>
                <w:sz w:val="20"/>
              </w:rPr>
              <w:t>3 to 5 integration</w:t>
            </w:r>
          </w:p>
        </w:tc>
      </w:tr>
      <w:tr>
        <w:trPr>
          <w:trHeight w:val="425" w:hRule="atLeast"/>
        </w:trPr>
        <w:tc>
          <w:tcPr>
            <w:tcW w:type="dxa" w:w="2436"/>
            <w:vAlign w:val="center"/>
          </w:tcPr>
          <w:p>
            <w:pPr>
              <w:spacing w:line="276" w:lineRule="auto" w:before="0" w:after="0"/>
            </w:pPr>
            <w:r/>
            <w:r>
              <w:rPr>
                <w:rFonts w:ascii="Figtree" w:hAnsi="Figtree"/>
                <w:b w:val="0"/>
                <w:i w:val="0"/>
                <w:sz w:val="20"/>
              </w:rPr>
              <w:t>Asset expansion</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New development</w:t>
            </w:r>
          </w:p>
        </w:tc>
        <w:tc>
          <w:tcPr>
            <w:tcW w:type="dxa" w:w="2436"/>
            <w:vAlign w:val="center"/>
          </w:tcPr>
          <w:p>
            <w:pPr>
              <w:spacing w:line="276" w:lineRule="auto" w:before="0" w:after="0"/>
            </w:pPr>
            <w:r/>
            <w:r>
              <w:rPr>
                <w:rFonts w:ascii="Figtree" w:hAnsi="Figtree"/>
                <w:b w:val="0"/>
                <w:i w:val="0"/>
                <w:sz w:val="20"/>
              </w:rPr>
              <w:t>New integration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w:t>
            </w:r>
          </w:p>
        </w:tc>
        <w:tc>
          <w:tcPr>
            <w:tcW w:type="dxa" w:w="2436"/>
            <w:vAlign w:val="center"/>
          </w:tcPr>
          <w:p>
            <w:pPr>
              <w:spacing w:line="276" w:lineRule="auto" w:before="0" w:after="0"/>
            </w:pPr>
            <w:r/>
            <w:r>
              <w:rPr>
                <w:rFonts w:ascii="Figtree" w:hAnsi="Figtree"/>
                <w:b w:val="0"/>
                <w:i w:val="0"/>
                <w:sz w:val="20"/>
              </w:rPr>
              <w:t>Included (18 modules)</w:t>
            </w:r>
          </w:p>
        </w:tc>
        <w:tc>
          <w:tcPr>
            <w:tcW w:type="dxa" w:w="2436"/>
            <w:vAlign w:val="center"/>
          </w:tcPr>
          <w:p>
            <w:pPr>
              <w:spacing w:line="276" w:lineRule="auto" w:before="0" w:after="0"/>
            </w:pPr>
            <w:r/>
            <w:r>
              <w:rPr>
                <w:rFonts w:ascii="Figtree" w:hAnsi="Figtree"/>
                <w:b w:val="0"/>
                <w:i w:val="0"/>
                <w:sz w:val="20"/>
              </w:rPr>
              <w:t>Custom</w:t>
            </w:r>
          </w:p>
        </w:tc>
        <w:tc>
          <w:tcPr>
            <w:tcW w:type="dxa" w:w="2436"/>
            <w:vAlign w:val="center"/>
          </w:tcPr>
          <w:p>
            <w:pPr>
              <w:spacing w:line="276" w:lineRule="auto" w:before="0" w:after="0"/>
            </w:pPr>
            <w:r/>
            <w:r>
              <w:rPr>
                <w:rFonts w:ascii="Figtree" w:hAnsi="Figtree"/>
                <w:b w:val="0"/>
                <w:i w:val="0"/>
                <w:sz w:val="20"/>
              </w:rPr>
              <w:t>Per-vendor</w:t>
            </w:r>
          </w:p>
        </w:tc>
      </w:tr>
    </w:tbl>
    <w:p>
      <w:pPr>
        <w:spacing w:before="0" w:after="0" w:line="120" w:lineRule="exact"/>
      </w:pPr>
    </w:p>
    <w:p>
      <w:r>
        <w:br w:type="page"/>
      </w:r>
    </w:p>
    <w:p>
      <w:pPr>
        <w:pStyle w:val="H1"/>
        <w:numPr>
          <w:ilvl w:val="0"/>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8"/>
        <w:gridCol w:w="1687"/>
        <w:gridCol w:w="2531"/>
        <w:gridCol w:w="29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ETP issuance</w:t>
            </w:r>
          </w:p>
        </w:tc>
        <w:tc>
          <w:tcPr>
            <w:tcW w:type="dxa" w:w="2436"/>
            <w:vAlign w:val="center"/>
          </w:tcPr>
          <w:p>
            <w:pPr>
              <w:spacing w:line="276" w:lineRule="auto" w:before="0" w:after="0"/>
            </w:pPr>
            <w:r/>
            <w:r>
              <w:rPr>
                <w:rFonts w:ascii="Figtree" w:hAnsi="Figtree"/>
                <w:b w:val="0"/>
                <w:i w:val="0"/>
                <w:sz w:val="20"/>
              </w:rPr>
              <w:t>Fixed income, EUR 7M savings</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Digital exchange</w:t>
            </w:r>
          </w:p>
        </w:tc>
        <w:tc>
          <w:tcPr>
            <w:tcW w:type="dxa" w:w="2436"/>
            <w:vAlign w:val="center"/>
          </w:tcPr>
          <w:p>
            <w:pPr>
              <w:spacing w:line="276" w:lineRule="auto" w:before="0" w:after="0"/>
            </w:pPr>
            <w:r/>
            <w:r>
              <w:rPr>
                <w:rFonts w:ascii="Figtree" w:hAnsi="Figtree"/>
                <w:b w:val="0"/>
                <w:i w:val="0"/>
                <w:sz w:val="20"/>
              </w:rPr>
              <w:t>African market presence</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w:t>
            </w:r>
          </w:p>
        </w:tc>
        <w:tc>
          <w:tcPr>
            <w:tcW w:type="dxa" w:w="2436"/>
            <w:vAlign w:val="center"/>
          </w:tcPr>
          <w:p>
            <w:pPr>
              <w:spacing w:line="276" w:lineRule="auto" w:before="0" w:after="0"/>
            </w:pPr>
            <w:r/>
            <w:r>
              <w:rPr>
                <w:rFonts w:ascii="Figtree" w:hAnsi="Figtree"/>
                <w:b w:val="0"/>
                <w:i w:val="0"/>
                <w:sz w:val="20"/>
              </w:rPr>
              <w:t>Bond capability</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Real estate tokenization</w:t>
            </w:r>
          </w:p>
        </w:tc>
        <w:tc>
          <w:tcPr>
            <w:tcW w:type="dxa" w:w="2436"/>
            <w:vAlign w:val="center"/>
          </w:tcPr>
          <w:p>
            <w:pPr>
              <w:spacing w:line="276" w:lineRule="auto" w:before="0" w:after="0"/>
            </w:pPr>
            <w:r/>
            <w:r>
              <w:rPr>
                <w:rFonts w:ascii="Figtree" w:hAnsi="Figtree"/>
                <w:b w:val="0"/>
                <w:i w:val="0"/>
                <w:sz w:val="20"/>
              </w:rPr>
              <w:t>National-scale integration</w:t>
            </w:r>
          </w:p>
        </w:tc>
      </w:tr>
    </w:tbl>
    <w:p>
      <w:pPr>
        <w:spacing w:before="0" w:after="0" w:line="120" w:lineRule="exact"/>
      </w:pPr>
    </w:p>
    <w:p>
      <w:r>
        <w:br w:type="page"/>
      </w:r>
    </w:p>
    <w:p>
      <w:pPr>
        <w:pStyle w:val="H1"/>
        <w:numPr>
          <w:ilvl w:val="0"/>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4"/>
        <w:gridCol w:w="2474"/>
        <w:gridCol w:w="30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3249"/>
            <w:vAlign w:val="center"/>
          </w:tcPr>
          <w:p>
            <w:pPr>
              <w:spacing w:line="276" w:lineRule="auto" w:before="0" w:after="0"/>
            </w:pPr>
            <w:r/>
            <w:r>
              <w:rPr>
                <w:rFonts w:ascii="Figtree" w:hAnsi="Figtree"/>
                <w:b w:val="0"/>
                <w:i w:val="0"/>
                <w:sz w:val="20"/>
              </w:rPr>
              <w:t>Proposal review</w:t>
            </w:r>
          </w:p>
        </w:tc>
        <w:tc>
          <w:tcPr>
            <w:tcW w:type="dxa" w:w="3249"/>
            <w:vAlign w:val="center"/>
          </w:tcPr>
          <w:p>
            <w:pPr>
              <w:spacing w:line="276" w:lineRule="auto" w:before="0" w:after="0"/>
            </w:pPr>
            <w:r/>
            <w:r>
              <w:rPr>
                <w:rFonts w:ascii="Figtree" w:hAnsi="Figtree"/>
                <w:b w:val="0"/>
                <w:i w:val="0"/>
                <w:sz w:val="20"/>
              </w:rPr>
              <w:t>FirstRand Procurement</w:t>
            </w:r>
          </w:p>
        </w:tc>
        <w:tc>
          <w:tcPr>
            <w:tcW w:type="dxa" w:w="3249"/>
            <w:vAlign w:val="center"/>
          </w:tcPr>
          <w:p>
            <w:pPr>
              <w:spacing w:line="276" w:lineRule="auto" w:before="0" w:after="0"/>
            </w:pPr>
            <w:r/>
            <w:r>
              <w:rPr>
                <w:rFonts w:ascii="Figtree" w:hAnsi="Figtree"/>
                <w:b w:val="0"/>
                <w:i w:val="0"/>
                <w:sz w:val="20"/>
              </w:rPr>
              <w:t>2 weeks</w:t>
            </w:r>
          </w:p>
        </w:tc>
      </w:tr>
      <w:tr>
        <w:trPr>
          <w:trHeight w:val="425" w:hRule="atLeast"/>
        </w:trPr>
        <w:tc>
          <w:tcPr>
            <w:tcW w:type="dxa" w:w="3249"/>
            <w:vAlign w:val="center"/>
          </w:tcPr>
          <w:p>
            <w:pPr>
              <w:spacing w:line="276" w:lineRule="auto" w:before="0" w:after="0"/>
            </w:pPr>
            <w:r/>
            <w:r>
              <w:rPr>
                <w:rFonts w:ascii="Figtree" w:hAnsi="Figtree"/>
                <w:b w:val="0"/>
                <w:i w:val="0"/>
                <w:sz w:val="20"/>
              </w:rPr>
              <w:t>Clarification session</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Within 1 week of shortlist</w:t>
            </w:r>
          </w:p>
        </w:tc>
      </w:tr>
      <w:tr>
        <w:trPr>
          <w:trHeight w:val="425" w:hRule="atLeast"/>
        </w:trPr>
        <w:tc>
          <w:tcPr>
            <w:tcW w:type="dxa" w:w="3249"/>
            <w:vAlign w:val="center"/>
          </w:tcPr>
          <w:p>
            <w:pPr>
              <w:spacing w:line="276" w:lineRule="auto" w:before="0" w:after="0"/>
            </w:pPr>
            <w:r/>
            <w:r>
              <w:rPr>
                <w:rFonts w:ascii="Figtree" w:hAnsi="Figtree"/>
                <w:b w:val="0"/>
                <w:i w:val="0"/>
                <w:sz w:val="20"/>
              </w:rPr>
              <w:t>Scoping workshop</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1 to 2 days</w:t>
            </w:r>
          </w:p>
        </w:tc>
      </w:tr>
      <w:tr>
        <w:trPr>
          <w:trHeight w:val="425" w:hRule="atLeast"/>
        </w:trPr>
        <w:tc>
          <w:tcPr>
            <w:tcW w:type="dxa" w:w="3249"/>
            <w:vAlign w:val="center"/>
          </w:tcPr>
          <w:p>
            <w:pPr>
              <w:spacing w:line="276" w:lineRule="auto" w:before="0" w:after="0"/>
            </w:pPr>
            <w:r/>
            <w:r>
              <w:rPr>
                <w:rFonts w:ascii="Figtree" w:hAnsi="Figtree"/>
                <w:b w:val="0"/>
                <w:i w:val="0"/>
                <w:sz w:val="20"/>
              </w:rPr>
              <w:t>Refined commercial offer</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1 week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Contract negotiation</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2 to 4 weeks</w:t>
            </w:r>
          </w:p>
        </w:tc>
      </w:tr>
      <w:tr>
        <w:trPr>
          <w:trHeight w:val="425" w:hRule="atLeast"/>
        </w:trPr>
        <w:tc>
          <w:tcPr>
            <w:tcW w:type="dxa" w:w="3249"/>
            <w:vAlign w:val="center"/>
          </w:tcPr>
          <w:p>
            <w:pPr>
              <w:spacing w:line="276" w:lineRule="auto" w:before="0" w:after="0"/>
            </w:pPr>
            <w:r/>
            <w:r>
              <w:rPr>
                <w:rFonts w:ascii="Figtree" w:hAnsi="Figtree"/>
                <w:b w:val="0"/>
                <w:i w:val="0"/>
                <w:sz w:val="20"/>
              </w:rPr>
              <w:t>Contract and Discovery kickoff</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Target Q2 2026</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