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HSBC</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FX Settlement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HSBC</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2"/>
        <w:gridCol w:w="63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FX Settlement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HSBC</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HSBC-RFP-202603-04</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HSBC is to adopt DALP as the configuration-led lifecycle, policy, evidence, and integration orchestration layer for fx settlement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HSBC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both operationally realistic and commercially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HSBC wants a reusable platform, not a one-deal delivery. That is why the proposed model emphasizes reusable product templates, parameterized lifecycle events, policy binding, and audit-friendly exports. For HSBC,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internal corridor FX orchestration, PvP settlement preparation and release, intraday liquidity monitoring, and exception and cut-off management across time zones.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HSBC,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HSBC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HSBC is broad: treasury and nostro platforms, payments engines and sanction controls, SWIFT messaging and market-infrastructure adapters, SIEM and operational monitoring, and finance and reconciliation systems.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HSBC,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HSBC,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HSBC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HSBC,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HSBC.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1"/>
        <w:gridCol w:w="720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institutional settlement and treasury orchestration programmes; regulated payment and tokenized cash pilots; bank-operated digital asset environments with strong maker-checker controls</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FX Settlement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